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oter9.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theme/theme1.xml" ContentType="application/vnd.openxmlformats-officedocument.theme+xml"/>
  <Override PartName="/word/fontTable.xml" ContentType="application/vnd.openxmlformats-officedocument.wordprocessingml.fontTable+xml"/>
  <Override PartName="/word/footer7.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footer6.xml" ContentType="application/vnd.openxmlformats-officedocument.wordprocessingml.footer+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spacing w:lineRule="auto" w:line="240" w:before="0" w:after="200"/>
        <w:jc w:val="center"/>
        <w:rPr/>
      </w:pPr>
      <w:r>
        <w:rPr>
          <w:rFonts w:ascii="Times New Roman" w:hAnsi="Times New Roman" w:eastAsia="Times New Roman" w:cs="B Zar"/>
          <w:b/>
          <w:b/>
          <w:bCs/>
          <w:sz w:val="24"/>
          <w:sz w:val="24"/>
          <w:szCs w:val="24"/>
          <w:rtl w:val="true"/>
          <w:lang w:val="en-US" w:bidi="fa-IR"/>
        </w:rPr>
        <w:t>الزام، هنجار و تقلید</w:t>
      </w:r>
      <w:r>
        <w:rPr>
          <w:rFonts w:eastAsia="Times New Roman" w:cs="B Zar"/>
          <w:b/>
          <w:bCs/>
          <w:sz w:val="24"/>
          <w:szCs w:val="24"/>
          <w:rtl w:val="true"/>
          <w:lang w:val="en-US" w:bidi="fa-IR"/>
        </w:rPr>
        <w:t xml:space="preserve">: </w:t>
      </w:r>
      <w:r>
        <w:rPr>
          <w:rFonts w:ascii="Times New Roman" w:hAnsi="Times New Roman" w:eastAsia="Times New Roman" w:cs="B Zar"/>
          <w:b/>
          <w:b/>
          <w:bCs/>
          <w:sz w:val="24"/>
          <w:sz w:val="24"/>
          <w:szCs w:val="24"/>
          <w:rtl w:val="true"/>
          <w:lang w:val="en-US" w:bidi="fa-IR"/>
        </w:rPr>
        <w:t>پیکربندی فشارهای نهادی و دو چهرهٔ اصلاحات مالی در دستگاه‌های اجرایی</w:t>
      </w:r>
    </w:p>
    <w:p>
      <w:pPr>
        <w:pStyle w:val="Normal"/>
        <w:bidi w:val="1"/>
        <w:spacing w:lineRule="auto" w:line="240" w:before="0" w:after="60"/>
        <w:jc w:val="both"/>
        <w:rPr/>
      </w:pPr>
      <w:r>
        <w:rPr>
          <w:rFonts w:ascii="Times New Roman" w:hAnsi="Times New Roman" w:eastAsia="Times New Roman"/>
          <w:b/>
          <w:b/>
          <w:bCs/>
          <w:sz w:val="22"/>
          <w:sz w:val="22"/>
          <w:szCs w:val="22"/>
          <w:rtl w:val="true"/>
          <w:lang w:val="en-US" w:bidi="fa-IR"/>
        </w:rPr>
        <w:t>چکیده</w:t>
      </w:r>
      <w:r>
        <w:rPr>
          <w:rFonts w:eastAsia="Times New Roman" w:cs="B Nazanin"/>
          <w:b/>
          <w:bCs/>
          <w:sz w:val="22"/>
          <w:szCs w:val="22"/>
          <w:rtl w:val="true"/>
          <w:lang w:val="en-US" w:bidi="fa-IR"/>
        </w:rPr>
        <w:t>:</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پژوهش‌های پیشین اثر هر فشار نهادی را جداگانه سنجیده‌اند، حال آنکه دستگاه‌ها هم‌زمان با ترکیبی از الزام، هنجار حرفه‌ای و تقلید روبه‌رو هستند</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این مقاله می‌پرسد فشار الزامی در چه شرایطی به اجرای ماهوی و در چه شرایطی به انطباق نمادین بودجه‌ریزی عملیاتی و گزارشگری تعهدی می‌انجامد، آیا این دو پاسخ هم‌زمان در یک دستگاه کنار هم می‌مانند، آیا مسیرها در انواع دستگاه‌ها یکسان است و آیا دستگاه‌ها در نیمرخ‌های متمایز فشار گروه‌بندی می‌شوند</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داده‌های </w:t>
      </w:r>
      <w:r>
        <w:rPr>
          <w:rFonts w:ascii="Times New Roman" w:hAnsi="Times New Roman" w:eastAsia="Times New Roman"/>
          <w:sz w:val="22"/>
          <w:sz w:val="22"/>
          <w:szCs w:val="22"/>
          <w:lang w:val="en-US" w:bidi="fa-IR"/>
        </w:rPr>
        <w:t>۴۱۲</w:t>
      </w:r>
      <w:r>
        <w:rPr>
          <w:rFonts w:ascii="Times New Roman" w:hAnsi="Times New Roman" w:eastAsia="Times New Roman"/>
          <w:sz w:val="22"/>
          <w:sz w:val="22"/>
          <w:szCs w:val="22"/>
          <w:rtl w:val="true"/>
          <w:lang w:val="en-US" w:bidi="fa-IR"/>
        </w:rPr>
        <w:t xml:space="preserve"> مدیر مالی، ذی‌حساب، کارشناس بودجه و حسابدار با مدل‌سازی معادلات ساختاری کاملاً پنهان، اثر متقابل پنهان، بوت‌استرپ، ناوردایی اندازه‌گیری چندگروهی و تحلیل نیمرخ پنهان بررسی شد</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فشار هنجاری اثر فشار الزامی بر اجرای ماهوی را تقویت کرد </w:t>
      </w:r>
      <w:r>
        <w:rPr>
          <w:rFonts w:eastAsia="Times New Roman" w:cs="B Nazanin"/>
          <w:sz w:val="22"/>
          <w:szCs w:val="22"/>
          <w:rtl w:val="true"/>
          <w:lang w:val="en-US" w:bidi="fa-IR"/>
        </w:rPr>
        <w:t>(</w:t>
      </w:r>
      <w:r>
        <w:rPr>
          <w:rFonts w:eastAsia="Times New Roman" w:cs="B Nazanin"/>
          <w:sz w:val="22"/>
          <w:szCs w:val="22"/>
          <w:lang w:val="en-US" w:bidi="fa-IR"/>
        </w:rPr>
        <w:t>β</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برابر </w:t>
      </w:r>
      <w:r>
        <w:rPr>
          <w:rFonts w:ascii="Times New Roman" w:hAnsi="Times New Roman" w:eastAsia="Times New Roman"/>
          <w:sz w:val="22"/>
          <w:sz w:val="22"/>
          <w:szCs w:val="22"/>
          <w:lang w:val="en-US" w:bidi="fa-IR"/>
        </w:rPr>
        <w:t>۰٫۲۱</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و فشار تقلیدی اثر فشار الزامی بر انطباق نمادین را </w:t>
      </w:r>
      <w:r>
        <w:rPr>
          <w:rFonts w:eastAsia="Times New Roman" w:cs="B Nazanin"/>
          <w:sz w:val="22"/>
          <w:szCs w:val="22"/>
          <w:rtl w:val="true"/>
          <w:lang w:val="en-US" w:bidi="fa-IR"/>
        </w:rPr>
        <w:t>((</w:t>
      </w:r>
      <w:r>
        <w:rPr>
          <w:rFonts w:eastAsia="Times New Roman" w:cs="B Nazanin"/>
          <w:sz w:val="22"/>
          <w:szCs w:val="22"/>
          <w:lang w:val="en-US" w:bidi="fa-IR"/>
        </w:rPr>
        <w:t>β</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برابر </w:t>
      </w:r>
      <w:r>
        <w:rPr>
          <w:rFonts w:ascii="Times New Roman" w:hAnsi="Times New Roman" w:eastAsia="Times New Roman"/>
          <w:sz w:val="22"/>
          <w:sz w:val="22"/>
          <w:szCs w:val="22"/>
          <w:lang w:val="en-US" w:bidi="fa-IR"/>
        </w:rPr>
        <w:t>۰٫۲۱</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در سطح پایین هنجار یا تقلید، الزام اثر معناداری نداشت</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دو پاسخ پس از کنترل فشارها هم‌بسته ماندند </w:t>
      </w:r>
      <w:r>
        <w:rPr>
          <w:rFonts w:eastAsia="Times New Roman" w:cs="B Nazanin"/>
          <w:sz w:val="22"/>
          <w:szCs w:val="22"/>
          <w:rtl w:val="true"/>
          <w:lang w:val="en-US" w:bidi="fa-IR"/>
        </w:rPr>
        <w:t>(</w:t>
      </w:r>
      <w:r>
        <w:rPr>
          <w:rFonts w:eastAsia="Times New Roman" w:cs="B Nazanin"/>
          <w:sz w:val="22"/>
          <w:szCs w:val="22"/>
          <w:lang w:val="en-US" w:bidi="fa-IR"/>
        </w:rPr>
        <w:t>r</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برابر </w:t>
      </w:r>
      <w:r>
        <w:rPr>
          <w:rFonts w:ascii="Times New Roman" w:hAnsi="Times New Roman" w:eastAsia="Times New Roman"/>
          <w:sz w:val="22"/>
          <w:sz w:val="22"/>
          <w:szCs w:val="22"/>
          <w:lang w:val="en-US" w:bidi="fa-IR"/>
        </w:rPr>
        <w:t>۰٫۱۴</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اثر فشار هنجاری بر اجرای ماهوی در نهادهای خدماتی و محلی قوی‌تر بود </w:t>
      </w:r>
      <w:r>
        <w:rPr>
          <w:rFonts w:eastAsia="Times New Roman" w:cs="B Nazanin"/>
          <w:sz w:val="22"/>
          <w:szCs w:val="22"/>
          <w:rtl w:val="true"/>
          <w:lang w:val="en-US" w:bidi="fa-IR"/>
        </w:rPr>
        <w:t>(</w:t>
      </w:r>
      <w:r>
        <w:rPr>
          <w:rFonts w:eastAsia="Times New Roman" w:cs="B Nazanin"/>
          <w:sz w:val="22"/>
          <w:szCs w:val="22"/>
          <w:lang w:val="en-US" w:bidi="fa-IR"/>
        </w:rPr>
        <w:t>Δz</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برابر </w:t>
      </w:r>
      <w:r>
        <w:rPr>
          <w:rFonts w:ascii="Times New Roman" w:hAnsi="Times New Roman" w:eastAsia="Times New Roman"/>
          <w:sz w:val="22"/>
          <w:sz w:val="22"/>
          <w:szCs w:val="22"/>
          <w:lang w:val="en-US" w:bidi="fa-IR"/>
        </w:rPr>
        <w:t>۲٫۸۹</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و دو نیمرخ فشار شناسایی شد که در انطباق نمادین تفاوت چشمگیر و در اجرای ماهوی تفاوت معناداری نداشتند</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نتیجه می‌شود فشارها اثر جمعی ساده ندارند</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الزام تنها در ترکیب با هنجار به ماهیت و تنها در ترکیب با الگوی آماده به ظاهر می‌انجامد؛ بنابراین سیاست‌گذاری باید پیکربندی فشارها را طراحی کند، نه شدت الزام را</w:t>
      </w:r>
      <w:r>
        <w:rPr>
          <w:rFonts w:eastAsia="Times New Roman" w:cs="B Nazanin"/>
          <w:sz w:val="22"/>
          <w:szCs w:val="22"/>
          <w:rtl w:val="true"/>
          <w:lang w:val="en-US" w:bidi="fa-IR"/>
        </w:rPr>
        <w:t>.</w:t>
      </w:r>
    </w:p>
    <w:p>
      <w:pPr>
        <w:pStyle w:val="Normal"/>
        <w:bidi w:val="1"/>
        <w:spacing w:lineRule="auto" w:line="240" w:before="0" w:after="80"/>
        <w:jc w:val="left"/>
        <w:rPr/>
      </w:pPr>
      <w:r>
        <w:rPr>
          <w:rFonts w:ascii="Times New Roman" w:hAnsi="Times New Roman" w:eastAsia="Times New Roman"/>
          <w:b/>
          <w:b/>
          <w:bCs/>
          <w:i/>
          <w:i/>
          <w:iCs/>
          <w:sz w:val="20"/>
          <w:sz w:val="20"/>
          <w:szCs w:val="20"/>
          <w:rtl w:val="true"/>
          <w:lang w:val="en-US" w:bidi="fa-IR"/>
        </w:rPr>
        <w:t>واژه‌های کلیدی</w:t>
      </w:r>
      <w:r>
        <w:rPr>
          <w:rFonts w:eastAsia="Times New Roman" w:cs="B Nazanin"/>
          <w:b/>
          <w:bCs/>
          <w:i/>
          <w:iCs/>
          <w:sz w:val="20"/>
          <w:szCs w:val="20"/>
          <w:rtl w:val="true"/>
          <w:lang w:val="en-US" w:bidi="fa-IR"/>
        </w:rPr>
        <w:t>:</w:t>
      </w:r>
      <w:r>
        <w:rPr>
          <w:rFonts w:eastAsia="Times New Roman" w:cs="B Nazanin"/>
          <w:i/>
          <w:iCs/>
          <w:sz w:val="20"/>
          <w:szCs w:val="20"/>
          <w:rtl w:val="true"/>
          <w:lang w:val="en-US" w:bidi="fa-IR"/>
        </w:rPr>
        <w:t xml:space="preserve"> </w:t>
      </w:r>
      <w:r>
        <w:rPr>
          <w:rFonts w:ascii="Times New Roman" w:hAnsi="Times New Roman" w:eastAsia="Times New Roman"/>
          <w:i/>
          <w:i/>
          <w:iCs/>
          <w:sz w:val="20"/>
          <w:sz w:val="20"/>
          <w:szCs w:val="20"/>
          <w:rtl w:val="true"/>
          <w:lang w:val="en-US" w:bidi="fa-IR"/>
        </w:rPr>
        <w:t>پیکربندی فشارها، فشار نهادی، اجرای ماهوی، انطباق نمادین، بودجه‌ریزی عملیاتی، گزارشگری تعهدی</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مقدمه</w:t>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 xml:space="preserve">اصلاحات حسابداری و بودجه‌ریزی بخش عمومی معمولاً با ترکیبی از قانون، استاندارد، آموزش و الگوبرداری ترویج می‌شود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پولیت و بوکارت</w:t>
      </w:r>
      <w:r>
        <w:rPr>
          <w:rStyle w:val="FootnoteReference"/>
          <w:rtl w:val="true"/>
        </w:rPr>
        <w:footnoteReference w:id="2"/>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۲۰۱۷</w:t>
      </w:r>
      <w:r>
        <w:rPr>
          <w:rFonts w:ascii="Times New Roman" w:hAnsi="Times New Roman" w:eastAsia="Times New Roman"/>
          <w:sz w:val="26"/>
          <w:sz w:val="26"/>
          <w:szCs w:val="26"/>
          <w:rtl w:val="true"/>
          <w:lang w:val="en-US" w:bidi="fa-IR"/>
        </w:rPr>
        <w:t>؛ کریستین‌س و همکاران</w:t>
      </w:r>
      <w:r>
        <w:rPr>
          <w:rStyle w:val="FootnoteReference"/>
          <w:rtl w:val="true"/>
        </w:rPr>
        <w:footnoteReference w:id="3"/>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ترکیب دو پیامد بالقوه دارد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دستگاه ممکن است اصلاحات را در تصمیم‌های بودجه‌ای و مدیریتی به‌کار گیرد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اجرای ماهوی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یا صرفاً گزارش‌هایی برای ارسال به فرادست تهیه 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انطباق نمادین</w:t>
      </w:r>
      <w:r>
        <w:rPr>
          <w:rFonts w:eastAsia="Times New Roman" w:cs="B Nazanin"/>
          <w:sz w:val="26"/>
          <w:szCs w:val="26"/>
          <w:rtl w:val="true"/>
          <w:lang w:val="en-US" w:bidi="fa-IR"/>
        </w:rPr>
        <w:t>) (</w:t>
      </w:r>
      <w:r>
        <w:rPr>
          <w:rFonts w:ascii="Times New Roman" w:hAnsi="Times New Roman" w:eastAsia="Times New Roman"/>
          <w:sz w:val="26"/>
          <w:sz w:val="26"/>
          <w:szCs w:val="26"/>
          <w:rtl w:val="true"/>
          <w:lang w:val="en-US" w:bidi="fa-IR"/>
        </w:rPr>
        <w:t>مایر و روان</w:t>
      </w:r>
      <w:r>
        <w:rPr>
          <w:rStyle w:val="FootnoteReference"/>
          <w:rtl w:val="true"/>
        </w:rPr>
        <w:footnoteReference w:id="4"/>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۱۹۷۷</w:t>
      </w:r>
      <w:r>
        <w:rPr>
          <w:rFonts w:ascii="Times New Roman" w:hAnsi="Times New Roman" w:eastAsia="Times New Roman"/>
          <w:sz w:val="26"/>
          <w:sz w:val="26"/>
          <w:szCs w:val="26"/>
          <w:rtl w:val="true"/>
          <w:lang w:val="en-US" w:bidi="fa-IR"/>
        </w:rPr>
        <w:t>؛ بریگنال و مودل</w:t>
      </w:r>
      <w:r>
        <w:rPr>
          <w:rStyle w:val="FootnoteReference"/>
          <w:rtl w:val="true"/>
        </w:rPr>
        <w:footnoteReference w:id="5"/>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پژوهش‌های ایرانی عمدتاً به شناسایی عوامل مؤثر بر اجرا پرداخته‌اند؛ برای نمونه احمدی، ناظمی و نمازی</w:t>
      </w:r>
      <w:r>
        <w:rPr>
          <w:rStyle w:val="FootnoteReference"/>
          <w:rtl w:val="true"/>
        </w:rPr>
        <w:footnoteReference w:id="6"/>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 دادند میزان اجرای بودجه‌ریزی مبتنی بر عملکرد در ابعاد برنامه‌ریزی راهبردی، تحلیل هزینه و مدیریت عملکرد پایین است و نورانی و اخلاقی یزدی‌نژاد</w:t>
      </w:r>
      <w:r>
        <w:rPr>
          <w:rStyle w:val="FootnoteReference"/>
          <w:rtl w:val="true"/>
        </w:rPr>
        <w:footnoteReference w:id="7"/>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چالش‌های حقوقی و ساختاری را مانع اجرای استانداردها دانستند</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 xml:space="preserve">آنچه در این ادبیات کمتر دیده می‌شود،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پیکربندی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فشارهاست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دی‌ماجیو و پاول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دی‌ماجیو و پاول</w:t>
      </w:r>
      <w:r>
        <w:rPr>
          <w:rStyle w:val="FootnoteReference"/>
          <w:rtl w:val="true"/>
        </w:rPr>
        <w:footnoteReference w:id="8"/>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سه سازوکار الزامی، هنجاری و تقلیدی را از هم جدا کردند، اما در عمل دستگاه‌ها هم‌زمان با هر سه روبه‌رو هستند و پرسش اصلی آن است که این فشارها یکدیگر را تقویت می‌کنند، خنثی می‌کنند یا جایگزین هم می‌شوند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میزروچی و فاین</w:t>
      </w:r>
      <w:r>
        <w:rPr>
          <w:rStyle w:val="FootnoteReference"/>
          <w:rtl w:val="true"/>
        </w:rPr>
        <w:footnoteReference w:id="9"/>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۱۹۹۹</w:t>
      </w:r>
      <w:r>
        <w:rPr>
          <w:rFonts w:ascii="Times New Roman" w:hAnsi="Times New Roman" w:eastAsia="Times New Roman"/>
          <w:sz w:val="26"/>
          <w:sz w:val="26"/>
          <w:szCs w:val="26"/>
          <w:rtl w:val="true"/>
          <w:lang w:val="en-US" w:bidi="fa-IR"/>
        </w:rPr>
        <w:t>؛ گرینوود و همکاران</w:t>
      </w:r>
      <w:r>
        <w:rPr>
          <w:rStyle w:val="FootnoteReference"/>
          <w:rtl w:val="true"/>
        </w:rPr>
        <w:footnoteReference w:id="10"/>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نخست، اگر الزام بدون هنجار حرفه‌ای باشد، دستگاه چه می‌کند؟ دوم، اگر الزام با الگوهای آمادهٔ مشاوران و دستگاه‌های همتا همراه شود، آیا به ظاهر‌سازی می‌انجامد؟ سوم، آیا اجرای ماهوی و انطباق نمادین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یا این یا آن</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اند یا در یک دستگاه کنار هم می‌مانند؟ چهارم، آیا ماهیت دستگاه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اداری و حاکمیتی در برابر خدماتی و محلی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رابطه‌ها را تغییر می‌دهد؟ و پنجم، آیا دستگاه‌ها در نیمرخ‌های متمایز فشار قرار می‌گیرند؟</w:t>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 xml:space="preserve">هدف این مقاله پاسخ به این پرسش‌ها با تمرکز بر </w:t>
      </w:r>
      <w:r>
        <w:rPr>
          <w:rFonts w:ascii="Times New Roman" w:hAnsi="Times New Roman" w:eastAsia="Times New Roman"/>
          <w:b/>
          <w:b/>
          <w:bCs/>
          <w:sz w:val="26"/>
          <w:sz w:val="26"/>
          <w:szCs w:val="26"/>
          <w:rtl w:val="true"/>
          <w:lang w:val="en-US" w:bidi="fa-IR"/>
        </w:rPr>
        <w:t>سه متغیر مستقل</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فشار الزامی، هنجاری و تقلیدی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w:t>
      </w:r>
      <w:r>
        <w:rPr>
          <w:rFonts w:ascii="Times New Roman" w:hAnsi="Times New Roman" w:eastAsia="Times New Roman"/>
          <w:b/>
          <w:b/>
          <w:bCs/>
          <w:sz w:val="26"/>
          <w:sz w:val="26"/>
          <w:szCs w:val="26"/>
          <w:rtl w:val="true"/>
          <w:lang w:val="en-US" w:bidi="fa-IR"/>
        </w:rPr>
        <w:t>دو متغیر وابسته</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اجرای ماهوی و انطباق نمادین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تازگی پژوهش در گذار از اثرهای اصلی به اثرهای متقابل و نیمرخ‌هاست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به‌جای پرسش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کدام فشار مؤثرتر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می‌پرسیم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چه ترکیبی از فشارها چه پاسخی می‌آفریند؟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فرضیه‌های پژوهش در پایان بخش پیشینه آمده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پیشینه پژوهش</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پیشینه نظری</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فشارهای نهادی</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فشار الزامی از قوانین، دستورالعمل‌ها و وابستگی به نهادهای فرادست می‌آید؛ فشار هنجاری از حرفه‌ای‌شدن، آموزش و شبکه‌های حرفه‌ای؛ و فشار تقلیدی از الگوبرداری در شرایط ابهام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دی‌ماجیو و پاول، </w:t>
      </w:r>
      <w:r>
        <w:rPr>
          <w:rFonts w:ascii="Times New Roman" w:hAnsi="Times New Roman" w:eastAsia="Times New Roman"/>
          <w:sz w:val="26"/>
          <w:sz w:val="26"/>
          <w:szCs w:val="26"/>
          <w:lang w:val="en-US" w:bidi="fa-IR"/>
        </w:rPr>
        <w:t>۱۹۸۳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اسکات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اسکات</w:t>
      </w:r>
      <w:r>
        <w:rPr>
          <w:rStyle w:val="FootnoteReference"/>
          <w:rtl w:val="true"/>
        </w:rPr>
        <w:footnoteReference w:id="11"/>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سه را به ستون‌های قاعده‌ای، هنجاری و فرهنگی</w:t>
        <w:noBreakHyphen/>
        <w:t>شناختی نهادها پیوند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نکتهٔ مهم آن است که سازمان‌ها دریافت‌کنندهٔ منفعل نیستند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الیور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الیور</w:t>
      </w:r>
      <w:r>
        <w:rPr>
          <w:rStyle w:val="FootnoteReference"/>
          <w:rtl w:val="true"/>
        </w:rPr>
        <w:footnoteReference w:id="12"/>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طیفی از پاسخ‌ها از پذیرش تا پنهان‌کاری را برمی‌شمارد و کوستووا و راث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کوستووا و راث</w:t>
      </w:r>
      <w:r>
        <w:rPr>
          <w:rStyle w:val="FootnoteReference"/>
          <w:rtl w:val="true"/>
        </w:rPr>
        <w:footnoteReference w:id="13"/>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میان پذیرش تشریفاتی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کاربرد رسمی بدون فهم و تعهد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درونی‌سازی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ارزش‌گذاری و به‌کارگیری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تمایز می‌نهند</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جدایی و پاسخ نمادین</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 پایهٔ تمایز مایر و روان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مایر و روان، </w:t>
      </w:r>
      <w:r>
        <w:rPr>
          <w:rFonts w:ascii="Times New Roman" w:hAnsi="Times New Roman" w:eastAsia="Times New Roman"/>
          <w:sz w:val="26"/>
          <w:sz w:val="26"/>
          <w:szCs w:val="26"/>
          <w:lang w:val="en-US" w:bidi="fa-IR"/>
        </w:rPr>
        <w:t>۱۹۷۷</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ساختارهای رسمی ممکن است برای کسب مشروعیت از عملیات جدا شوند و برومیلی و پاول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برومیلی و پاول</w:t>
      </w:r>
      <w:r>
        <w:rPr>
          <w:rStyle w:val="FootnoteReference"/>
          <w:rtl w:val="true"/>
        </w:rPr>
        <w:footnoteReference w:id="14"/>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دو نوع جدایی را بازمی‌شناسند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جدایی سیاست از عمل و جدایی وسیله از هدف</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حسابداری بخش عمومی، سنجه‌های عملکرد و گزارش‌های تعهدی چنین ظرفیتی دارند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مودل</w:t>
      </w:r>
      <w:r>
        <w:rPr>
          <w:rStyle w:val="FootnoteReference"/>
          <w:rtl w:val="true"/>
        </w:rPr>
        <w:footnoteReference w:id="15"/>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این مقاله </w:t>
      </w:r>
      <w:r>
        <w:rPr>
          <w:rFonts w:ascii="Times New Roman" w:hAnsi="Times New Roman" w:eastAsia="Times New Roman"/>
          <w:b/>
          <w:b/>
          <w:bCs/>
          <w:sz w:val="26"/>
          <w:sz w:val="26"/>
          <w:szCs w:val="26"/>
          <w:rtl w:val="true"/>
          <w:lang w:val="en-US" w:bidi="fa-IR"/>
        </w:rPr>
        <w:t>اجرای ماهوی</w:t>
      </w:r>
      <w:r>
        <w:rPr>
          <w:rFonts w:ascii="Times New Roman" w:hAnsi="Times New Roman" w:eastAsia="Times New Roman"/>
          <w:sz w:val="26"/>
          <w:sz w:val="26"/>
          <w:szCs w:val="26"/>
          <w:rtl w:val="true"/>
          <w:lang w:val="en-US" w:bidi="fa-IR"/>
        </w:rPr>
        <w:t xml:space="preserve"> را به‌کارگیری برنامه‌ها، بهای تمام‌شده و صورت‌های تعهدی در تدوین بودجه و تصمیم‌های مدیریتی و </w:t>
      </w:r>
      <w:r>
        <w:rPr>
          <w:rFonts w:ascii="Times New Roman" w:hAnsi="Times New Roman" w:eastAsia="Times New Roman"/>
          <w:b/>
          <w:b/>
          <w:bCs/>
          <w:sz w:val="26"/>
          <w:sz w:val="26"/>
          <w:szCs w:val="26"/>
          <w:rtl w:val="true"/>
          <w:lang w:val="en-US" w:bidi="fa-IR"/>
        </w:rPr>
        <w:t>انطباق نمادین</w:t>
      </w:r>
      <w:r>
        <w:rPr>
          <w:rFonts w:ascii="Times New Roman" w:hAnsi="Times New Roman" w:eastAsia="Times New Roman"/>
          <w:sz w:val="26"/>
          <w:sz w:val="26"/>
          <w:szCs w:val="26"/>
          <w:rtl w:val="true"/>
          <w:lang w:val="en-US" w:bidi="fa-IR"/>
        </w:rPr>
        <w:t xml:space="preserve"> را تهیهٔ گزارش‌ها عمدتاً برای ارسال به فرادست با شاخص‌های سهل‌الوصول و بی‌اثر بر تخصیص منابع تعریف می‌کنیم</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پیکربندی فشارها</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میزروچی و فاین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میزروچی و فاین، </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دادند سه سازوکار در عمل هم‌زمان و درهم‌تنیده کار می‌کنند و اثر هر یک به دیگری وابسته است؛ گرینوود و همکاران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گرینوود و همکاران، </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نیز با مفهوم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پیچیدگی نهادی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 دادند پاسخ سازمان به ترکیب منطق‌ها و فشارها بستگی دارد، نه به تک‌تک آن‌ها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این دیدگاه، الزام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رفتار را قابل‌مشاهده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اما معنای آن را تعیین نمی‌کند؛ معنا از هنجار حرفه‌ای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الگوی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کار درست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یا از تقلید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الگوی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کار رایج</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می‌آید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الزام </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هنجار ⟵ اجرای ماهوی؛ الزام </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الگوی آماده ⟵ انطباق نمادین</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زمینهٔ ایران</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ایران اجرای مبنای تعهدی و بودجه‌ریزی عملیاتی از راه قوانین و برنامه‌های توسعه، استانداردهای حسابداری بخش عمومی و ابلاغ‌های نهادهای فرادست دنبال می‌شود و نهادهای نظارتی متعددی بر اجرای آن‌ها نظارت دارند؛ این همان فشار الزامی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هم‌زمان، آموزش دانشگاهی و حرفه‌ای، جوامع حرفه‌ای و دوره‌های ضمن‌خدمت هنجارهای حرفه‌ای را می‌سازند و بازار مشاوره و نرم‌افزارهای مالی قالب‌های آماده عرضه می‌کند که دستگاه‌ها از یکدیگر وام می‌گیرند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نورانی و اخلاقی یزدی‌نژاد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همین چندلایگی را در چالش‌های حقوقی، آموزشی و پذیرش استانداردهای بین‌المللی بازشناسی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از این رو دستگاه‌های اجرایی ایران نمونهٔ مناسبی برای بررسی پیکربندی‌اند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هر سه فشار هم‌زمان حضور دارند، اما سهم آن‌ها در انواع دستگاه‌ها متفاوت است</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سه قاعدهٔ ترکیب</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از ادبیات نظری سه قاعدهٔ ترکیب فشارها قابل استخراج است</w:t>
      </w:r>
      <w:r>
        <w:rPr>
          <w:rFonts w:eastAsia="Times New Roman" w:cs="B Nazanin"/>
          <w:sz w:val="26"/>
          <w:szCs w:val="26"/>
          <w:rtl w:val="true"/>
          <w:lang w:val="en-US" w:bidi="fa-IR"/>
        </w:rPr>
        <w:t>. (</w:t>
      </w:r>
      <w:r>
        <w:rPr>
          <w:rFonts w:ascii="Times New Roman" w:hAnsi="Times New Roman" w:eastAsia="Times New Roman"/>
          <w:sz w:val="26"/>
          <w:sz w:val="26"/>
          <w:szCs w:val="26"/>
          <w:rtl w:val="true"/>
          <w:lang w:val="en-US" w:bidi="fa-IR"/>
        </w:rPr>
        <w:t>الف</w:t>
      </w:r>
      <w:r>
        <w:rPr>
          <w:rFonts w:eastAsia="Times New Roman" w:cs="B Nazanin"/>
          <w:sz w:val="26"/>
          <w:szCs w:val="26"/>
          <w:rtl w:val="true"/>
          <w:lang w:val="en-US" w:bidi="fa-IR"/>
        </w:rPr>
        <w:t>) *</w:t>
      </w:r>
      <w:r>
        <w:rPr>
          <w:rFonts w:ascii="Times New Roman" w:hAnsi="Times New Roman" w:eastAsia="Times New Roman"/>
          <w:sz w:val="26"/>
          <w:sz w:val="26"/>
          <w:szCs w:val="26"/>
          <w:rtl w:val="true"/>
          <w:lang w:val="en-US" w:bidi="fa-IR"/>
        </w:rPr>
        <w:t>هم‌افزایی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فشاری که معنای ارزشی می‌دهد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هنجار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فشاری که رفتار را قابل‌مشاهده می‌کند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الزام</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را بر نتیجهٔ ماهوی بزرگ‌تر می‌کند</w:t>
      </w:r>
      <w:r>
        <w:rPr>
          <w:rFonts w:eastAsia="Times New Roman" w:cs="B Nazanin"/>
          <w:sz w:val="26"/>
          <w:szCs w:val="26"/>
          <w:rtl w:val="true"/>
          <w:lang w:val="en-US" w:bidi="fa-IR"/>
        </w:rPr>
        <w:t>. (</w:t>
      </w:r>
      <w:r>
        <w:rPr>
          <w:rFonts w:ascii="Times New Roman" w:hAnsi="Times New Roman" w:eastAsia="Times New Roman"/>
          <w:sz w:val="26"/>
          <w:sz w:val="26"/>
          <w:szCs w:val="26"/>
          <w:rtl w:val="true"/>
          <w:lang w:val="en-US" w:bidi="fa-IR"/>
        </w:rPr>
        <w:t>ب</w:t>
      </w:r>
      <w:r>
        <w:rPr>
          <w:rFonts w:eastAsia="Times New Roman" w:cs="B Nazanin"/>
          <w:sz w:val="26"/>
          <w:szCs w:val="26"/>
          <w:rtl w:val="true"/>
          <w:lang w:val="en-US" w:bidi="fa-IR"/>
        </w:rPr>
        <w:t>) *</w:t>
      </w:r>
      <w:r>
        <w:rPr>
          <w:rFonts w:ascii="Times New Roman" w:hAnsi="Times New Roman" w:eastAsia="Times New Roman"/>
          <w:sz w:val="26"/>
          <w:sz w:val="26"/>
          <w:szCs w:val="26"/>
          <w:rtl w:val="true"/>
          <w:lang w:val="en-US" w:bidi="fa-IR"/>
        </w:rPr>
        <w:t>تبدیل</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فشاری که پاسخ ارزان فراهم می‌کند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تقلید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الزام را از مسیر ماهوی به مسیر نمادین منحرف می‌کند</w:t>
      </w:r>
      <w:r>
        <w:rPr>
          <w:rFonts w:eastAsia="Times New Roman" w:cs="B Nazanin"/>
          <w:sz w:val="26"/>
          <w:szCs w:val="26"/>
          <w:rtl w:val="true"/>
          <w:lang w:val="en-US" w:bidi="fa-IR"/>
        </w:rPr>
        <w:t>. (</w:t>
      </w:r>
      <w:r>
        <w:rPr>
          <w:rFonts w:ascii="Times New Roman" w:hAnsi="Times New Roman" w:eastAsia="Times New Roman"/>
          <w:sz w:val="26"/>
          <w:sz w:val="26"/>
          <w:szCs w:val="26"/>
          <w:rtl w:val="true"/>
          <w:lang w:val="en-US" w:bidi="fa-IR"/>
        </w:rPr>
        <w:t>ج</w:t>
      </w:r>
      <w:r>
        <w:rPr>
          <w:rFonts w:eastAsia="Times New Roman" w:cs="B Nazanin"/>
          <w:sz w:val="26"/>
          <w:szCs w:val="26"/>
          <w:rtl w:val="true"/>
          <w:lang w:val="en-US" w:bidi="fa-IR"/>
        </w:rPr>
        <w:t>) *</w:t>
      </w:r>
      <w:r>
        <w:rPr>
          <w:rFonts w:ascii="Times New Roman" w:hAnsi="Times New Roman" w:eastAsia="Times New Roman"/>
          <w:sz w:val="26"/>
          <w:sz w:val="26"/>
          <w:szCs w:val="26"/>
          <w:rtl w:val="true"/>
          <w:lang w:val="en-US" w:bidi="fa-IR"/>
        </w:rPr>
        <w:t>جانشینی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هنگامی که یک فشار به‌قدر کافی قوی است، فشار دیگر اثر افزایشی ندارد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قاعدهٔ سوم در این پژوهش به‌صورت تفاوت میان انواع دستگاه آزموده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نهادهای دارای هویت حرفه‌ای قوی، هنجار می‌تواند جانشین الزام شود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پیشینه تجربی</w:t>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ناروئی، مؤمنی و گرد</w:t>
      </w:r>
      <w:r>
        <w:rPr>
          <w:rStyle w:val="FootnoteReference"/>
          <w:rtl w:val="true"/>
        </w:rPr>
        <w:footnoteReference w:id="16"/>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 تحلیل مضمون مدل مطلوب نظام تعهدی دستگاه‌های اجرایی را شامل مضامین اعتماد نهادی، فرایندهای مدیریتی، بهره‌وری و قوانین مالی ارائه کردند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پورغفار و همکاران</w:t>
      </w:r>
      <w:r>
        <w:rPr>
          <w:rStyle w:val="FootnoteReference"/>
          <w:rtl w:val="true"/>
        </w:rPr>
        <w:footnoteReference w:id="17"/>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w:t>
      </w:r>
      <w:r>
        <w:rPr>
          <w:rFonts w:ascii="Times New Roman" w:hAnsi="Times New Roman" w:eastAsia="Times New Roman"/>
          <w:sz w:val="26"/>
          <w:sz w:val="26"/>
          <w:szCs w:val="26"/>
          <w:lang w:val="en-US" w:bidi="fa-IR"/>
        </w:rPr>
        <w:t>۲۰</w:t>
      </w:r>
      <w:r>
        <w:rPr>
          <w:rFonts w:ascii="Times New Roman" w:hAnsi="Times New Roman" w:eastAsia="Times New Roman"/>
          <w:sz w:val="26"/>
          <w:sz w:val="26"/>
          <w:szCs w:val="26"/>
          <w:rtl w:val="true"/>
          <w:lang w:val="en-US" w:bidi="fa-IR"/>
        </w:rPr>
        <w:t xml:space="preserve"> مصاحبه الگوی بودجه‌ریزی عملکرد با گزارشگری بهنگام را ترسیم و بر فناوری اطلاعات تأکید کردند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نورانی و اخلاقی یزدی‌نژاد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w:t>
      </w:r>
      <w:r>
        <w:rPr>
          <w:rFonts w:ascii="Times New Roman" w:hAnsi="Times New Roman" w:eastAsia="Times New Roman"/>
          <w:sz w:val="26"/>
          <w:sz w:val="26"/>
          <w:szCs w:val="26"/>
          <w:lang w:val="en-US" w:bidi="fa-IR"/>
        </w:rPr>
        <w:t>۱۸</w:t>
      </w:r>
      <w:r>
        <w:rPr>
          <w:rFonts w:ascii="Times New Roman" w:hAnsi="Times New Roman" w:eastAsia="Times New Roman"/>
          <w:sz w:val="26"/>
          <w:sz w:val="26"/>
          <w:szCs w:val="26"/>
          <w:rtl w:val="true"/>
          <w:lang w:val="en-US" w:bidi="fa-IR"/>
        </w:rPr>
        <w:t xml:space="preserve"> مصاحبه سیزده بعد مؤثر بر استانداردهای بخش عمومی را یافتند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احمدی، ناظمی و نمازی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w:t>
      </w:r>
      <w:r>
        <w:rPr>
          <w:rFonts w:ascii="Times New Roman" w:hAnsi="Times New Roman" w:eastAsia="Times New Roman"/>
          <w:sz w:val="26"/>
          <w:sz w:val="26"/>
          <w:szCs w:val="26"/>
          <w:lang w:val="en-US" w:bidi="fa-IR"/>
        </w:rPr>
        <w:t>۱۵۲</w:t>
      </w:r>
      <w:r>
        <w:rPr>
          <w:rFonts w:ascii="Times New Roman" w:hAnsi="Times New Roman" w:eastAsia="Times New Roman"/>
          <w:sz w:val="26"/>
          <w:sz w:val="26"/>
          <w:szCs w:val="26"/>
          <w:rtl w:val="true"/>
          <w:lang w:val="en-US" w:bidi="fa-IR"/>
        </w:rPr>
        <w:t xml:space="preserve"> پرسشنامه و معادلات ساختاری، کنشگران اقتصادی، فنی، شایستگی مدیریت و تعهد سازمانی را مؤثر یافتند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پژوهش‌ها اثر تک‌تک عوامل را بررسی می‌کنند، اما فشارهای نهادی را به‌صورت پیکربندی نمی‌سنجند و میان اجرای ماهوی و نمادین تمایز نمی‌گذارند</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 xml:space="preserve">در پژوهش‌های خارجی، پینا و همکاران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پینا، تورس و یتانو</w:t>
      </w:r>
      <w:r>
        <w:rPr>
          <w:rStyle w:val="FootnoteReference"/>
          <w:rtl w:val="true"/>
        </w:rPr>
        <w:footnoteReference w:id="18"/>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کریستین‌س و همکاران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کریستین‌س، رینرز و رول</w:t>
      </w:r>
      <w:r>
        <w:rPr>
          <w:rStyle w:val="FootnoteReference"/>
          <w:rtl w:val="true"/>
        </w:rPr>
        <w:footnoteReference w:id="19"/>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۲۰۱۰</w:t>
      </w:r>
      <w:r>
        <w:rPr>
          <w:rFonts w:ascii="Times New Roman" w:hAnsi="Times New Roman" w:eastAsia="Times New Roman"/>
          <w:sz w:val="26"/>
          <w:sz w:val="26"/>
          <w:szCs w:val="26"/>
          <w:rtl w:val="true"/>
          <w:lang w:val="en-US" w:bidi="fa-IR"/>
        </w:rPr>
        <w:t xml:space="preserve">؛ کریستین‌س و همکاران،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تفاوت اجرای مبنای تعهدی میان کشورها را به زمینه و ظرفیت نسبت دادند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موینیهان و پاندی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موینیهان و پاندی</w:t>
      </w:r>
      <w:r>
        <w:rPr>
          <w:rStyle w:val="FootnoteReference"/>
          <w:rtl w:val="true"/>
        </w:rPr>
        <w:footnoteReference w:id="20"/>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عوامل سازمانی استفاده از اطلاعات عملکرد را بررسی کردند و مودل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مودل، </w:t>
      </w:r>
      <w:r>
        <w:rPr>
          <w:rFonts w:ascii="Times New Roman" w:hAnsi="Times New Roman" w:eastAsia="Times New Roman"/>
          <w:sz w:val="26"/>
          <w:sz w:val="26"/>
          <w:szCs w:val="26"/>
          <w:lang w:val="en-US" w:bidi="fa-IR"/>
        </w:rPr>
        <w:t>۲۰۰۹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پژوهش‌های نهادی دربارهٔ سنجش عملکرد را مرور و بر مشروعیت‌جویی تأکید کرد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حوزهٔ نظریهٔ نهادی، کوستووا و راث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کوستووا و راث، </w:t>
      </w:r>
      <w:r>
        <w:rPr>
          <w:rFonts w:ascii="Times New Roman" w:hAnsi="Times New Roman" w:eastAsia="Times New Roman"/>
          <w:sz w:val="26"/>
          <w:sz w:val="26"/>
          <w:szCs w:val="26"/>
          <w:lang w:val="en-US" w:bidi="fa-IR"/>
        </w:rPr>
        <w:t>۲۰۰۲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 دادند پذیرش تشریفاتی با ترکیب فشارهای نهادی و روابط درون‌سازمانی تغییر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اما آزمون هم‌زمان اثر متقابل فشارها، همبستگی دو پاسخ، تفاوت میان انواع دستگاه و نیمرخ‌های فشار با روش معادلات ساختاری پنهان در این مجموعه یافت نشد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مدل مفهومی و فرضیه‌ها</w:t>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 xml:space="preserve">مدل مفهومی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پنج متغیر پنهان دارد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سه فشار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الزامی، هنجاری، تقلیدی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دو پاسخ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اجرای ماهوی، انطباق نمادین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اثرهای اصلی فشارها به‌عنوان مبنای مدل لحاظ می‌شوند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انتظار می‌رود الزام و هنجار اجرای ماهوی را و الزام و تقلید انطباق نمادین را افزایش دهند و هنجار انطباق نمادین را بکاهد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فرضیه‌های پژوهش بر پیکربندی فشارها متمرکزند</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w:t>
      </w:r>
      <w:r>
        <w:rPr>
          <w:rFonts w:ascii="Times New Roman" w:hAnsi="Times New Roman" w:eastAsia="Times New Roman"/>
          <w:b/>
          <w:b/>
          <w:bCs/>
          <w:sz w:val="26"/>
          <w:sz w:val="26"/>
          <w:szCs w:val="26"/>
          <w:rtl w:val="true"/>
          <w:lang w:val="en-US" w:bidi="fa-IR"/>
        </w:rPr>
        <w:t xml:space="preserve"> </w:t>
      </w:r>
      <w:r>
        <w:rPr>
          <w:rFonts w:eastAsia="Times New Roman" w:cs="B Nazanin"/>
          <w:b/>
          <w:bCs/>
          <w:sz w:val="26"/>
          <w:szCs w:val="26"/>
          <w:rtl w:val="true"/>
          <w:lang w:val="en-US" w:bidi="fa-IR"/>
        </w:rPr>
        <w:t>(</w:t>
      </w:r>
      <w:r>
        <w:rPr>
          <w:rFonts w:ascii="Times New Roman" w:hAnsi="Times New Roman" w:eastAsia="Times New Roman"/>
          <w:b/>
          <w:b/>
          <w:bCs/>
          <w:sz w:val="26"/>
          <w:sz w:val="26"/>
          <w:szCs w:val="26"/>
          <w:rtl w:val="true"/>
          <w:lang w:val="en-US" w:bidi="fa-IR"/>
        </w:rPr>
        <w:t>هم‌افزایی الزام و هنجار</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فشار هنجاری اثر فشار الزامی بر اجرای ماهوی را تقویت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استدلال</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الزام در نبود هنجار تنها رفتار را قابل‌مشاهده می‌کند، اما هنجار حرفه‌ای به الزام معنا می‌دهد و آن را به ارزش تبدیل می‌کند</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۲</w:t>
      </w:r>
      <w:r>
        <w:rPr>
          <w:rFonts w:ascii="Times New Roman" w:hAnsi="Times New Roman" w:eastAsia="Times New Roman"/>
          <w:b/>
          <w:b/>
          <w:bCs/>
          <w:sz w:val="26"/>
          <w:sz w:val="26"/>
          <w:szCs w:val="26"/>
          <w:rtl w:val="true"/>
          <w:lang w:val="en-US" w:bidi="fa-IR"/>
        </w:rPr>
        <w:t xml:space="preserve"> </w:t>
      </w:r>
      <w:r>
        <w:rPr>
          <w:rFonts w:eastAsia="Times New Roman" w:cs="B Nazanin"/>
          <w:b/>
          <w:bCs/>
          <w:sz w:val="26"/>
          <w:szCs w:val="26"/>
          <w:rtl w:val="true"/>
          <w:lang w:val="en-US" w:bidi="fa-IR"/>
        </w:rPr>
        <w:t>(</w:t>
      </w:r>
      <w:r>
        <w:rPr>
          <w:rFonts w:ascii="Times New Roman" w:hAnsi="Times New Roman" w:eastAsia="Times New Roman"/>
          <w:b/>
          <w:b/>
          <w:bCs/>
          <w:sz w:val="26"/>
          <w:sz w:val="26"/>
          <w:szCs w:val="26"/>
          <w:rtl w:val="true"/>
          <w:lang w:val="en-US" w:bidi="fa-IR"/>
        </w:rPr>
        <w:t>تبدیل الزام به آیین</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فشار تقلیدی اثر فشار الزامی بر انطباق نمادین را تقویت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استدلال</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الزام همراه با قالب‌های آماده،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کمترین هزینهٔ پاسخ</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را فراهم می‌کند و ظاهر‌سازی را ممکن می‌سازد</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۳</w:t>
      </w:r>
      <w:r>
        <w:rPr>
          <w:rFonts w:ascii="Times New Roman" w:hAnsi="Times New Roman" w:eastAsia="Times New Roman"/>
          <w:b/>
          <w:b/>
          <w:bCs/>
          <w:sz w:val="26"/>
          <w:sz w:val="26"/>
          <w:szCs w:val="26"/>
          <w:rtl w:val="true"/>
          <w:lang w:val="en-US" w:bidi="fa-IR"/>
        </w:rPr>
        <w:t xml:space="preserve"> </w:t>
      </w:r>
      <w:r>
        <w:rPr>
          <w:rFonts w:eastAsia="Times New Roman" w:cs="B Nazanin"/>
          <w:b/>
          <w:bCs/>
          <w:sz w:val="26"/>
          <w:szCs w:val="26"/>
          <w:rtl w:val="true"/>
          <w:lang w:val="en-US" w:bidi="fa-IR"/>
        </w:rPr>
        <w:t>(</w:t>
      </w:r>
      <w:r>
        <w:rPr>
          <w:rFonts w:ascii="Times New Roman" w:hAnsi="Times New Roman" w:eastAsia="Times New Roman"/>
          <w:b/>
          <w:b/>
          <w:bCs/>
          <w:sz w:val="26"/>
          <w:sz w:val="26"/>
          <w:szCs w:val="26"/>
          <w:rtl w:val="true"/>
          <w:lang w:val="en-US" w:bidi="fa-IR"/>
        </w:rPr>
        <w:t>هم‌زیستی دو چهره</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پس از کنترل فشارها، اجرای ماهوی و انطباق نمادین همبستگی مثبت دارند؛ زیرا دستگاه‌های فعال‌تر هم بیشتر اجرا و هم بیشتر گزارش می‌کنند و دو چهره در یک دستگاه کنار هم می‌مانند</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۴</w:t>
      </w:r>
      <w:r>
        <w:rPr>
          <w:rFonts w:ascii="Times New Roman" w:hAnsi="Times New Roman" w:eastAsia="Times New Roman"/>
          <w:b/>
          <w:b/>
          <w:bCs/>
          <w:sz w:val="26"/>
          <w:sz w:val="26"/>
          <w:szCs w:val="26"/>
          <w:rtl w:val="true"/>
          <w:lang w:val="en-US" w:bidi="fa-IR"/>
        </w:rPr>
        <w:t xml:space="preserve"> </w:t>
      </w:r>
      <w:r>
        <w:rPr>
          <w:rFonts w:eastAsia="Times New Roman" w:cs="B Nazanin"/>
          <w:b/>
          <w:bCs/>
          <w:sz w:val="26"/>
          <w:szCs w:val="26"/>
          <w:rtl w:val="true"/>
          <w:lang w:val="en-US" w:bidi="fa-IR"/>
        </w:rPr>
        <w:t>(</w:t>
      </w:r>
      <w:r>
        <w:rPr>
          <w:rFonts w:ascii="Times New Roman" w:hAnsi="Times New Roman" w:eastAsia="Times New Roman"/>
          <w:b/>
          <w:b/>
          <w:bCs/>
          <w:sz w:val="26"/>
          <w:sz w:val="26"/>
          <w:szCs w:val="26"/>
          <w:rtl w:val="true"/>
          <w:lang w:val="en-US" w:bidi="fa-IR"/>
        </w:rPr>
        <w:t>نوع دستگاه</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فشار هنجاری بر اجرای ماهوی در نهادهای خدماتی و محلی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دانشگاه‌ها، مراکز بهداشتی‌درمانی و شهرداری‌ها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که حرفه‌های متنوع‌تر و شبکه‌های حرفه‌ای قوی‌تری دارند، از نهادهای اداری و حاکمیتی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وزارتخانه‌ها و ادارات کل</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قوی‌تر است</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۵</w:t>
      </w:r>
      <w:r>
        <w:rPr>
          <w:rFonts w:ascii="Times New Roman" w:hAnsi="Times New Roman" w:eastAsia="Times New Roman"/>
          <w:b/>
          <w:b/>
          <w:bCs/>
          <w:sz w:val="26"/>
          <w:sz w:val="26"/>
          <w:szCs w:val="26"/>
          <w:rtl w:val="true"/>
          <w:lang w:val="en-US" w:bidi="fa-IR"/>
        </w:rPr>
        <w:t xml:space="preserve"> </w:t>
      </w:r>
      <w:r>
        <w:rPr>
          <w:rFonts w:eastAsia="Times New Roman" w:cs="B Nazanin"/>
          <w:b/>
          <w:bCs/>
          <w:sz w:val="26"/>
          <w:szCs w:val="26"/>
          <w:rtl w:val="true"/>
          <w:lang w:val="en-US" w:bidi="fa-IR"/>
        </w:rPr>
        <w:t>(</w:t>
      </w:r>
      <w:r>
        <w:rPr>
          <w:rFonts w:ascii="Times New Roman" w:hAnsi="Times New Roman" w:eastAsia="Times New Roman"/>
          <w:b/>
          <w:b/>
          <w:bCs/>
          <w:sz w:val="26"/>
          <w:sz w:val="26"/>
          <w:szCs w:val="26"/>
          <w:rtl w:val="true"/>
          <w:lang w:val="en-US" w:bidi="fa-IR"/>
        </w:rPr>
        <w:t>نیمرخ‌ها</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دستگاه‌ها در نیمرخ‌های نهفتهٔ متمایزی از فشارها قرار می‌گیرند که از نظر انطباق نمادین با یکدیگر تفاوت دارند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5579745" cy="2950845"/>
            <wp:effectExtent l="0" t="0" r="0" b="0"/>
            <wp:docPr id="1" name="Fig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
                    <pic:cNvPicPr>
                      <a:picLocks noChangeAspect="1" noChangeArrowheads="1"/>
                    </pic:cNvPicPr>
                  </pic:nvPicPr>
                  <pic:blipFill>
                    <a:blip r:embed="rId2"/>
                    <a:stretch>
                      <a:fillRect/>
                    </a:stretch>
                  </pic:blipFill>
                  <pic:spPr bwMode="auto">
                    <a:xfrm>
                      <a:off x="0" y="0"/>
                      <a:ext cx="5579745" cy="295084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مدل مفهومی پژوهش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خطوط نارنجی</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اثرهای متقابل پنهان؛ خط چین خاکستری</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مسیر برآوردشده بدون فرضیه؛ پیکان دوسویه</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همبستگی باقی‌مانده</w:t>
      </w:r>
      <w:r>
        <w:rPr>
          <w:rFonts w:eastAsia="Times New Roman" w:cs="B Zar"/>
          <w:b/>
          <w:bCs/>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روش‌شناسی پژوهش</w:t>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پژوهش کاربردی و پیمایشی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جامعه شامل مدیران مالی، ذی‌حسابان، کارشناسان بودجه و حسابداران دستگاه‌های اجرایی است و نمونه </w:t>
      </w:r>
      <w:r>
        <w:rPr>
          <w:rFonts w:ascii="Times New Roman" w:hAnsi="Times New Roman" w:eastAsia="Times New Roman"/>
          <w:sz w:val="26"/>
          <w:sz w:val="26"/>
          <w:szCs w:val="26"/>
          <w:lang w:val="en-US" w:bidi="fa-IR"/>
        </w:rPr>
        <w:t>۴۱۲</w:t>
      </w:r>
      <w:r>
        <w:rPr>
          <w:rFonts w:ascii="Times New Roman" w:hAnsi="Times New Roman" w:eastAsia="Times New Roman"/>
          <w:sz w:val="26"/>
          <w:sz w:val="26"/>
          <w:szCs w:val="26"/>
          <w:rtl w:val="true"/>
          <w:lang w:val="en-US" w:bidi="fa-IR"/>
        </w:rPr>
        <w:t xml:space="preserve"> نفر دارد </w:t>
      </w:r>
      <w:r>
        <w:rPr>
          <w:rFonts w:eastAsia="Times New Roman" w:cs="B Nazanin"/>
          <w:sz w:val="26"/>
          <w:szCs w:val="26"/>
          <w:highlight w:val="yellow"/>
          <w:rtl w:val="true"/>
          <w:lang w:val="en-US" w:bidi="fa-IR"/>
        </w:rPr>
        <w:t>[</w:t>
      </w:r>
      <w:r>
        <w:rPr>
          <w:rFonts w:ascii="Times New Roman" w:hAnsi="Times New Roman" w:eastAsia="Times New Roman"/>
          <w:sz w:val="26"/>
          <w:sz w:val="26"/>
          <w:szCs w:val="26"/>
          <w:highlight w:val="yellow"/>
          <w:rtl w:val="true"/>
          <w:lang w:val="en-US" w:bidi="fa-IR"/>
        </w:rPr>
        <w:t>شیوهٔ نمونه‌گیری، زمان گردآوری و نرخ بازگشت را بر پایهٔ اجرای واقعی تکمیل کنید</w:t>
      </w:r>
      <w:r>
        <w:rPr>
          <w:rFonts w:eastAsia="Times New Roman" w:cs="B Nazanin"/>
          <w:sz w:val="26"/>
          <w:szCs w:val="26"/>
          <w:highlight w:val="yellow"/>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۳۲</w:t>
      </w:r>
      <w:r>
        <w:rPr>
          <w:rFonts w:ascii="Times New Roman" w:hAnsi="Times New Roman" w:eastAsia="Times New Roman"/>
          <w:sz w:val="26"/>
          <w:sz w:val="26"/>
          <w:szCs w:val="26"/>
          <w:rtl w:val="true"/>
          <w:lang w:val="en-US" w:bidi="fa-IR"/>
        </w:rPr>
        <w:t xml:space="preserve"> درصد از وزارتخانه‌ها و سازمان‌های ملی، </w:t>
      </w:r>
      <w:r>
        <w:rPr>
          <w:rFonts w:ascii="Times New Roman" w:hAnsi="Times New Roman" w:eastAsia="Times New Roman"/>
          <w:sz w:val="26"/>
          <w:sz w:val="26"/>
          <w:szCs w:val="26"/>
          <w:lang w:val="en-US" w:bidi="fa-IR"/>
        </w:rPr>
        <w:t>۲۷</w:t>
      </w:r>
      <w:r>
        <w:rPr>
          <w:rFonts w:ascii="Times New Roman" w:hAnsi="Times New Roman" w:eastAsia="Times New Roman"/>
          <w:sz w:val="26"/>
          <w:sz w:val="26"/>
          <w:szCs w:val="26"/>
          <w:rtl w:val="true"/>
          <w:lang w:val="en-US" w:bidi="fa-IR"/>
        </w:rPr>
        <w:t xml:space="preserve"> درصد از دانشگاه‌ها و مراکز بهداشتی‌درمانی، </w:t>
      </w:r>
      <w:r>
        <w:rPr>
          <w:rFonts w:ascii="Times New Roman" w:hAnsi="Times New Roman" w:eastAsia="Times New Roman"/>
          <w:sz w:val="26"/>
          <w:sz w:val="26"/>
          <w:szCs w:val="26"/>
          <w:lang w:val="en-US" w:bidi="fa-IR"/>
        </w:rPr>
        <w:t>۲۸</w:t>
      </w:r>
      <w:r>
        <w:rPr>
          <w:rFonts w:ascii="Times New Roman" w:hAnsi="Times New Roman" w:eastAsia="Times New Roman"/>
          <w:sz w:val="26"/>
          <w:sz w:val="26"/>
          <w:szCs w:val="26"/>
          <w:rtl w:val="true"/>
          <w:lang w:val="en-US" w:bidi="fa-IR"/>
        </w:rPr>
        <w:t xml:space="preserve"> درصد از شهرداری‌ها و نهادهای محلی و </w:t>
      </w:r>
      <w:r>
        <w:rPr>
          <w:rFonts w:ascii="Times New Roman" w:hAnsi="Times New Roman" w:eastAsia="Times New Roman"/>
          <w:sz w:val="26"/>
          <w:sz w:val="26"/>
          <w:szCs w:val="26"/>
          <w:lang w:val="en-US" w:bidi="fa-IR"/>
        </w:rPr>
        <w:t>۱۴</w:t>
      </w:r>
      <w:r>
        <w:rPr>
          <w:rFonts w:ascii="Times New Roman" w:hAnsi="Times New Roman" w:eastAsia="Times New Roman"/>
          <w:sz w:val="26"/>
          <w:sz w:val="26"/>
          <w:szCs w:val="26"/>
          <w:rtl w:val="true"/>
          <w:lang w:val="en-US" w:bidi="fa-IR"/>
        </w:rPr>
        <w:t xml:space="preserve"> درصد از ادارات کل استانی بودند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برای مقایسهٔ گروهی، نهادها به دو گروه </w:t>
      </w:r>
      <w:r>
        <w:rPr>
          <w:rFonts w:ascii="Times New Roman" w:hAnsi="Times New Roman" w:eastAsia="Times New Roman"/>
          <w:b/>
          <w:b/>
          <w:bCs/>
          <w:sz w:val="26"/>
          <w:sz w:val="26"/>
          <w:szCs w:val="26"/>
          <w:rtl w:val="true"/>
          <w:lang w:val="en-US" w:bidi="fa-IR"/>
        </w:rPr>
        <w:t>اداری و حاکمیتی</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۱۸۸</w:t>
      </w:r>
      <w:r>
        <w:rPr>
          <w:rFonts w:ascii="Times New Roman" w:hAnsi="Times New Roman" w:eastAsia="Times New Roman"/>
          <w:sz w:val="26"/>
          <w:sz w:val="26"/>
          <w:szCs w:val="26"/>
          <w:rtl w:val="true"/>
          <w:lang w:val="en-US" w:bidi="fa-IR"/>
        </w:rPr>
        <w:t xml:space="preserve"> نفر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وزارتخانه‌ها و ادارات کل</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w:t>
      </w:r>
      <w:r>
        <w:rPr>
          <w:rFonts w:ascii="Times New Roman" w:hAnsi="Times New Roman" w:eastAsia="Times New Roman"/>
          <w:b/>
          <w:b/>
          <w:bCs/>
          <w:sz w:val="26"/>
          <w:sz w:val="26"/>
          <w:szCs w:val="26"/>
          <w:rtl w:val="true"/>
          <w:lang w:val="en-US" w:bidi="fa-IR"/>
        </w:rPr>
        <w:t>خدماتی و محلی</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۲۲۴</w:t>
      </w:r>
      <w:r>
        <w:rPr>
          <w:rFonts w:ascii="Times New Roman" w:hAnsi="Times New Roman" w:eastAsia="Times New Roman"/>
          <w:sz w:val="26"/>
          <w:sz w:val="26"/>
          <w:szCs w:val="26"/>
          <w:rtl w:val="true"/>
          <w:lang w:val="en-US" w:bidi="fa-IR"/>
        </w:rPr>
        <w:t xml:space="preserve"> نفر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دانشگاه‌ها و مراکز بهداشتی‌درمانی و شهرداری‌ها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تقسیم شدند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میانگین سابقهٔ کار </w:t>
      </w:r>
      <w:r>
        <w:rPr>
          <w:rFonts w:ascii="Times New Roman" w:hAnsi="Times New Roman" w:eastAsia="Times New Roman"/>
          <w:sz w:val="26"/>
          <w:sz w:val="26"/>
          <w:szCs w:val="26"/>
          <w:lang w:val="en-US" w:bidi="fa-IR"/>
        </w:rPr>
        <w:t>۱۳٫۳</w:t>
      </w:r>
      <w:r>
        <w:rPr>
          <w:rFonts w:ascii="Times New Roman" w:hAnsi="Times New Roman" w:eastAsia="Times New Roman"/>
          <w:sz w:val="26"/>
          <w:sz w:val="26"/>
          <w:szCs w:val="26"/>
          <w:rtl w:val="true"/>
          <w:lang w:val="en-US" w:bidi="fa-IR"/>
        </w:rPr>
        <w:t xml:space="preserve"> سال و میانگین سن </w:t>
      </w:r>
      <w:r>
        <w:rPr>
          <w:rFonts w:ascii="Times New Roman" w:hAnsi="Times New Roman" w:eastAsia="Times New Roman"/>
          <w:sz w:val="26"/>
          <w:sz w:val="26"/>
          <w:szCs w:val="26"/>
          <w:lang w:val="en-US" w:bidi="fa-IR"/>
        </w:rPr>
        <w:t>۴۵٫۷</w:t>
      </w:r>
      <w:r>
        <w:rPr>
          <w:rFonts w:ascii="Times New Roman" w:hAnsi="Times New Roman" w:eastAsia="Times New Roman"/>
          <w:sz w:val="26"/>
          <w:sz w:val="26"/>
          <w:szCs w:val="26"/>
          <w:rtl w:val="true"/>
          <w:lang w:val="en-US" w:bidi="fa-IR"/>
        </w:rPr>
        <w:t xml:space="preserve"> سال بود</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 xml:space="preserve">ابزار، پرسشنامهٔ </w:t>
      </w:r>
      <w:r>
        <w:rPr>
          <w:rFonts w:ascii="Times New Roman" w:hAnsi="Times New Roman" w:eastAsia="Times New Roman"/>
          <w:sz w:val="26"/>
          <w:sz w:val="26"/>
          <w:szCs w:val="26"/>
          <w:lang w:val="en-US" w:bidi="fa-IR"/>
        </w:rPr>
        <w:t>۲۱</w:t>
      </w:r>
      <w:r>
        <w:rPr>
          <w:rFonts w:ascii="Times New Roman" w:hAnsi="Times New Roman" w:eastAsia="Times New Roman"/>
          <w:sz w:val="26"/>
          <w:sz w:val="26"/>
          <w:szCs w:val="26"/>
          <w:rtl w:val="true"/>
          <w:lang w:val="en-US" w:bidi="fa-IR"/>
        </w:rPr>
        <w:t xml:space="preserve"> گویه‌ای لیکرت پنج‌درجه‌ای با پنج سازه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فشار الزامی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rtl w:val="true"/>
          <w:lang w:val="en-US" w:bidi="fa-IR"/>
        </w:rPr>
        <w:t xml:space="preserve"> گویه</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هنجاری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تقلیدی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اجرای ماهوی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انطباق نمادین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مقیاس‌های فشار از سازه‌های نهادی دی‌ماجیو و پاول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دی‌ماجیو و پاول، </w:t>
      </w:r>
      <w:r>
        <w:rPr>
          <w:rFonts w:ascii="Times New Roman" w:hAnsi="Times New Roman" w:eastAsia="Times New Roman"/>
          <w:sz w:val="26"/>
          <w:sz w:val="26"/>
          <w:szCs w:val="26"/>
          <w:lang w:val="en-US" w:bidi="fa-IR"/>
        </w:rPr>
        <w:t>۱۹۸۳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تئو و همکاران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تئو، وی و بنباسات</w:t>
      </w:r>
      <w:r>
        <w:rPr>
          <w:rStyle w:val="FootnoteReference"/>
          <w:rtl w:val="true"/>
        </w:rPr>
        <w:footnoteReference w:id="21"/>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اقتباس شده و مقیاس‌های اجرای ماهوی و انطباق نمادین محقق‌ساخته‌اند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روایی محتوایی با ضریب لاوشه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لاوشه</w:t>
      </w:r>
      <w:r>
        <w:rPr>
          <w:rStyle w:val="FootnoteReference"/>
          <w:rtl w:val="true"/>
        </w:rPr>
        <w:footnoteReference w:id="22"/>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۱۹۷۵</w:t>
      </w:r>
      <w:r>
        <w:rPr>
          <w:rFonts w:eastAsia="Times New Roman" w:cs="B Nazanin"/>
          <w:sz w:val="26"/>
          <w:szCs w:val="26"/>
          <w:rtl w:val="true"/>
          <w:lang w:val="en-US" w:bidi="fa-IR"/>
        </w:rPr>
        <w:t xml:space="preserve">) </w:t>
      </w:r>
      <w:r>
        <w:rPr>
          <w:rFonts w:eastAsia="Times New Roman" w:cs="B Nazanin"/>
          <w:sz w:val="26"/>
          <w:szCs w:val="26"/>
          <w:highlight w:val="yellow"/>
          <w:rtl w:val="true"/>
          <w:lang w:val="en-US" w:bidi="fa-IR"/>
        </w:rPr>
        <w:t>[</w:t>
      </w:r>
      <w:r>
        <w:rPr>
          <w:rFonts w:ascii="Times New Roman" w:hAnsi="Times New Roman" w:eastAsia="Times New Roman"/>
          <w:sz w:val="26"/>
          <w:sz w:val="26"/>
          <w:szCs w:val="26"/>
          <w:highlight w:val="yellow"/>
          <w:rtl w:val="true"/>
          <w:lang w:val="en-US" w:bidi="fa-IR"/>
        </w:rPr>
        <w:t xml:space="preserve">تعداد خبرگان و ضرایب </w:t>
      </w:r>
      <w:r>
        <w:rPr>
          <w:rFonts w:eastAsia="Times New Roman" w:cs="B Nazanin"/>
          <w:sz w:val="26"/>
          <w:szCs w:val="26"/>
          <w:highlight w:val="yellow"/>
          <w:lang w:val="en-US" w:bidi="fa-IR"/>
        </w:rPr>
        <w:t>CVR/CVI</w:t>
      </w:r>
      <w:r>
        <w:rPr>
          <w:rFonts w:eastAsia="Times New Roman" w:cs="B Nazanin"/>
          <w:sz w:val="26"/>
          <w:szCs w:val="26"/>
          <w:highlight w:val="yellow"/>
          <w:rtl w:val="true"/>
          <w:lang w:val="en-US" w:bidi="fa-IR"/>
        </w:rPr>
        <w:t xml:space="preserve"> </w:t>
      </w:r>
      <w:r>
        <w:rPr>
          <w:rFonts w:ascii="Times New Roman" w:hAnsi="Times New Roman" w:eastAsia="Times New Roman"/>
          <w:sz w:val="26"/>
          <w:sz w:val="26"/>
          <w:szCs w:val="26"/>
          <w:highlight w:val="yellow"/>
          <w:rtl w:val="true"/>
          <w:lang w:val="en-US" w:bidi="fa-IR"/>
        </w:rPr>
        <w:t>را درج کنید</w:t>
      </w:r>
      <w:r>
        <w:rPr>
          <w:rFonts w:eastAsia="Times New Roman" w:cs="B Nazanin"/>
          <w:sz w:val="26"/>
          <w:szCs w:val="26"/>
          <w:highlight w:val="yellow"/>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ارزیابی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w:t>
      </w:r>
      <w:r>
        <w:rPr>
          <w:rFonts w:ascii="Times New Roman" w:hAnsi="Times New Roman" w:eastAsia="Times New Roman"/>
          <w:sz w:val="26"/>
          <w:sz w:val="26"/>
          <w:szCs w:val="26"/>
          <w:lang w:val="en-US" w:bidi="fa-IR"/>
        </w:rPr>
        <w:t>۲۱</w:t>
      </w:r>
      <w:r>
        <w:rPr>
          <w:rFonts w:ascii="Times New Roman" w:hAnsi="Times New Roman" w:eastAsia="Times New Roman"/>
          <w:sz w:val="26"/>
          <w:sz w:val="26"/>
          <w:szCs w:val="26"/>
          <w:rtl w:val="true"/>
          <w:lang w:val="en-US" w:bidi="fa-IR"/>
        </w:rPr>
        <w:t xml:space="preserve"> گویه و </w:t>
      </w:r>
      <w:r>
        <w:rPr>
          <w:rFonts w:ascii="Times New Roman" w:hAnsi="Times New Roman" w:eastAsia="Times New Roman"/>
          <w:sz w:val="26"/>
          <w:sz w:val="26"/>
          <w:szCs w:val="26"/>
          <w:lang w:val="en-US" w:bidi="fa-IR"/>
        </w:rPr>
        <w:t>۷۷</w:t>
      </w:r>
      <w:r>
        <w:rPr>
          <w:rFonts w:ascii="Times New Roman" w:hAnsi="Times New Roman" w:eastAsia="Times New Roman"/>
          <w:sz w:val="26"/>
          <w:sz w:val="26"/>
          <w:szCs w:val="26"/>
          <w:rtl w:val="true"/>
          <w:lang w:val="en-US" w:bidi="fa-IR"/>
        </w:rPr>
        <w:t xml:space="preserve"> پارامتر، نسبت مشاهده به پارامتر </w:t>
      </w:r>
      <w:r>
        <w:rPr>
          <w:rFonts w:ascii="Times New Roman" w:hAnsi="Times New Roman" w:eastAsia="Times New Roman"/>
          <w:sz w:val="26"/>
          <w:sz w:val="26"/>
          <w:szCs w:val="26"/>
          <w:lang w:val="en-US" w:bidi="fa-IR"/>
        </w:rPr>
        <w:t>۵٫۴</w:t>
      </w:r>
      <w:r>
        <w:rPr>
          <w:rFonts w:ascii="Times New Roman" w:hAnsi="Times New Roman" w:eastAsia="Times New Roman"/>
          <w:sz w:val="26"/>
          <w:sz w:val="26"/>
          <w:szCs w:val="26"/>
          <w:rtl w:val="true"/>
          <w:lang w:val="en-US" w:bidi="fa-IR"/>
        </w:rPr>
        <w:t xml:space="preserve"> است؛ از این رو توان آزمون برازش نزدیک با شاخص </w:t>
      </w:r>
      <w:r>
        <w:rPr>
          <w:rFonts w:eastAsia="Times New Roman" w:cs="B Nazanin"/>
          <w:sz w:val="26"/>
          <w:szCs w:val="26"/>
          <w:lang w:val="en-US" w:bidi="fa-IR"/>
        </w:rPr>
        <w:t>RMSEA</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مک‌کالوم، براون و سوگاوارا</w:t>
      </w:r>
      <w:r>
        <w:rPr>
          <w:rStyle w:val="FootnoteReference"/>
          <w:rtl w:val="true"/>
        </w:rPr>
        <w:footnoteReference w:id="23"/>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نیز سنجیده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توان بالاتر از </w:t>
      </w:r>
      <w:r>
        <w:rPr>
          <w:rFonts w:ascii="Times New Roman" w:hAnsi="Times New Roman" w:eastAsia="Times New Roman"/>
          <w:sz w:val="26"/>
          <w:sz w:val="26"/>
          <w:szCs w:val="26"/>
          <w:lang w:val="en-US" w:bidi="fa-IR"/>
        </w:rPr>
        <w:t>۰٫۹۹</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 xml:space="preserve">تحلیل با مدل‌سازی معادلات ساختاری مبتنی بر کوواریانس به روش حداکثر درست‌نمایی در بستهٔ </w:t>
      </w:r>
      <w:r>
        <w:rPr>
          <w:rFonts w:eastAsia="Times New Roman" w:cs="B Nazanin"/>
          <w:sz w:val="26"/>
          <w:szCs w:val="26"/>
          <w:lang w:val="en-US" w:bidi="fa-IR"/>
        </w:rPr>
        <w:t>semopy</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ایگولکینا و مشچریاکوف</w:t>
      </w:r>
      <w:r>
        <w:rPr>
          <w:rStyle w:val="FootnoteReference"/>
          <w:rtl w:val="true"/>
        </w:rPr>
        <w:footnoteReference w:id="24"/>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انجام شد و هیچ گویه‌ای میانگین‌گیری یا جمع نشد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دو اثر متقابل پنهان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الزامی </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هنجاری بر اجرای ماهوی؛ الزامی </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تقلیدی بر انطباق نمادین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شاخص‌های حاصل‌ضرب جفت‌شده ساخته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مارش، ون و هائو</w:t>
      </w:r>
      <w:r>
        <w:rPr>
          <w:rStyle w:val="FootnoteReference"/>
          <w:rtl w:val="true"/>
        </w:rPr>
        <w:footnoteReference w:id="25"/>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با شاخص‌های باقی‌مانده‌مرکزشده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لیتل، بووایرد و ویدمن</w:t>
      </w:r>
      <w:r>
        <w:rPr>
          <w:rStyle w:val="FootnoteReference"/>
          <w:rtl w:val="true"/>
        </w:rPr>
        <w:footnoteReference w:id="26"/>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بازبینی گردید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اثرهای شرطی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شیب ساده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سطوح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انحراف معیار با </w:t>
      </w:r>
      <w:r>
        <w:rPr>
          <w:rFonts w:ascii="Times New Roman" w:hAnsi="Times New Roman" w:eastAsia="Times New Roman"/>
          <w:sz w:val="26"/>
          <w:sz w:val="26"/>
          <w:szCs w:val="26"/>
          <w:lang w:val="en-US" w:bidi="fa-IR"/>
        </w:rPr>
        <w:t>۱</w:t>
      </w:r>
      <w:r>
        <w:rPr>
          <w:rFonts w:eastAsia="Times New Roman" w:cs="B Nazanin"/>
          <w:sz w:val="26"/>
          <w:szCs w:val="26"/>
          <w:lang w:val="en-US" w:bidi="fa-IR"/>
        </w:rPr>
        <w:t>,</w:t>
      </w:r>
      <w:r>
        <w:rPr>
          <w:rFonts w:ascii="Times New Roman" w:hAnsi="Times New Roman" w:eastAsia="Times New Roman"/>
          <w:sz w:val="26"/>
          <w:sz w:val="26"/>
          <w:szCs w:val="26"/>
          <w:lang w:val="en-US" w:bidi="fa-IR"/>
        </w:rPr>
        <w:t>۰۰۰</w:t>
      </w:r>
      <w:r>
        <w:rPr>
          <w:rFonts w:ascii="Times New Roman" w:hAnsi="Times New Roman" w:eastAsia="Times New Roman"/>
          <w:sz w:val="26"/>
          <w:sz w:val="26"/>
          <w:szCs w:val="26"/>
          <w:rtl w:val="true"/>
          <w:lang w:val="en-US" w:bidi="fa-IR"/>
        </w:rPr>
        <w:t xml:space="preserve"> نمونهٔ بوت‌استرپ و فاصلهٔ اطمینان صدکی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پریچر و هیز</w:t>
      </w:r>
      <w:r>
        <w:rPr>
          <w:rStyle w:val="FootnoteReference"/>
          <w:rtl w:val="true"/>
        </w:rPr>
        <w:footnoteReference w:id="27"/>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برآورد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ناوردایی اندازه‌گیری میان دو گروه با تحلیل عاملی تأییدی چندگروهی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پیکربندی، متریک، اسکالر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بر پایهٔ تغییر </w:t>
      </w:r>
      <w:r>
        <w:rPr>
          <w:rFonts w:eastAsia="Times New Roman" w:cs="B Nazanin"/>
          <w:sz w:val="26"/>
          <w:szCs w:val="26"/>
          <w:lang w:val="en-US" w:bidi="fa-IR"/>
        </w:rPr>
        <w:t>CFI</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کمتر از </w:t>
      </w:r>
      <w:r>
        <w:rPr>
          <w:rFonts w:ascii="Times New Roman" w:hAnsi="Times New Roman" w:eastAsia="Times New Roman"/>
          <w:sz w:val="26"/>
          <w:sz w:val="26"/>
          <w:szCs w:val="26"/>
          <w:lang w:val="en-US" w:bidi="fa-IR"/>
        </w:rPr>
        <w:t>۰٫۰۱</w:t>
      </w:r>
      <w:r>
        <w:rPr>
          <w:rFonts w:eastAsia="Times New Roman" w:cs="B Nazanin"/>
          <w:sz w:val="26"/>
          <w:szCs w:val="26"/>
          <w:rtl w:val="true"/>
          <w:lang w:val="en-US" w:bidi="fa-IR"/>
        </w:rPr>
        <w:t>) (</w:t>
      </w:r>
      <w:r>
        <w:rPr>
          <w:rFonts w:ascii="Times New Roman" w:hAnsi="Times New Roman" w:eastAsia="Times New Roman"/>
          <w:sz w:val="26"/>
          <w:sz w:val="26"/>
          <w:szCs w:val="26"/>
          <w:rtl w:val="true"/>
          <w:lang w:val="en-US" w:bidi="fa-IR"/>
        </w:rPr>
        <w:t>چونگ و رنسولد</w:t>
      </w:r>
      <w:r>
        <w:rPr>
          <w:rStyle w:val="FootnoteReference"/>
          <w:rtl w:val="true"/>
        </w:rPr>
        <w:footnoteReference w:id="28"/>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۲۰۰۲</w:t>
      </w:r>
      <w:r>
        <w:rPr>
          <w:rFonts w:ascii="Times New Roman" w:hAnsi="Times New Roman" w:eastAsia="Times New Roman"/>
          <w:sz w:val="26"/>
          <w:sz w:val="26"/>
          <w:szCs w:val="26"/>
          <w:rtl w:val="true"/>
          <w:lang w:val="en-US" w:bidi="fa-IR"/>
        </w:rPr>
        <w:t>؛ چن</w:t>
      </w:r>
      <w:r>
        <w:rPr>
          <w:rStyle w:val="FootnoteReference"/>
          <w:rtl w:val="true"/>
        </w:rPr>
        <w:footnoteReference w:id="29"/>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سنجیده و سپس مسیرها با آزمون والد تفاوت ضرایب مقایسه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نیمرخ‌های پنهان فشار با مدل آمیختهٔ گاوسی روی نمرات عاملی رگرسیونی سه فشار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برای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نیمرخ</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ملاک </w:t>
      </w:r>
      <w:r>
        <w:rPr>
          <w:rFonts w:eastAsia="Times New Roman" w:cs="B Nazanin"/>
          <w:sz w:val="26"/>
          <w:szCs w:val="26"/>
          <w:lang w:val="en-US" w:bidi="fa-IR"/>
        </w:rPr>
        <w:t>BIC</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آنتروپی استخراج گردید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اسپورک و همکاران</w:t>
      </w:r>
      <w:r>
        <w:rPr>
          <w:rStyle w:val="FootnoteReference"/>
          <w:rtl w:val="true"/>
        </w:rPr>
        <w:footnoteReference w:id="30"/>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برازش مدل با </w:t>
      </w:r>
      <w:r>
        <w:rPr>
          <w:rFonts w:eastAsia="Times New Roman" w:cs="B Nazanin"/>
          <w:sz w:val="26"/>
          <w:szCs w:val="26"/>
          <w:lang w:val="en-US" w:bidi="fa-IR"/>
        </w:rPr>
        <w:t>CFI</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w:t>
      </w:r>
      <w:r>
        <w:rPr>
          <w:rFonts w:eastAsia="Times New Roman" w:cs="B Nazanin"/>
          <w:sz w:val="26"/>
          <w:szCs w:val="26"/>
          <w:lang w:val="en-US" w:bidi="fa-IR"/>
        </w:rPr>
        <w:t>TLI</w:t>
      </w:r>
      <w:r>
        <w:rPr>
          <w:rFonts w:eastAsia="Times New Roman" w:cs="B Nazanin"/>
          <w:sz w:val="26"/>
          <w:szCs w:val="26"/>
          <w:rtl w:val="true"/>
          <w:lang w:val="en-US" w:bidi="fa-IR"/>
        </w:rPr>
        <w:t xml:space="preserve"> (≥ </w:t>
      </w:r>
      <w:r>
        <w:rPr>
          <w:rFonts w:ascii="Times New Roman" w:hAnsi="Times New Roman" w:eastAsia="Times New Roman"/>
          <w:sz w:val="26"/>
          <w:sz w:val="26"/>
          <w:szCs w:val="26"/>
          <w:lang w:val="en-US" w:bidi="fa-IR"/>
        </w:rPr>
        <w:t>۰٫۹۵</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RMSEA</w:t>
      </w:r>
      <w:r>
        <w:rPr>
          <w:rFonts w:eastAsia="Times New Roman" w:cs="B Nazanin"/>
          <w:sz w:val="26"/>
          <w:szCs w:val="26"/>
          <w:rtl w:val="true"/>
          <w:lang w:val="en-US" w:bidi="fa-IR"/>
        </w:rPr>
        <w:t xml:space="preserve"> (≤ </w:t>
      </w:r>
      <w:r>
        <w:rPr>
          <w:rFonts w:ascii="Times New Roman" w:hAnsi="Times New Roman" w:eastAsia="Times New Roman"/>
          <w:sz w:val="26"/>
          <w:sz w:val="26"/>
          <w:szCs w:val="26"/>
          <w:lang w:val="en-US" w:bidi="fa-IR"/>
        </w:rPr>
        <w:t>۰٫۰۶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w:t>
      </w:r>
      <w:r>
        <w:rPr>
          <w:rFonts w:eastAsia="Times New Roman" w:cs="B Nazanin"/>
          <w:sz w:val="26"/>
          <w:szCs w:val="26"/>
          <w:lang w:val="en-US" w:bidi="fa-IR"/>
        </w:rPr>
        <w:t>SRMR</w:t>
      </w:r>
      <w:r>
        <w:rPr>
          <w:rFonts w:eastAsia="Times New Roman" w:cs="B Nazanin"/>
          <w:sz w:val="26"/>
          <w:szCs w:val="26"/>
          <w:rtl w:val="true"/>
          <w:lang w:val="en-US" w:bidi="fa-IR"/>
        </w:rPr>
        <w:t xml:space="preserve"> (≤ </w:t>
      </w:r>
      <w:r>
        <w:rPr>
          <w:rFonts w:ascii="Times New Roman" w:hAnsi="Times New Roman" w:eastAsia="Times New Roman"/>
          <w:sz w:val="26"/>
          <w:sz w:val="26"/>
          <w:szCs w:val="26"/>
          <w:lang w:val="en-US" w:bidi="fa-IR"/>
        </w:rPr>
        <w:t>۰٫۰۸</w:t>
      </w:r>
      <w:r>
        <w:rPr>
          <w:rFonts w:eastAsia="Times New Roman" w:cs="B Nazanin"/>
          <w:sz w:val="26"/>
          <w:szCs w:val="26"/>
          <w:rtl w:val="true"/>
          <w:lang w:val="en-US" w:bidi="fa-IR"/>
        </w:rPr>
        <w:t>) (</w:t>
      </w:r>
      <w:r>
        <w:rPr>
          <w:rFonts w:ascii="Times New Roman" w:hAnsi="Times New Roman" w:eastAsia="Times New Roman"/>
          <w:sz w:val="26"/>
          <w:sz w:val="26"/>
          <w:szCs w:val="26"/>
          <w:rtl w:val="true"/>
          <w:lang w:val="en-US" w:bidi="fa-IR"/>
        </w:rPr>
        <w:t>هو و بنتلر</w:t>
      </w:r>
      <w:r>
        <w:rPr>
          <w:rStyle w:val="FootnoteReference"/>
          <w:rtl w:val="true"/>
        </w:rPr>
        <w:footnoteReference w:id="31"/>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روایی با </w:t>
      </w:r>
      <w:r>
        <w:rPr>
          <w:rFonts w:eastAsia="Times New Roman" w:cs="B Nazanin"/>
          <w:sz w:val="26"/>
          <w:szCs w:val="26"/>
          <w:lang w:val="en-US" w:bidi="fa-IR"/>
        </w:rPr>
        <w:t>CR</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w:t>
      </w:r>
      <w:r>
        <w:rPr>
          <w:rFonts w:eastAsia="Times New Roman" w:cs="B Nazanin"/>
          <w:sz w:val="26"/>
          <w:szCs w:val="26"/>
          <w:lang w:val="en-US" w:bidi="fa-IR"/>
        </w:rPr>
        <w:t>AVE</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فورنل و لارکر</w:t>
      </w:r>
      <w:r>
        <w:rPr>
          <w:rStyle w:val="FootnoteReference"/>
          <w:rtl w:val="true"/>
        </w:rPr>
        <w:footnoteReference w:id="32"/>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w:t>
      </w:r>
      <w:r>
        <w:rPr>
          <w:rFonts w:eastAsia="Times New Roman" w:cs="B Nazanin"/>
          <w:sz w:val="26"/>
          <w:szCs w:val="26"/>
          <w:lang w:val="en-US" w:bidi="fa-IR"/>
        </w:rPr>
        <w:t>HTMT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هنسلر، رینگل و سارستدت</w:t>
      </w:r>
      <w:r>
        <w:rPr>
          <w:rStyle w:val="FootnoteReference"/>
          <w:rtl w:val="true"/>
        </w:rPr>
        <w:footnoteReference w:id="33"/>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سنجیده شد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یافته‌های پژوهش</w:t>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مدل اندازه‌گیری پنج‌عاملی برازش مطلوب داشت</w:t>
      </w:r>
      <w:r>
        <w:rPr>
          <w:rFonts w:eastAsia="Times New Roman" w:cs="B Nazanin"/>
          <w:sz w:val="26"/>
          <w:szCs w:val="26"/>
          <w:rtl w:val="true"/>
          <w:lang w:val="en-US" w:bidi="fa-IR"/>
        </w:rPr>
        <w:t xml:space="preserve">: </w:t>
      </w:r>
      <w:r>
        <w:rPr>
          <w:rFonts w:eastAsia="Times New Roman" w:cs="B Nazanin"/>
          <w:sz w:val="26"/>
          <w:szCs w:val="26"/>
          <w:lang w:val="en-US" w:bidi="fa-IR"/>
        </w:rPr>
        <w:t>χ²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۲۳۳٫۸</w:t>
      </w:r>
      <w:r>
        <w:rPr>
          <w:rFonts w:ascii="Times New Roman" w:hAnsi="Times New Roman" w:eastAsia="Times New Roman"/>
          <w:sz w:val="26"/>
          <w:sz w:val="26"/>
          <w:szCs w:val="26"/>
          <w:rtl w:val="true"/>
          <w:lang w:val="en-US" w:bidi="fa-IR"/>
        </w:rPr>
        <w:t xml:space="preserve"> با </w:t>
      </w:r>
      <w:r>
        <w:rPr>
          <w:rFonts w:ascii="Times New Roman" w:hAnsi="Times New Roman" w:eastAsia="Times New Roman"/>
          <w:sz w:val="26"/>
          <w:sz w:val="26"/>
          <w:szCs w:val="26"/>
          <w:lang w:val="en-US" w:bidi="fa-IR"/>
        </w:rPr>
        <w:t>۱۷۹</w:t>
      </w:r>
      <w:r>
        <w:rPr>
          <w:rFonts w:ascii="Times New Roman" w:hAnsi="Times New Roman" w:eastAsia="Times New Roman"/>
          <w:sz w:val="26"/>
          <w:sz w:val="26"/>
          <w:szCs w:val="26"/>
          <w:rtl w:val="true"/>
          <w:lang w:val="en-US" w:bidi="fa-IR"/>
        </w:rPr>
        <w:t xml:space="preserve"> درجهٔ آزادی؛ </w:t>
      </w:r>
      <w:r>
        <w:rPr>
          <w:rFonts w:eastAsia="Times New Roman" w:cs="B Nazanin"/>
          <w:sz w:val="26"/>
          <w:szCs w:val="26"/>
          <w:lang w:val="en-US" w:bidi="fa-IR"/>
        </w:rPr>
        <w:t>CFI</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۰٫۹۸۵</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TLI</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۰٫۹۸۳</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RMSEA</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۰٫۰۲۷</w:t>
      </w:r>
      <w:r>
        <w:rPr>
          <w:rFonts w:ascii="Times New Roman" w:hAnsi="Times New Roman" w:eastAsia="Times New Roman"/>
          <w:sz w:val="26"/>
          <w:sz w:val="26"/>
          <w:szCs w:val="26"/>
          <w:rtl w:val="true"/>
          <w:lang w:val="en-US" w:bidi="fa-IR"/>
        </w:rPr>
        <w:t xml:space="preserve"> و </w:t>
      </w:r>
      <w:r>
        <w:rPr>
          <w:rFonts w:eastAsia="Times New Roman" w:cs="B Nazanin"/>
          <w:sz w:val="26"/>
          <w:szCs w:val="26"/>
          <w:lang w:val="en-US" w:bidi="fa-IR"/>
        </w:rPr>
        <w:t>SRMR</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۰٫۰۳۴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بارهای عاملی از </w:t>
      </w:r>
      <w:r>
        <w:rPr>
          <w:rFonts w:ascii="Times New Roman" w:hAnsi="Times New Roman" w:eastAsia="Times New Roman"/>
          <w:sz w:val="26"/>
          <w:sz w:val="26"/>
          <w:szCs w:val="26"/>
          <w:lang w:val="en-US" w:bidi="fa-IR"/>
        </w:rPr>
        <w:t>۰٫۶۰</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۰٫۸۴</w:t>
      </w:r>
      <w:r>
        <w:rPr>
          <w:rFonts w:ascii="Times New Roman" w:hAnsi="Times New Roman" w:eastAsia="Times New Roman"/>
          <w:sz w:val="26"/>
          <w:sz w:val="26"/>
          <w:szCs w:val="26"/>
          <w:rtl w:val="true"/>
          <w:lang w:val="en-US" w:bidi="fa-IR"/>
        </w:rPr>
        <w:t xml:space="preserve">، پایایی ترکیبی از </w:t>
      </w:r>
      <w:r>
        <w:rPr>
          <w:rFonts w:ascii="Times New Roman" w:hAnsi="Times New Roman" w:eastAsia="Times New Roman"/>
          <w:sz w:val="26"/>
          <w:sz w:val="26"/>
          <w:szCs w:val="26"/>
          <w:lang w:val="en-US" w:bidi="fa-IR"/>
        </w:rPr>
        <w:t>۰٫۸۳</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۰٫۸۶</w:t>
      </w:r>
      <w:r>
        <w:rPr>
          <w:rFonts w:ascii="Times New Roman" w:hAnsi="Times New Roman" w:eastAsia="Times New Roman"/>
          <w:sz w:val="26"/>
          <w:sz w:val="26"/>
          <w:szCs w:val="26"/>
          <w:rtl w:val="true"/>
          <w:lang w:val="en-US" w:bidi="fa-IR"/>
        </w:rPr>
        <w:t xml:space="preserve"> و </w:t>
      </w:r>
      <w:r>
        <w:rPr>
          <w:rFonts w:eastAsia="Times New Roman" w:cs="B Nazanin"/>
          <w:sz w:val="26"/>
          <w:szCs w:val="26"/>
          <w:lang w:val="en-US" w:bidi="fa-IR"/>
        </w:rPr>
        <w:t>AVE</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w:t>
      </w:r>
      <w:r>
        <w:rPr>
          <w:rFonts w:ascii="Times New Roman" w:hAnsi="Times New Roman" w:eastAsia="Times New Roman"/>
          <w:sz w:val="26"/>
          <w:sz w:val="26"/>
          <w:szCs w:val="26"/>
          <w:lang w:val="en-US" w:bidi="fa-IR"/>
        </w:rPr>
        <w:t>۰٫۵۴</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۰٫۵۷</w:t>
      </w:r>
      <w:r>
        <w:rPr>
          <w:rFonts w:ascii="Times New Roman" w:hAnsi="Times New Roman" w:eastAsia="Times New Roman"/>
          <w:sz w:val="26"/>
          <w:sz w:val="26"/>
          <w:szCs w:val="26"/>
          <w:rtl w:val="true"/>
          <w:lang w:val="en-US" w:bidi="fa-IR"/>
        </w:rPr>
        <w:t xml:space="preserve"> بود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بیشینهٔ </w:t>
      </w:r>
      <w:r>
        <w:rPr>
          <w:rFonts w:eastAsia="Times New Roman" w:cs="B Nazanin"/>
          <w:sz w:val="26"/>
          <w:szCs w:val="26"/>
          <w:lang w:val="en-US" w:bidi="fa-IR"/>
        </w:rPr>
        <w:t>HTMT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۰٫۵۵</w:t>
      </w:r>
      <w:r>
        <w:rPr>
          <w:rFonts w:ascii="Times New Roman" w:hAnsi="Times New Roman" w:eastAsia="Times New Roman"/>
          <w:sz w:val="26"/>
          <w:sz w:val="26"/>
          <w:szCs w:val="26"/>
          <w:rtl w:val="true"/>
          <w:lang w:val="en-US" w:bidi="fa-IR"/>
        </w:rPr>
        <w:t xml:space="preserve"> و کمتر از </w:t>
      </w:r>
      <w:r>
        <w:rPr>
          <w:rFonts w:ascii="Times New Roman" w:hAnsi="Times New Roman" w:eastAsia="Times New Roman"/>
          <w:sz w:val="26"/>
          <w:sz w:val="26"/>
          <w:szCs w:val="26"/>
          <w:lang w:val="en-US" w:bidi="fa-IR"/>
        </w:rPr>
        <w:t>۰٫۸۵</w:t>
      </w:r>
      <w:r>
        <w:rPr>
          <w:rFonts w:ascii="Times New Roman" w:hAnsi="Times New Roman" w:eastAsia="Times New Roman"/>
          <w:sz w:val="26"/>
          <w:sz w:val="26"/>
          <w:szCs w:val="26"/>
          <w:rtl w:val="true"/>
          <w:lang w:val="en-US" w:bidi="fa-IR"/>
        </w:rPr>
        <w:t xml:space="preserve"> 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نخستین عامل هارمن </w:t>
      </w:r>
      <w:r>
        <w:rPr>
          <w:rFonts w:ascii="Times New Roman" w:hAnsi="Times New Roman" w:eastAsia="Times New Roman"/>
          <w:sz w:val="26"/>
          <w:sz w:val="26"/>
          <w:szCs w:val="26"/>
          <w:lang w:val="en-US" w:bidi="fa-IR"/>
        </w:rPr>
        <w:t>۲۴٫۹</w:t>
      </w:r>
      <w:r>
        <w:rPr>
          <w:rFonts w:ascii="Times New Roman" w:hAnsi="Times New Roman" w:eastAsia="Times New Roman"/>
          <w:sz w:val="26"/>
          <w:sz w:val="26"/>
          <w:szCs w:val="26"/>
          <w:rtl w:val="true"/>
          <w:lang w:val="en-US" w:bidi="fa-IR"/>
        </w:rPr>
        <w:t xml:space="preserve"> درصد واریانس را تبیین کرد و افزودن عامل مشترک پنهان تغییر چشمگیری در برازش نداد </w:t>
      </w:r>
      <w:r>
        <w:rPr>
          <w:rFonts w:eastAsia="Times New Roman" w:cs="B Nazanin"/>
          <w:sz w:val="26"/>
          <w:szCs w:val="26"/>
          <w:rtl w:val="true"/>
          <w:lang w:val="en-US" w:bidi="fa-IR"/>
        </w:rPr>
        <w:t>(</w:t>
      </w:r>
      <w:r>
        <w:rPr>
          <w:rFonts w:eastAsia="Times New Roman" w:cs="B Nazanin"/>
          <w:sz w:val="26"/>
          <w:szCs w:val="26"/>
          <w:lang w:val="en-US" w:bidi="fa-IR"/>
        </w:rPr>
        <w:t>CFI</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۰٫۹۹۰</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پس سوگیری روش مشترک نگران‌کننده نیست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پایایی و روایی همگرا</w:t>
      </w:r>
    </w:p>
    <w:tbl>
      <w:tblPr>
        <w:bidiVisual w:val="true"/>
        <w:tblW w:w="7500" w:type="dxa"/>
        <w:jc w:val="center"/>
        <w:tblInd w:w="0" w:type="dxa"/>
        <w:tblLayout w:type="fixed"/>
        <w:tblCellMar>
          <w:top w:w="0" w:type="dxa"/>
          <w:left w:w="60" w:type="dxa"/>
          <w:bottom w:w="0" w:type="dxa"/>
          <w:right w:w="60" w:type="dxa"/>
        </w:tblCellMar>
      </w:tblPr>
      <w:tblGrid>
        <w:gridCol w:w="2600"/>
        <w:gridCol w:w="700"/>
        <w:gridCol w:w="900"/>
        <w:gridCol w:w="900"/>
        <w:gridCol w:w="900"/>
        <w:gridCol w:w="1499"/>
      </w:tblGrid>
      <w:tr>
        <w:trPr>
          <w:tblHeader w:val="true"/>
        </w:trPr>
        <w:tc>
          <w:tcPr>
            <w:tcW w:w="2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سازه</w:t>
            </w:r>
          </w:p>
        </w:tc>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گویه</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آلفا</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CR</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AVE</w:t>
            </w:r>
          </w:p>
        </w:tc>
        <w:tc>
          <w:tcPr>
            <w:tcW w:w="1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بارها</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فشار الزامی </w:t>
            </w:r>
            <w:r>
              <w:rPr>
                <w:rFonts w:eastAsia="Times New Roman" w:cs="B Nazanin"/>
                <w:sz w:val="22"/>
                <w:szCs w:val="22"/>
                <w:rtl w:val="true"/>
                <w:lang w:val="en-US" w:bidi="fa-IR"/>
              </w:rPr>
              <w:t>(</w:t>
            </w:r>
            <w:r>
              <w:rPr>
                <w:rFonts w:eastAsia="Times New Roman" w:cs="B Nazanin"/>
                <w:sz w:val="22"/>
                <w:szCs w:val="22"/>
                <w:lang w:val="en-US" w:bidi="fa-IR"/>
              </w:rPr>
              <w:t>COE</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۰٫۸۴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۰٫۸۴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۰٫۵۷</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۰٫۶۵</w:t>
            </w:r>
            <w:r>
              <w:rPr>
                <w:rFonts w:ascii="Times New Roman" w:hAnsi="Times New Roman" w:eastAsia="Times New Roman"/>
                <w:sz w:val="22"/>
                <w:sz w:val="22"/>
                <w:szCs w:val="22"/>
                <w:rtl w:val="true"/>
                <w:lang w:val="en-US" w:bidi="fa-IR"/>
              </w:rPr>
              <w:t>–</w:t>
            </w:r>
            <w:r>
              <w:rPr>
                <w:rFonts w:ascii="Times New Roman" w:hAnsi="Times New Roman" w:eastAsia="Times New Roman"/>
                <w:sz w:val="22"/>
                <w:sz w:val="22"/>
                <w:szCs w:val="22"/>
                <w:lang w:val="en-US" w:bidi="fa-IR"/>
              </w:rPr>
              <w:t>۰٫۸۳</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فشار هنجاری </w:t>
            </w:r>
            <w:r>
              <w:rPr>
                <w:rFonts w:eastAsia="Times New Roman" w:cs="B Nazanin"/>
                <w:sz w:val="22"/>
                <w:szCs w:val="22"/>
                <w:rtl w:val="true"/>
                <w:lang w:val="en-US" w:bidi="fa-IR"/>
              </w:rPr>
              <w:t>(</w:t>
            </w:r>
            <w:r>
              <w:rPr>
                <w:rFonts w:eastAsia="Times New Roman" w:cs="B Nazanin"/>
                <w:sz w:val="22"/>
                <w:szCs w:val="22"/>
                <w:lang w:val="en-US" w:bidi="fa-IR"/>
              </w:rPr>
              <w:t>NOR</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۰٫۸۳</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۰٫۸۴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۰٫۵۶</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۰٫۶۰</w:t>
            </w:r>
            <w:r>
              <w:rPr>
                <w:rFonts w:ascii="Times New Roman" w:hAnsi="Times New Roman" w:eastAsia="Times New Roman"/>
                <w:sz w:val="22"/>
                <w:sz w:val="22"/>
                <w:szCs w:val="22"/>
                <w:rtl w:val="true"/>
                <w:lang w:val="en-US" w:bidi="fa-IR"/>
              </w:rPr>
              <w:t>–</w:t>
            </w:r>
            <w:r>
              <w:rPr>
                <w:rFonts w:ascii="Times New Roman" w:hAnsi="Times New Roman" w:eastAsia="Times New Roman"/>
                <w:sz w:val="22"/>
                <w:sz w:val="22"/>
                <w:szCs w:val="22"/>
                <w:lang w:val="en-US" w:bidi="fa-IR"/>
              </w:rPr>
              <w:t>۰٫۸۳</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فشار تقلیدی </w:t>
            </w:r>
            <w:r>
              <w:rPr>
                <w:rFonts w:eastAsia="Times New Roman" w:cs="B Nazanin"/>
                <w:sz w:val="22"/>
                <w:szCs w:val="22"/>
                <w:rtl w:val="true"/>
                <w:lang w:val="en-US" w:bidi="fa-IR"/>
              </w:rPr>
              <w:t>(</w:t>
            </w:r>
            <w:r>
              <w:rPr>
                <w:rFonts w:eastAsia="Times New Roman" w:cs="B Nazanin"/>
                <w:sz w:val="22"/>
                <w:szCs w:val="22"/>
                <w:lang w:val="en-US" w:bidi="fa-IR"/>
              </w:rPr>
              <w:t>MIM</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۰٫۸۲</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۰٫۸۳</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۰٫۵۴</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۰٫۶۸</w:t>
            </w:r>
            <w:r>
              <w:rPr>
                <w:rFonts w:ascii="Times New Roman" w:hAnsi="Times New Roman" w:eastAsia="Times New Roman"/>
                <w:sz w:val="22"/>
                <w:sz w:val="22"/>
                <w:szCs w:val="22"/>
                <w:rtl w:val="true"/>
                <w:lang w:val="en-US" w:bidi="fa-IR"/>
              </w:rPr>
              <w:t>–</w:t>
            </w:r>
            <w:r>
              <w:rPr>
                <w:rFonts w:ascii="Times New Roman" w:hAnsi="Times New Roman" w:eastAsia="Times New Roman"/>
                <w:sz w:val="22"/>
                <w:sz w:val="22"/>
                <w:szCs w:val="22"/>
                <w:lang w:val="en-US" w:bidi="fa-IR"/>
              </w:rPr>
              <w:t>۰٫۷۹</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اجرای ماهوی </w:t>
            </w:r>
            <w:r>
              <w:rPr>
                <w:rFonts w:eastAsia="Times New Roman" w:cs="B Nazanin"/>
                <w:sz w:val="22"/>
                <w:szCs w:val="22"/>
                <w:rtl w:val="true"/>
                <w:lang w:val="en-US" w:bidi="fa-IR"/>
              </w:rPr>
              <w:t>(</w:t>
            </w:r>
            <w:r>
              <w:rPr>
                <w:rFonts w:eastAsia="Times New Roman" w:cs="B Nazanin"/>
                <w:sz w:val="22"/>
                <w:szCs w:val="22"/>
                <w:lang w:val="en-US" w:bidi="fa-IR"/>
              </w:rPr>
              <w:t>SUB</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۰٫۸۶</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۰٫۸۶</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۰٫۵۵</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۰٫۶۶</w:t>
            </w:r>
            <w:r>
              <w:rPr>
                <w:rFonts w:ascii="Times New Roman" w:hAnsi="Times New Roman" w:eastAsia="Times New Roman"/>
                <w:sz w:val="22"/>
                <w:sz w:val="22"/>
                <w:szCs w:val="22"/>
                <w:rtl w:val="true"/>
                <w:lang w:val="en-US" w:bidi="fa-IR"/>
              </w:rPr>
              <w:t>–</w:t>
            </w:r>
            <w:r>
              <w:rPr>
                <w:rFonts w:ascii="Times New Roman" w:hAnsi="Times New Roman" w:eastAsia="Times New Roman"/>
                <w:sz w:val="22"/>
                <w:sz w:val="22"/>
                <w:szCs w:val="22"/>
                <w:lang w:val="en-US" w:bidi="fa-IR"/>
              </w:rPr>
              <w:t>۰٫۸۱</w:t>
            </w:r>
          </w:p>
        </w:tc>
      </w:tr>
      <w:tr>
        <w:trPr>
          <w:cantSplit w:val="true"/>
        </w:trPr>
        <w:tc>
          <w:tcPr>
            <w:tcW w:w="2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انطباق نمادین </w:t>
            </w:r>
            <w:r>
              <w:rPr>
                <w:rFonts w:eastAsia="Times New Roman" w:cs="B Nazanin"/>
                <w:sz w:val="22"/>
                <w:szCs w:val="22"/>
                <w:rtl w:val="true"/>
                <w:lang w:val="en-US" w:bidi="fa-IR"/>
              </w:rPr>
              <w:t>(</w:t>
            </w:r>
            <w:r>
              <w:rPr>
                <w:rFonts w:eastAsia="Times New Roman" w:cs="B Nazanin"/>
                <w:sz w:val="22"/>
                <w:szCs w:val="22"/>
                <w:lang w:val="en-US" w:bidi="fa-IR"/>
              </w:rPr>
              <w:t>SYM</w:t>
            </w:r>
            <w:r>
              <w:rPr>
                <w:rFonts w:eastAsia="Times New Roman" w:cs="B Nazanin"/>
                <w:sz w:val="22"/>
                <w:szCs w:val="22"/>
                <w:rtl w:val="true"/>
                <w:lang w:val="en-US" w:bidi="fa-IR"/>
              </w:rPr>
              <w:t>)</w:t>
            </w:r>
          </w:p>
        </w:tc>
        <w:tc>
          <w:tcPr>
            <w:tcW w:w="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۰٫۸۳</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۰٫۸۳</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۰٫۵۶</w:t>
            </w:r>
          </w:p>
        </w:tc>
        <w:tc>
          <w:tcPr>
            <w:tcW w:w="14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۰٫۶۵</w:t>
            </w:r>
            <w:r>
              <w:rPr>
                <w:rFonts w:ascii="Times New Roman" w:hAnsi="Times New Roman" w:eastAsia="Times New Roman"/>
                <w:sz w:val="22"/>
                <w:sz w:val="22"/>
                <w:szCs w:val="22"/>
                <w:rtl w:val="true"/>
                <w:lang w:val="en-US" w:bidi="fa-IR"/>
              </w:rPr>
              <w:t>–</w:t>
            </w:r>
            <w:r>
              <w:rPr>
                <w:rFonts w:ascii="Times New Roman" w:hAnsi="Times New Roman" w:eastAsia="Times New Roman"/>
                <w:sz w:val="22"/>
                <w:sz w:val="22"/>
                <w:szCs w:val="22"/>
                <w:lang w:val="en-US" w:bidi="fa-IR"/>
              </w:rPr>
              <w:t>۰٫۸۴</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w:t>
      </w:r>
      <w:r>
        <w:rPr>
          <w:rFonts w:ascii="Times New Roman" w:hAnsi="Times New Roman" w:eastAsia="Times New Roman" w:cs="B Zar"/>
          <w:b/>
          <w:b/>
          <w:bCs/>
          <w:sz w:val="20"/>
          <w:sz w:val="20"/>
          <w:szCs w:val="20"/>
          <w:rtl w:val="true"/>
          <w:lang w:val="en-US" w:bidi="fa-IR"/>
        </w:rPr>
        <w:noBreakHyphen/>
        <w:t>الف</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همبستگی سازه‌ها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قطر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جذر </w:t>
      </w:r>
      <w:r>
        <w:rPr>
          <w:rFonts w:eastAsia="Times New Roman" w:cs="B Zar"/>
          <w:b/>
          <w:bCs/>
          <w:sz w:val="20"/>
          <w:szCs w:val="20"/>
          <w:lang w:val="en-US" w:bidi="fa-IR"/>
        </w:rPr>
        <w:t>AVE</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و بیشینهٔ </w:t>
      </w:r>
      <w:r>
        <w:rPr>
          <w:rFonts w:eastAsia="Times New Roman" w:cs="B Zar"/>
          <w:b/>
          <w:bCs/>
          <w:sz w:val="20"/>
          <w:szCs w:val="20"/>
          <w:lang w:val="en-US" w:bidi="fa-IR"/>
        </w:rPr>
        <w:t>HTMT</w:t>
      </w:r>
    </w:p>
    <w:tbl>
      <w:tblPr>
        <w:bidiVisual w:val="true"/>
        <w:tblW w:w="6400" w:type="dxa"/>
        <w:jc w:val="center"/>
        <w:tblInd w:w="0" w:type="dxa"/>
        <w:tblLayout w:type="fixed"/>
        <w:tblCellMar>
          <w:top w:w="0" w:type="dxa"/>
          <w:left w:w="60" w:type="dxa"/>
          <w:bottom w:w="0" w:type="dxa"/>
          <w:right w:w="60" w:type="dxa"/>
        </w:tblCellMar>
      </w:tblPr>
      <w:tblGrid>
        <w:gridCol w:w="899"/>
        <w:gridCol w:w="1101"/>
        <w:gridCol w:w="1100"/>
        <w:gridCol w:w="1100"/>
        <w:gridCol w:w="1099"/>
        <w:gridCol w:w="1100"/>
      </w:tblGrid>
      <w:tr>
        <w:trPr>
          <w:tblHeader w:val="true"/>
        </w:trPr>
        <w:tc>
          <w:tcPr>
            <w:tcW w:w="8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سازه</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COE</w:t>
            </w:r>
          </w:p>
        </w:tc>
        <w:tc>
          <w:tcPr>
            <w:tcW w:w="11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NOR</w:t>
            </w:r>
          </w:p>
        </w:tc>
        <w:tc>
          <w:tcPr>
            <w:tcW w:w="11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MIM</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SUB</w:t>
            </w:r>
          </w:p>
        </w:tc>
        <w:tc>
          <w:tcPr>
            <w:tcW w:w="11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SYM</w:t>
            </w:r>
          </w:p>
        </w:tc>
      </w:tr>
      <w:tr>
        <w:trPr>
          <w:cantSplit w:val="true"/>
        </w:trPr>
        <w:tc>
          <w:tcPr>
            <w:tcW w:w="899" w:type="dxa"/>
            <w:tcBorders/>
            <w:vAlign w:val="center"/>
          </w:tcPr>
          <w:p>
            <w:pPr>
              <w:pStyle w:val="Normal"/>
              <w:bidi w:val="1"/>
              <w:spacing w:lineRule="auto" w:line="240" w:before="40" w:after="40"/>
              <w:jc w:val="center"/>
              <w:rPr/>
            </w:pPr>
            <w:r>
              <w:rPr>
                <w:rFonts w:eastAsia="Times New Roman" w:cs="B Nazanin"/>
                <w:sz w:val="20"/>
                <w:szCs w:val="20"/>
                <w:lang w:val="en-US" w:bidi="fa-IR"/>
              </w:rPr>
              <w:t>COE</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۰٫۷۶</w:t>
            </w:r>
          </w:p>
        </w:tc>
        <w:tc>
          <w:tcPr>
            <w:tcW w:w="11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۰٫۰۶‎</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۰٫۵۲</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۰٫۱۹</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۰٫۴۲</w:t>
            </w:r>
          </w:p>
        </w:tc>
      </w:tr>
      <w:tr>
        <w:trPr>
          <w:cantSplit w:val="true"/>
        </w:trPr>
        <w:tc>
          <w:tcPr>
            <w:tcW w:w="899" w:type="dxa"/>
            <w:tcBorders/>
            <w:vAlign w:val="center"/>
          </w:tcPr>
          <w:p>
            <w:pPr>
              <w:pStyle w:val="Normal"/>
              <w:bidi w:val="1"/>
              <w:spacing w:lineRule="auto" w:line="240" w:before="40" w:after="40"/>
              <w:jc w:val="center"/>
              <w:rPr/>
            </w:pPr>
            <w:r>
              <w:rPr>
                <w:rFonts w:eastAsia="Times New Roman" w:cs="B Nazanin"/>
                <w:sz w:val="20"/>
                <w:szCs w:val="20"/>
                <w:lang w:val="en-US" w:bidi="fa-IR"/>
              </w:rPr>
              <w:t>NOR</w:t>
            </w:r>
          </w:p>
        </w:tc>
        <w:tc>
          <w:tcPr>
            <w:tcW w:w="1101"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۰٫۰۶‎</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۰٫۷۵</w:t>
            </w:r>
          </w:p>
        </w:tc>
        <w:tc>
          <w:tcPr>
            <w:tcW w:w="11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۰٫۲۶‎</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۰٫۳۵</w:t>
            </w:r>
          </w:p>
        </w:tc>
        <w:tc>
          <w:tcPr>
            <w:tcW w:w="11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۰٫۳۵‎</w:t>
            </w:r>
          </w:p>
        </w:tc>
      </w:tr>
      <w:tr>
        <w:trPr>
          <w:cantSplit w:val="true"/>
        </w:trPr>
        <w:tc>
          <w:tcPr>
            <w:tcW w:w="899" w:type="dxa"/>
            <w:tcBorders/>
            <w:vAlign w:val="center"/>
          </w:tcPr>
          <w:p>
            <w:pPr>
              <w:pStyle w:val="Normal"/>
              <w:bidi w:val="1"/>
              <w:spacing w:lineRule="auto" w:line="240" w:before="40" w:after="40"/>
              <w:jc w:val="center"/>
              <w:rPr/>
            </w:pPr>
            <w:r>
              <w:rPr>
                <w:rFonts w:eastAsia="Times New Roman" w:cs="B Nazanin"/>
                <w:sz w:val="20"/>
                <w:szCs w:val="20"/>
                <w:lang w:val="en-US" w:bidi="fa-IR"/>
              </w:rPr>
              <w:t>MIM</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۰٫۵۲</w:t>
            </w:r>
          </w:p>
        </w:tc>
        <w:tc>
          <w:tcPr>
            <w:tcW w:w="11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۰٫۲۶‎</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۰٫۷۴</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۰٫۰۵</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۰٫۵۴</w:t>
            </w:r>
          </w:p>
        </w:tc>
      </w:tr>
      <w:tr>
        <w:trPr>
          <w:cantSplit w:val="true"/>
        </w:trPr>
        <w:tc>
          <w:tcPr>
            <w:tcW w:w="899" w:type="dxa"/>
            <w:tcBorders/>
            <w:vAlign w:val="center"/>
          </w:tcPr>
          <w:p>
            <w:pPr>
              <w:pStyle w:val="Normal"/>
              <w:bidi w:val="1"/>
              <w:spacing w:lineRule="auto" w:line="240" w:before="40" w:after="40"/>
              <w:jc w:val="center"/>
              <w:rPr/>
            </w:pPr>
            <w:r>
              <w:rPr>
                <w:rFonts w:eastAsia="Times New Roman" w:cs="B Nazanin"/>
                <w:sz w:val="20"/>
                <w:szCs w:val="20"/>
                <w:lang w:val="en-US" w:bidi="fa-IR"/>
              </w:rPr>
              <w:t>SUB</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۰٫۱۹</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۰٫۳۵</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۰٫۰۵</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۰٫۷۴</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۰٫۱۰</w:t>
            </w:r>
          </w:p>
        </w:tc>
      </w:tr>
      <w:tr>
        <w:trPr>
          <w:cantSplit w:val="true"/>
        </w:trPr>
        <w:tc>
          <w:tcPr>
            <w:tcW w:w="8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SYM</w:t>
            </w:r>
          </w:p>
        </w:tc>
        <w:tc>
          <w:tcPr>
            <w:tcW w:w="11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۰٫۴۲</w:t>
            </w:r>
          </w:p>
        </w:tc>
        <w:tc>
          <w:tcPr>
            <w:tcW w:w="11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۰٫۳۵‎</w:t>
            </w:r>
          </w:p>
        </w:tc>
        <w:tc>
          <w:tcPr>
            <w:tcW w:w="11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۰٫۵۴</w:t>
            </w:r>
          </w:p>
        </w:tc>
        <w:tc>
          <w:tcPr>
            <w:tcW w:w="10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۰٫۱۰</w:t>
            </w:r>
          </w:p>
        </w:tc>
        <w:tc>
          <w:tcPr>
            <w:tcW w:w="11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۰٫۷۵</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 xml:space="preserve">بیشینهٔ </w:t>
      </w:r>
      <w:r>
        <w:rPr>
          <w:rFonts w:eastAsia="Times New Roman" w:cs="B Nazanin"/>
          <w:sz w:val="20"/>
          <w:szCs w:val="20"/>
          <w:lang w:val="en-US" w:bidi="fa-IR"/>
        </w:rPr>
        <w:t>HTMT</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میان سازه‌ها برابر </w:t>
      </w:r>
      <w:r>
        <w:rPr>
          <w:rFonts w:ascii="Times New Roman" w:hAnsi="Times New Roman" w:eastAsia="Times New Roman"/>
          <w:sz w:val="20"/>
          <w:sz w:val="20"/>
          <w:szCs w:val="20"/>
          <w:lang w:val="en-US" w:bidi="fa-IR"/>
        </w:rPr>
        <w:t>۰٫۵۵</w:t>
      </w:r>
      <w:r>
        <w:rPr>
          <w:rFonts w:ascii="Times New Roman" w:hAnsi="Times New Roman" w:eastAsia="Times New Roman"/>
          <w:sz w:val="20"/>
          <w:sz w:val="20"/>
          <w:szCs w:val="20"/>
          <w:rtl w:val="true"/>
          <w:lang w:val="en-US" w:bidi="fa-IR"/>
        </w:rPr>
        <w:t xml:space="preserve"> است</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جذر </w:t>
      </w:r>
      <w:r>
        <w:rPr>
          <w:rFonts w:eastAsia="Times New Roman" w:cs="B Nazanin"/>
          <w:sz w:val="20"/>
          <w:szCs w:val="20"/>
          <w:lang w:val="en-US" w:bidi="fa-IR"/>
        </w:rPr>
        <w:t>AVE</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هر سازه از همبستگی آن با سازه‌های دیگر بزرگ‌تر است</w:t>
      </w:r>
      <w:r>
        <w:rPr>
          <w:rFonts w:eastAsia="Times New Roman" w:cs="B Nazanin"/>
          <w:sz w:val="20"/>
          <w:szCs w:val="20"/>
          <w:rtl w:val="true"/>
          <w:lang w:val="en-US" w:bidi="fa-IR"/>
        </w:rPr>
        <w:t>.</w:t>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مدل ساختاری با دو اثر متقابل برازش مطلوب داشت</w:t>
      </w:r>
      <w:r>
        <w:rPr>
          <w:rFonts w:eastAsia="Times New Roman" w:cs="B Nazanin"/>
          <w:sz w:val="26"/>
          <w:szCs w:val="26"/>
          <w:rtl w:val="true"/>
          <w:lang w:val="en-US" w:bidi="fa-IR"/>
        </w:rPr>
        <w:t xml:space="preserve">: </w:t>
      </w:r>
      <w:r>
        <w:rPr>
          <w:rFonts w:eastAsia="Times New Roman" w:cs="B Nazanin"/>
          <w:sz w:val="26"/>
          <w:szCs w:val="26"/>
          <w:lang w:val="en-US" w:bidi="fa-IR"/>
        </w:rPr>
        <w:t>χ²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۴۰۵٫۱</w:t>
      </w:r>
      <w:r>
        <w:rPr>
          <w:rFonts w:ascii="Times New Roman" w:hAnsi="Times New Roman" w:eastAsia="Times New Roman"/>
          <w:sz w:val="26"/>
          <w:sz w:val="26"/>
          <w:szCs w:val="26"/>
          <w:rtl w:val="true"/>
          <w:lang w:val="en-US" w:bidi="fa-IR"/>
        </w:rPr>
        <w:t xml:space="preserve"> با </w:t>
      </w:r>
      <w:r>
        <w:rPr>
          <w:rFonts w:ascii="Times New Roman" w:hAnsi="Times New Roman" w:eastAsia="Times New Roman"/>
          <w:sz w:val="26"/>
          <w:sz w:val="26"/>
          <w:szCs w:val="26"/>
          <w:lang w:val="en-US" w:bidi="fa-IR"/>
        </w:rPr>
        <w:t>۳۵۸</w:t>
      </w:r>
      <w:r>
        <w:rPr>
          <w:rFonts w:ascii="Times New Roman" w:hAnsi="Times New Roman" w:eastAsia="Times New Roman"/>
          <w:sz w:val="26"/>
          <w:sz w:val="26"/>
          <w:szCs w:val="26"/>
          <w:rtl w:val="true"/>
          <w:lang w:val="en-US" w:bidi="fa-IR"/>
        </w:rPr>
        <w:t xml:space="preserve"> درجهٔ آزادی؛ </w:t>
      </w:r>
      <w:r>
        <w:rPr>
          <w:rFonts w:eastAsia="Times New Roman" w:cs="B Nazanin"/>
          <w:sz w:val="26"/>
          <w:szCs w:val="26"/>
          <w:lang w:val="en-US" w:bidi="fa-IR"/>
        </w:rPr>
        <w:t>CFI</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۰٫۹۸۹</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TLI</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۰٫۹۸۷</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RMSEA</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۰٫۰۱۸</w:t>
      </w:r>
      <w:r>
        <w:rPr>
          <w:rFonts w:ascii="Times New Roman" w:hAnsi="Times New Roman" w:eastAsia="Times New Roman"/>
          <w:sz w:val="26"/>
          <w:sz w:val="26"/>
          <w:szCs w:val="26"/>
          <w:rtl w:val="true"/>
          <w:lang w:val="en-US" w:bidi="fa-IR"/>
        </w:rPr>
        <w:t xml:space="preserve"> و </w:t>
      </w:r>
      <w:r>
        <w:rPr>
          <w:rFonts w:eastAsia="Times New Roman" w:cs="B Nazanin"/>
          <w:sz w:val="26"/>
          <w:szCs w:val="26"/>
          <w:lang w:val="en-US" w:bidi="fa-IR"/>
        </w:rPr>
        <w:t>SRMR</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۰٫۰۳۶</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rtl w:val="true"/>
          <w:lang w:val="en-US" w:bidi="fa-IR"/>
        </w:rPr>
        <w:t xml:space="preserve"> و شکل </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برآورد مسیرهای ساختاری</w:t>
      </w:r>
    </w:p>
    <w:tbl>
      <w:tblPr>
        <w:bidiVisual w:val="true"/>
        <w:tblW w:w="7450" w:type="dxa"/>
        <w:jc w:val="center"/>
        <w:tblInd w:w="0" w:type="dxa"/>
        <w:tblLayout w:type="fixed"/>
        <w:tblCellMar>
          <w:top w:w="0" w:type="dxa"/>
          <w:left w:w="60" w:type="dxa"/>
          <w:bottom w:w="0" w:type="dxa"/>
          <w:right w:w="60" w:type="dxa"/>
        </w:tblCellMar>
      </w:tblPr>
      <w:tblGrid>
        <w:gridCol w:w="1100"/>
        <w:gridCol w:w="2899"/>
        <w:gridCol w:w="600"/>
        <w:gridCol w:w="601"/>
        <w:gridCol w:w="599"/>
        <w:gridCol w:w="751"/>
        <w:gridCol w:w="899"/>
      </w:tblGrid>
      <w:tr>
        <w:trPr>
          <w:tblHeader w:val="true"/>
        </w:trPr>
        <w:tc>
          <w:tcPr>
            <w:tcW w:w="11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نوع</w:t>
            </w:r>
          </w:p>
        </w:tc>
        <w:tc>
          <w:tcPr>
            <w:tcW w:w="28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مسیر</w:t>
            </w:r>
          </w:p>
        </w:tc>
        <w:tc>
          <w:tcPr>
            <w:tcW w:w="6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b</w:t>
            </w:r>
          </w:p>
        </w:tc>
        <w:tc>
          <w:tcPr>
            <w:tcW w:w="6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SE</w:t>
            </w:r>
          </w:p>
        </w:tc>
        <w:tc>
          <w:tcPr>
            <w:tcW w:w="5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β</w:t>
            </w:r>
          </w:p>
        </w:tc>
        <w:tc>
          <w:tcPr>
            <w:tcW w:w="75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p</w:t>
            </w:r>
          </w:p>
        </w:tc>
        <w:tc>
          <w:tcPr>
            <w:tcW w:w="8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فرضیه</w:t>
            </w:r>
          </w:p>
        </w:tc>
      </w:tr>
      <w:tr>
        <w:trPr>
          <w:cantSplit w:val="true"/>
        </w:trPr>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اثر اصلی</w:t>
            </w:r>
          </w:p>
        </w:tc>
        <w:tc>
          <w:tcPr>
            <w:tcW w:w="28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فشار الزامی ← اجرای ماهوی</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۰٫۲۳</w:t>
            </w:r>
          </w:p>
        </w:tc>
        <w:tc>
          <w:tcPr>
            <w:tcW w:w="6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۰٫۰۷</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۰٫۲۴</w:t>
            </w:r>
          </w:p>
        </w:tc>
        <w:tc>
          <w:tcPr>
            <w:tcW w:w="75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&lt;</w:t>
            </w:r>
            <w:r>
              <w:rPr>
                <w:rFonts w:ascii="Times New Roman" w:hAnsi="Times New Roman" w:eastAsia="Times New Roman"/>
                <w:sz w:val="20"/>
                <w:sz w:val="20"/>
                <w:szCs w:val="20"/>
                <w:lang w:val="en-US" w:bidi="fa-IR"/>
              </w:rPr>
              <w:t>۰٫۰۰۱</w:t>
            </w:r>
          </w:p>
        </w:tc>
        <w:tc>
          <w:tcPr>
            <w:tcW w:w="8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r>
      <w:tr>
        <w:trPr>
          <w:cantSplit w:val="true"/>
        </w:trPr>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اثر اصلی</w:t>
            </w:r>
          </w:p>
        </w:tc>
        <w:tc>
          <w:tcPr>
            <w:tcW w:w="28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فشار هنجاری ← اجرای ماهوی</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۰٫۳۴</w:t>
            </w:r>
          </w:p>
        </w:tc>
        <w:tc>
          <w:tcPr>
            <w:tcW w:w="6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۰٫۰۶</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۰٫۳۵</w:t>
            </w:r>
          </w:p>
        </w:tc>
        <w:tc>
          <w:tcPr>
            <w:tcW w:w="75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&lt;</w:t>
            </w:r>
            <w:r>
              <w:rPr>
                <w:rFonts w:ascii="Times New Roman" w:hAnsi="Times New Roman" w:eastAsia="Times New Roman"/>
                <w:sz w:val="20"/>
                <w:sz w:val="20"/>
                <w:szCs w:val="20"/>
                <w:lang w:val="en-US" w:bidi="fa-IR"/>
              </w:rPr>
              <w:t>۰٫۰۰۱</w:t>
            </w:r>
          </w:p>
        </w:tc>
        <w:tc>
          <w:tcPr>
            <w:tcW w:w="8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r>
      <w:tr>
        <w:trPr>
          <w:cantSplit w:val="true"/>
        </w:trPr>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اثر اصلی</w:t>
            </w:r>
          </w:p>
        </w:tc>
        <w:tc>
          <w:tcPr>
            <w:tcW w:w="28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فشار تقلیدی ← اجرای ماهوی</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۰٫۰۹</w:t>
            </w:r>
          </w:p>
        </w:tc>
        <w:tc>
          <w:tcPr>
            <w:tcW w:w="6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۰٫۰۸</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۰٫۰۸</w:t>
            </w:r>
          </w:p>
        </w:tc>
        <w:tc>
          <w:tcPr>
            <w:tcW w:w="75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۰٫۲۵۳</w:t>
            </w:r>
          </w:p>
        </w:tc>
        <w:tc>
          <w:tcPr>
            <w:tcW w:w="8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r>
      <w:tr>
        <w:trPr>
          <w:cantSplit w:val="true"/>
        </w:trPr>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اثر اصلی</w:t>
            </w:r>
          </w:p>
        </w:tc>
        <w:tc>
          <w:tcPr>
            <w:tcW w:w="28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فشار الزامی ← انطباق نمادین</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۰٫۲۱</w:t>
            </w:r>
          </w:p>
        </w:tc>
        <w:tc>
          <w:tcPr>
            <w:tcW w:w="6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۰٫۰۶</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۰٫۲۳</w:t>
            </w:r>
          </w:p>
        </w:tc>
        <w:tc>
          <w:tcPr>
            <w:tcW w:w="75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&lt;</w:t>
            </w:r>
            <w:r>
              <w:rPr>
                <w:rFonts w:ascii="Times New Roman" w:hAnsi="Times New Roman" w:eastAsia="Times New Roman"/>
                <w:sz w:val="20"/>
                <w:sz w:val="20"/>
                <w:szCs w:val="20"/>
                <w:lang w:val="en-US" w:bidi="fa-IR"/>
              </w:rPr>
              <w:t>۰٫۰۰۱</w:t>
            </w:r>
          </w:p>
        </w:tc>
        <w:tc>
          <w:tcPr>
            <w:tcW w:w="8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r>
      <w:tr>
        <w:trPr>
          <w:cantSplit w:val="true"/>
        </w:trPr>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اثر اصلی</w:t>
            </w:r>
          </w:p>
        </w:tc>
        <w:tc>
          <w:tcPr>
            <w:tcW w:w="28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فشار هنجاری ← انطباق نمادین</w:t>
            </w:r>
          </w:p>
        </w:tc>
        <w:tc>
          <w:tcPr>
            <w:tcW w:w="6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۰٫۱۸‎</w:t>
            </w:r>
          </w:p>
        </w:tc>
        <w:tc>
          <w:tcPr>
            <w:tcW w:w="6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۰٫۰۵</w:t>
            </w:r>
          </w:p>
        </w:tc>
        <w:tc>
          <w:tcPr>
            <w:tcW w:w="599"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۰٫۱۹‎</w:t>
            </w:r>
          </w:p>
        </w:tc>
        <w:tc>
          <w:tcPr>
            <w:tcW w:w="75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&lt;</w:t>
            </w:r>
            <w:r>
              <w:rPr>
                <w:rFonts w:ascii="Times New Roman" w:hAnsi="Times New Roman" w:eastAsia="Times New Roman"/>
                <w:sz w:val="20"/>
                <w:sz w:val="20"/>
                <w:szCs w:val="20"/>
                <w:lang w:val="en-US" w:bidi="fa-IR"/>
              </w:rPr>
              <w:t>۰٫۰۰۱</w:t>
            </w:r>
          </w:p>
        </w:tc>
        <w:tc>
          <w:tcPr>
            <w:tcW w:w="8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r>
      <w:tr>
        <w:trPr>
          <w:cantSplit w:val="true"/>
        </w:trPr>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اثر اصلی</w:t>
            </w:r>
          </w:p>
        </w:tc>
        <w:tc>
          <w:tcPr>
            <w:tcW w:w="28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فشار تقلیدی ← انطباق نمادین</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۰٫۳۴</w:t>
            </w:r>
          </w:p>
        </w:tc>
        <w:tc>
          <w:tcPr>
            <w:tcW w:w="6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۰٫۰۷</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۰٫۳۳</w:t>
            </w:r>
          </w:p>
        </w:tc>
        <w:tc>
          <w:tcPr>
            <w:tcW w:w="75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&lt;</w:t>
            </w:r>
            <w:r>
              <w:rPr>
                <w:rFonts w:ascii="Times New Roman" w:hAnsi="Times New Roman" w:eastAsia="Times New Roman"/>
                <w:sz w:val="20"/>
                <w:sz w:val="20"/>
                <w:szCs w:val="20"/>
                <w:lang w:val="en-US" w:bidi="fa-IR"/>
              </w:rPr>
              <w:t>۰٫۰۰۱</w:t>
            </w:r>
          </w:p>
        </w:tc>
        <w:tc>
          <w:tcPr>
            <w:tcW w:w="8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r>
      <w:tr>
        <w:trPr>
          <w:cantSplit w:val="true"/>
        </w:trPr>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اثر متقابل</w:t>
            </w:r>
          </w:p>
        </w:tc>
        <w:tc>
          <w:tcPr>
            <w:tcW w:w="28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الزامی </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هنجاری ← اجرای ماهوی</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۰٫۲۴</w:t>
            </w:r>
          </w:p>
        </w:tc>
        <w:tc>
          <w:tcPr>
            <w:tcW w:w="6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۰٫۰۸</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۰٫۲۱</w:t>
            </w:r>
          </w:p>
        </w:tc>
        <w:tc>
          <w:tcPr>
            <w:tcW w:w="75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۰٫۰۰۴</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فرضیهٔ </w:t>
            </w:r>
            <w:r>
              <w:rPr>
                <w:rFonts w:ascii="Times New Roman" w:hAnsi="Times New Roman" w:eastAsia="Times New Roman"/>
                <w:sz w:val="20"/>
                <w:sz w:val="20"/>
                <w:szCs w:val="20"/>
                <w:lang w:val="en-US" w:bidi="fa-IR"/>
              </w:rPr>
              <w:t>۱</w:t>
            </w:r>
          </w:p>
        </w:tc>
      </w:tr>
      <w:tr>
        <w:trPr>
          <w:cantSplit w:val="true"/>
        </w:trPr>
        <w:tc>
          <w:tcPr>
            <w:tcW w:w="1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اثر متقابل</w:t>
            </w:r>
          </w:p>
        </w:tc>
        <w:tc>
          <w:tcPr>
            <w:tcW w:w="28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الزامی </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تقلیدی ← انطباق نمادین</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۰٫۲۵</w:t>
            </w:r>
          </w:p>
        </w:tc>
        <w:tc>
          <w:tcPr>
            <w:tcW w:w="6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۰٫۰۷</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۰٫۲۱</w:t>
            </w:r>
          </w:p>
        </w:tc>
        <w:tc>
          <w:tcPr>
            <w:tcW w:w="75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&lt;</w:t>
            </w:r>
            <w:r>
              <w:rPr>
                <w:rFonts w:ascii="Times New Roman" w:hAnsi="Times New Roman" w:eastAsia="Times New Roman"/>
                <w:sz w:val="20"/>
                <w:sz w:val="20"/>
                <w:szCs w:val="20"/>
                <w:lang w:val="en-US" w:bidi="fa-IR"/>
              </w:rPr>
              <w:t>۰٫۰۰۱</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فرضیهٔ </w:t>
            </w:r>
            <w:r>
              <w:rPr>
                <w:rFonts w:ascii="Times New Roman" w:hAnsi="Times New Roman" w:eastAsia="Times New Roman"/>
                <w:sz w:val="20"/>
                <w:sz w:val="20"/>
                <w:szCs w:val="20"/>
                <w:lang w:val="en-US" w:bidi="fa-IR"/>
              </w:rPr>
              <w:t>۲</w:t>
            </w:r>
          </w:p>
        </w:tc>
      </w:tr>
      <w:tr>
        <w:trPr>
          <w:cantSplit w:val="true"/>
        </w:trPr>
        <w:tc>
          <w:tcPr>
            <w:tcW w:w="11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همبستگی باقی‌مانده</w:t>
            </w:r>
          </w:p>
        </w:tc>
        <w:tc>
          <w:tcPr>
            <w:tcW w:w="2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اجرای ماهوی ↔ انطباق نمادین</w:t>
            </w:r>
          </w:p>
        </w:tc>
        <w:tc>
          <w:tcPr>
            <w:tcW w:w="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۰٫۱۱</w:t>
            </w:r>
          </w:p>
        </w:tc>
        <w:tc>
          <w:tcPr>
            <w:tcW w:w="6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۰٫۰۴</w:t>
            </w:r>
          </w:p>
        </w:tc>
        <w:tc>
          <w:tcPr>
            <w:tcW w:w="5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۰٫۱۴</w:t>
            </w:r>
          </w:p>
        </w:tc>
        <w:tc>
          <w:tcPr>
            <w:tcW w:w="75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۰٫۰۰۲</w:t>
            </w:r>
          </w:p>
        </w:tc>
        <w:tc>
          <w:tcPr>
            <w:tcW w:w="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فرضیهٔ </w:t>
            </w:r>
            <w:r>
              <w:rPr>
                <w:rFonts w:ascii="Times New Roman" w:hAnsi="Times New Roman" w:eastAsia="Times New Roman"/>
                <w:sz w:val="20"/>
                <w:sz w:val="20"/>
                <w:szCs w:val="20"/>
                <w:lang w:val="en-US" w:bidi="fa-IR"/>
              </w:rPr>
              <w:t>۳</w:t>
            </w:r>
          </w:p>
        </w:tc>
      </w:tr>
    </w:tbl>
    <w:p>
      <w:pPr>
        <w:pStyle w:val="Normal"/>
        <w:bidi w:val="1"/>
        <w:spacing w:lineRule="auto" w:line="240" w:before="0" w:after="100"/>
        <w:ind w:firstLine="360"/>
        <w:jc w:val="both"/>
        <w:rPr/>
        <w:sectPr>
          <w:footerReference w:type="even" r:id="rId3"/>
          <w:footerReference w:type="default" r:id="rId4"/>
          <w:footerReference w:type="first" r:id="rId5"/>
          <w:footnotePr>
            <w:numFmt w:val="decimal"/>
          </w:footnotePr>
          <w:type w:val="nextPage"/>
          <w:pgSz w:w="11906" w:h="16838"/>
          <w:pgMar w:left="1417" w:right="1417" w:gutter="0" w:header="0" w:top="1417" w:footer="708" w:bottom="1417"/>
          <w:pgNumType w:fmt="decimal"/>
          <w:formProt w:val="false"/>
          <w:textDirection w:val="lrTb"/>
          <w:bidi/>
          <w:docGrid w:type="default" w:linePitch="100" w:charSpace="-4097"/>
        </w:sectPr>
      </w:pPr>
      <w:r>
        <w:rPr>
          <w:rtl w:val="true"/>
        </w:rPr>
      </w:r>
    </w:p>
    <w:p>
      <w:pPr>
        <w:pStyle w:val="Normal"/>
        <w:keepNext w:val="true"/>
        <w:jc w:val="center"/>
        <w:rPr/>
      </w:pPr>
      <w:r>
        <w:rPr>
          <w:rtl w:val="true"/>
        </w:rPr>
        <w:drawing>
          <wp:inline distT="0" distB="0" distL="0" distR="0">
            <wp:extent cx="8460105" cy="5718175"/>
            <wp:effectExtent l="0" t="0" r="0" b="0"/>
            <wp:docPr id="2" name="Fig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descr=""/>
                    <pic:cNvPicPr>
                      <a:picLocks noChangeAspect="1" noChangeArrowheads="1"/>
                    </pic:cNvPicPr>
                  </pic:nvPicPr>
                  <pic:blipFill>
                    <a:blip r:embed="rId6"/>
                    <a:stretch>
                      <a:fillRect/>
                    </a:stretch>
                  </pic:blipFill>
                  <pic:spPr bwMode="auto">
                    <a:xfrm>
                      <a:off x="0" y="0"/>
                      <a:ext cx="8460105" cy="5718175"/>
                    </a:xfrm>
                    <a:prstGeom prst="rect">
                      <a:avLst/>
                    </a:prstGeom>
                  </pic:spPr>
                </pic:pic>
              </a:graphicData>
            </a:graphic>
          </wp:inline>
        </w:drawing>
      </w:r>
    </w:p>
    <w:p>
      <w:pPr>
        <w:pStyle w:val="Normal"/>
        <w:bidi w:val="1"/>
        <w:spacing w:lineRule="auto" w:line="240" w:before="40" w:after="160"/>
        <w:jc w:val="center"/>
        <w:rPr/>
        <w:sectPr>
          <w:footerReference w:type="even" r:id="rId7"/>
          <w:footerReference w:type="default" r:id="rId8"/>
          <w:footerReference w:type="first" r:id="rId9"/>
          <w:footnotePr>
            <w:numFmt w:val="decimal"/>
          </w:footnotePr>
          <w:type w:val="nextPage"/>
          <w:pgSz w:orient="landscape" w:w="16838" w:h="11906"/>
          <w:pgMar w:left="1000" w:right="1000" w:gutter="0" w:header="0" w:top="1000" w:footer="708" w:bottom="1000"/>
          <w:pgNumType w:fmt="decimal"/>
          <w:formProt w:val="false"/>
          <w:textDirection w:val="lrTb"/>
          <w:bidi/>
          <w:docGrid w:type="default" w:linePitch="100" w:charSpace="-4097"/>
        </w:sect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مدل برآوردشده با همهٔ گویه‌ها</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بارهای عاملی استاندارد </w:t>
      </w:r>
      <w:r>
        <w:rPr>
          <w:rFonts w:eastAsia="Times New Roman" w:cs="B Zar"/>
          <w:b/>
          <w:bCs/>
          <w:sz w:val="20"/>
          <w:szCs w:val="20"/>
          <w:rtl w:val="true"/>
          <w:lang w:val="en-US" w:bidi="fa-IR"/>
        </w:rPr>
        <w:t>(</w:t>
      </w:r>
      <w:r>
        <w:rPr>
          <w:rFonts w:eastAsia="Times New Roman" w:cs="B Zar"/>
          <w:b/>
          <w:bCs/>
          <w:sz w:val="20"/>
          <w:szCs w:val="20"/>
          <w:lang w:val="en-US" w:bidi="fa-IR"/>
        </w:rPr>
        <w:t>λ</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و ضرایب مسیر استاندارد </w:t>
      </w:r>
      <w:r>
        <w:rPr>
          <w:rFonts w:eastAsia="Times New Roman" w:cs="B Zar"/>
          <w:b/>
          <w:bCs/>
          <w:sz w:val="20"/>
          <w:szCs w:val="20"/>
          <w:rtl w:val="true"/>
          <w:lang w:val="en-US" w:bidi="fa-IR"/>
        </w:rPr>
        <w:t>(</w:t>
      </w:r>
      <w:r>
        <w:rPr>
          <w:rFonts w:eastAsia="Times New Roman" w:cs="B Zar"/>
          <w:b/>
          <w:bCs/>
          <w:sz w:val="20"/>
          <w:szCs w:val="20"/>
          <w:lang w:val="en-US" w:bidi="fa-IR"/>
        </w:rPr>
        <w:t>β</w:t>
      </w:r>
      <w:r>
        <w:rPr>
          <w:rFonts w:eastAsia="Times New Roman" w:cs="B Zar"/>
          <w:b/>
          <w:bCs/>
          <w:sz w:val="20"/>
          <w:szCs w:val="20"/>
          <w:rtl w:val="true"/>
          <w:lang w:val="en-US" w:bidi="fa-IR"/>
        </w:rPr>
        <w:t xml:space="preserve">) (∗ </w:t>
      </w:r>
      <w:r>
        <w:rPr>
          <w:rFonts w:eastAsia="Times New Roman" w:cs="B Zar"/>
          <w:b/>
          <w:bCs/>
          <w:sz w:val="20"/>
          <w:szCs w:val="20"/>
          <w:lang w:val="en-US" w:bidi="fa-IR"/>
        </w:rPr>
        <w:t>p&lt;</w:t>
      </w:r>
      <w:r>
        <w:rPr>
          <w:rFonts w:ascii="Times New Roman" w:hAnsi="Times New Roman" w:eastAsia="Times New Roman" w:cs="B Zar"/>
          <w:b/>
          <w:b/>
          <w:bCs/>
          <w:sz w:val="20"/>
          <w:sz w:val="20"/>
          <w:szCs w:val="20"/>
          <w:lang w:val="en-US" w:bidi="fa-IR"/>
        </w:rPr>
        <w:t xml:space="preserve">۰٫۰۵، ∗∗ </w:t>
      </w:r>
      <w:r>
        <w:rPr>
          <w:rFonts w:eastAsia="Times New Roman" w:cs="B Zar"/>
          <w:b/>
          <w:bCs/>
          <w:sz w:val="20"/>
          <w:szCs w:val="20"/>
          <w:lang w:val="en-US" w:bidi="fa-IR"/>
        </w:rPr>
        <w:t>p&lt;</w:t>
      </w:r>
      <w:r>
        <w:rPr>
          <w:rFonts w:ascii="Times New Roman" w:hAnsi="Times New Roman" w:eastAsia="Times New Roman" w:cs="B Zar"/>
          <w:b/>
          <w:b/>
          <w:bCs/>
          <w:sz w:val="20"/>
          <w:sz w:val="20"/>
          <w:szCs w:val="20"/>
          <w:lang w:val="en-US" w:bidi="fa-IR"/>
        </w:rPr>
        <w:t xml:space="preserve">۰٫۰۱، ∗∗∗ </w:t>
      </w:r>
      <w:r>
        <w:rPr>
          <w:rFonts w:eastAsia="Times New Roman" w:cs="B Zar"/>
          <w:b/>
          <w:bCs/>
          <w:sz w:val="20"/>
          <w:szCs w:val="20"/>
          <w:lang w:val="en-US" w:bidi="fa-IR"/>
        </w:rPr>
        <w:t>p&lt;</w:t>
      </w:r>
      <w:r>
        <w:rPr>
          <w:rFonts w:ascii="Times New Roman" w:hAnsi="Times New Roman" w:eastAsia="Times New Roman" w:cs="B Zar"/>
          <w:b/>
          <w:b/>
          <w:bCs/>
          <w:sz w:val="20"/>
          <w:sz w:val="20"/>
          <w:szCs w:val="20"/>
          <w:lang w:val="en-US" w:bidi="fa-IR"/>
        </w:rPr>
        <w:t>۰٫۰۰۱</w:t>
      </w:r>
      <w:r>
        <w:rPr>
          <w:rFonts w:eastAsia="Times New Roman" w:cs="B Zar"/>
          <w:b/>
          <w:bCs/>
          <w:sz w:val="20"/>
          <w:szCs w:val="20"/>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اثرهای اصلی</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فشار الزامی </w:t>
      </w:r>
      <w:r>
        <w:rPr>
          <w:rFonts w:eastAsia="Times New Roman" w:cs="B Nazanin"/>
          <w:sz w:val="26"/>
          <w:szCs w:val="26"/>
          <w:rtl w:val="true"/>
          <w:lang w:val="en-US" w:bidi="fa-IR"/>
        </w:rPr>
        <w:t>(</w:t>
      </w:r>
      <w:r>
        <w:rPr>
          <w:rFonts w:eastAsia="Times New Roman" w:cs="B Nazanin"/>
          <w:sz w:val="26"/>
          <w:szCs w:val="26"/>
          <w:lang w:val="en-US" w:bidi="fa-IR"/>
        </w:rPr>
        <w:t>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۰٫۲۴</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کمتر از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فشار هنجاری </w:t>
      </w:r>
      <w:r>
        <w:rPr>
          <w:rFonts w:eastAsia="Times New Roman" w:cs="B Nazanin"/>
          <w:sz w:val="26"/>
          <w:szCs w:val="26"/>
          <w:rtl w:val="true"/>
          <w:lang w:val="en-US" w:bidi="fa-IR"/>
        </w:rPr>
        <w:t>(</w:t>
      </w:r>
      <w:r>
        <w:rPr>
          <w:rFonts w:eastAsia="Times New Roman" w:cs="B Nazanin"/>
          <w:sz w:val="26"/>
          <w:szCs w:val="26"/>
          <w:lang w:val="en-US" w:bidi="fa-IR"/>
        </w:rPr>
        <w:t>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۰٫۳۵</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کمتر از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اجرای ماهوی را افزایش دادند و فشار تقلیدی اثر معناداری بر آن نداشت </w:t>
      </w:r>
      <w:r>
        <w:rPr>
          <w:rFonts w:eastAsia="Times New Roman" w:cs="B Nazanin"/>
          <w:sz w:val="26"/>
          <w:szCs w:val="26"/>
          <w:rtl w:val="true"/>
          <w:lang w:val="en-US" w:bidi="fa-IR"/>
        </w:rPr>
        <w:t>(</w:t>
      </w:r>
      <w:r>
        <w:rPr>
          <w:rFonts w:eastAsia="Times New Roman" w:cs="B Nazanin"/>
          <w:sz w:val="26"/>
          <w:szCs w:val="26"/>
          <w:lang w:val="en-US" w:bidi="fa-IR"/>
        </w:rPr>
        <w:t>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۰٫۰۸</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۰٫۲۵۳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انطباق نمادین با فشار الزامی </w:t>
      </w:r>
      <w:r>
        <w:rPr>
          <w:rFonts w:eastAsia="Times New Roman" w:cs="B Nazanin"/>
          <w:sz w:val="26"/>
          <w:szCs w:val="26"/>
          <w:rtl w:val="true"/>
          <w:lang w:val="en-US" w:bidi="fa-IR"/>
        </w:rPr>
        <w:t>(</w:t>
      </w:r>
      <w:r>
        <w:rPr>
          <w:rFonts w:eastAsia="Times New Roman" w:cs="B Nazanin"/>
          <w:sz w:val="26"/>
          <w:szCs w:val="26"/>
          <w:lang w:val="en-US" w:bidi="fa-IR"/>
        </w:rPr>
        <w:t>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۰٫۲۳</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کمتر از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تقلیدی </w:t>
      </w:r>
      <w:r>
        <w:rPr>
          <w:rFonts w:eastAsia="Times New Roman" w:cs="B Nazanin"/>
          <w:sz w:val="26"/>
          <w:szCs w:val="26"/>
          <w:rtl w:val="true"/>
          <w:lang w:val="en-US" w:bidi="fa-IR"/>
        </w:rPr>
        <w:t>(</w:t>
      </w:r>
      <w:r>
        <w:rPr>
          <w:rFonts w:eastAsia="Times New Roman" w:cs="B Nazanin"/>
          <w:sz w:val="26"/>
          <w:szCs w:val="26"/>
          <w:lang w:val="en-US" w:bidi="fa-IR"/>
        </w:rPr>
        <w:t>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۰٫۳۳</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کمتر از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افزایش و با فشار هنجاری </w:t>
      </w:r>
      <w:r>
        <w:rPr>
          <w:rFonts w:eastAsia="Times New Roman" w:cs="B Nazanin"/>
          <w:sz w:val="26"/>
          <w:szCs w:val="26"/>
          <w:rtl w:val="true"/>
          <w:lang w:val="en-US" w:bidi="fa-IR"/>
        </w:rPr>
        <w:t>(</w:t>
      </w:r>
      <w:r>
        <w:rPr>
          <w:rFonts w:eastAsia="Times New Roman" w:cs="B Nazanin"/>
          <w:sz w:val="26"/>
          <w:szCs w:val="26"/>
          <w:lang w:val="en-US" w:bidi="fa-IR"/>
        </w:rPr>
        <w:t>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 xml:space="preserve">‎‎−۰‎٫۱۹‎، </w:t>
      </w:r>
      <w:r>
        <w:rPr>
          <w:rFonts w:eastAsia="Times New Roman" w:cs="B Nazanin"/>
          <w:sz w:val="26"/>
          <w:szCs w:val="26"/>
          <w:lang w:val="en-US" w:bidi="fa-IR"/>
        </w:rPr>
        <w:t>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کمتر از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کاهش یافت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الگو با مبنای نظری سازگار است و زمینه را برای آزمون پیکربندی فراهم می‌کند</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w:t>
      </w:r>
      <w:r>
        <w:rPr>
          <w:rFonts w:ascii="Times New Roman" w:hAnsi="Times New Roman" w:eastAsia="Times New Roman"/>
          <w:b/>
          <w:b/>
          <w:bCs/>
          <w:sz w:val="26"/>
          <w:sz w:val="26"/>
          <w:szCs w:val="26"/>
          <w:rtl w:val="true"/>
          <w:lang w:val="en-US" w:bidi="fa-IR"/>
        </w:rPr>
        <w:t xml:space="preserve"> و </w:t>
      </w:r>
      <w:r>
        <w:rPr>
          <w:rFonts w:ascii="Times New Roman" w:hAnsi="Times New Roman" w:eastAsia="Times New Roman"/>
          <w:b/>
          <w:b/>
          <w:bCs/>
          <w:sz w:val="26"/>
          <w:sz w:val="26"/>
          <w:szCs w:val="26"/>
          <w:lang w:val="en-US" w:bidi="fa-IR"/>
        </w:rPr>
        <w:t>۲</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متقابل الزامی </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هنجاری بر اجرای ماهوی مثبت و معنادار بود </w:t>
      </w:r>
      <w:r>
        <w:rPr>
          <w:rFonts w:eastAsia="Times New Roman" w:cs="B Nazanin"/>
          <w:sz w:val="26"/>
          <w:szCs w:val="26"/>
          <w:rtl w:val="true"/>
          <w:lang w:val="en-US" w:bidi="fa-IR"/>
        </w:rPr>
        <w:t>(</w:t>
      </w:r>
      <w:r>
        <w:rPr>
          <w:rFonts w:eastAsia="Times New Roman" w:cs="B Nazanin"/>
          <w:sz w:val="26"/>
          <w:szCs w:val="26"/>
          <w:lang w:val="en-US" w:bidi="fa-IR"/>
        </w:rPr>
        <w:t>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۰٫۲۱</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۰٫۰۰۴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اثر متقابل الزامی </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تقلیدی بر انطباق نمادین نیز </w:t>
      </w:r>
      <w:r>
        <w:rPr>
          <w:rFonts w:eastAsia="Times New Roman" w:cs="B Nazanin"/>
          <w:sz w:val="26"/>
          <w:szCs w:val="26"/>
          <w:rtl w:val="true"/>
          <w:lang w:val="en-US" w:bidi="fa-IR"/>
        </w:rPr>
        <w:t>(</w:t>
      </w:r>
      <w:r>
        <w:rPr>
          <w:rFonts w:eastAsia="Times New Roman" w:cs="B Nazanin"/>
          <w:sz w:val="26"/>
          <w:szCs w:val="26"/>
          <w:lang w:val="en-US" w:bidi="fa-IR"/>
        </w:rPr>
        <w:t>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۰٫۲۱</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کمتر از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هر دو فرضیه تأیید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اندازهٔ اثر متقابل‌ها کوچک تا متوسط </w:t>
      </w:r>
      <w:r>
        <w:rPr>
          <w:rFonts w:eastAsia="Times New Roman" w:cs="B Nazanin"/>
          <w:sz w:val="26"/>
          <w:szCs w:val="26"/>
          <w:rtl w:val="true"/>
          <w:lang w:val="en-US" w:bidi="fa-IR"/>
        </w:rPr>
        <w:t>(</w:t>
      </w:r>
      <w:r>
        <w:rPr>
          <w:rFonts w:eastAsia="Times New Roman" w:cs="B Nazanin"/>
          <w:sz w:val="26"/>
          <w:szCs w:val="26"/>
          <w:lang w:val="en-US" w:bidi="fa-IR"/>
        </w:rPr>
        <w:t>f²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۰٫۰۴۵</w:t>
      </w:r>
      <w:r>
        <w:rPr>
          <w:rFonts w:ascii="Times New Roman" w:hAnsi="Times New Roman" w:eastAsia="Times New Roman"/>
          <w:sz w:val="26"/>
          <w:sz w:val="26"/>
          <w:szCs w:val="26"/>
          <w:rtl w:val="true"/>
          <w:lang w:val="en-US" w:bidi="fa-IR"/>
        </w:rPr>
        <w:t xml:space="preserve"> و </w:t>
      </w:r>
      <w:r>
        <w:rPr>
          <w:rFonts w:eastAsia="Times New Roman" w:cs="B Nazanin"/>
          <w:sz w:val="26"/>
          <w:szCs w:val="26"/>
          <w:lang w:val="en-US" w:bidi="fa-IR"/>
        </w:rPr>
        <w:t>f²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۰٫۰۵۵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است و افزودن آن‌ها ضریب تعیین اجرای ماهوی را به </w:t>
      </w:r>
      <w:r>
        <w:rPr>
          <w:rFonts w:ascii="Times New Roman" w:hAnsi="Times New Roman" w:eastAsia="Times New Roman"/>
          <w:sz w:val="26"/>
          <w:sz w:val="26"/>
          <w:szCs w:val="26"/>
          <w:lang w:val="en-US" w:bidi="fa-IR"/>
        </w:rPr>
        <w:t>۰٫۲۰</w:t>
      </w:r>
      <w:r>
        <w:rPr>
          <w:rFonts w:ascii="Times New Roman" w:hAnsi="Times New Roman" w:eastAsia="Times New Roman"/>
          <w:sz w:val="26"/>
          <w:sz w:val="26"/>
          <w:szCs w:val="26"/>
          <w:rtl w:val="true"/>
          <w:lang w:val="en-US" w:bidi="fa-IR"/>
        </w:rPr>
        <w:t xml:space="preserve"> و انطباق نمادین را به </w:t>
      </w:r>
      <w:r>
        <w:rPr>
          <w:rFonts w:ascii="Times New Roman" w:hAnsi="Times New Roman" w:eastAsia="Times New Roman"/>
          <w:sz w:val="26"/>
          <w:sz w:val="26"/>
          <w:szCs w:val="26"/>
          <w:lang w:val="en-US" w:bidi="fa-IR"/>
        </w:rPr>
        <w:t>۰٫۴۱</w:t>
      </w:r>
      <w:r>
        <w:rPr>
          <w:rFonts w:ascii="Times New Roman" w:hAnsi="Times New Roman" w:eastAsia="Times New Roman"/>
          <w:sz w:val="26"/>
          <w:sz w:val="26"/>
          <w:szCs w:val="26"/>
          <w:rtl w:val="true"/>
          <w:lang w:val="en-US" w:bidi="fa-IR"/>
        </w:rPr>
        <w:t xml:space="preserve"> رساند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اثرهای شرطی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شیب ساده</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و فاصلهٔ اطمینان </w:t>
      </w:r>
      <w:r>
        <w:rPr>
          <w:rFonts w:ascii="Times New Roman" w:hAnsi="Times New Roman" w:eastAsia="Times New Roman" w:cs="B Zar"/>
          <w:b/>
          <w:b/>
          <w:bCs/>
          <w:sz w:val="20"/>
          <w:sz w:val="20"/>
          <w:szCs w:val="20"/>
          <w:lang w:val="en-US" w:bidi="fa-IR"/>
        </w:rPr>
        <w:t>۹۵</w:t>
      </w:r>
      <w:r>
        <w:rPr>
          <w:rFonts w:ascii="Times New Roman" w:hAnsi="Times New Roman" w:eastAsia="Times New Roman" w:cs="B Zar"/>
          <w:b/>
          <w:b/>
          <w:bCs/>
          <w:sz w:val="20"/>
          <w:sz w:val="20"/>
          <w:szCs w:val="20"/>
          <w:rtl w:val="true"/>
          <w:lang w:val="en-US" w:bidi="fa-IR"/>
        </w:rPr>
        <w:t xml:space="preserve"> درصد بوت‌استرپ</w:t>
      </w:r>
    </w:p>
    <w:tbl>
      <w:tblPr>
        <w:bidiVisual w:val="true"/>
        <w:tblW w:w="7200" w:type="dxa"/>
        <w:jc w:val="center"/>
        <w:tblInd w:w="0" w:type="dxa"/>
        <w:tblLayout w:type="fixed"/>
        <w:tblCellMar>
          <w:top w:w="0" w:type="dxa"/>
          <w:left w:w="60" w:type="dxa"/>
          <w:bottom w:w="0" w:type="dxa"/>
          <w:right w:w="60" w:type="dxa"/>
        </w:tblCellMar>
      </w:tblPr>
      <w:tblGrid>
        <w:gridCol w:w="2700"/>
        <w:gridCol w:w="1499"/>
        <w:gridCol w:w="1501"/>
        <w:gridCol w:w="1499"/>
      </w:tblGrid>
      <w:tr>
        <w:trPr>
          <w:tblHeader w:val="true"/>
        </w:trPr>
        <w:tc>
          <w:tcPr>
            <w:tcW w:w="2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اثر</w:t>
            </w:r>
          </w:p>
        </w:tc>
        <w:tc>
          <w:tcPr>
            <w:tcW w:w="1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 xml:space="preserve">سطح پایین </w:t>
            </w:r>
            <w:r>
              <w:rPr>
                <w:rFonts w:eastAsia="Times New Roman" w:cs="B Nazanin"/>
                <w:b/>
                <w:bCs/>
                <w:sz w:val="20"/>
                <w:szCs w:val="20"/>
                <w:rtl w:val="true"/>
                <w:lang w:val="en-US" w:bidi="fa-IR"/>
              </w:rPr>
              <w:t>(</w:t>
            </w:r>
            <w:r>
              <w:rPr>
                <w:rFonts w:ascii="Times New Roman" w:hAnsi="Times New Roman" w:eastAsia="Times New Roman"/>
                <w:b/>
                <w:b/>
                <w:bCs/>
                <w:sz w:val="20"/>
                <w:sz w:val="20"/>
                <w:szCs w:val="20"/>
                <w:lang w:val="en-US" w:bidi="fa-IR"/>
              </w:rPr>
              <w:t>۱</w:t>
            </w:r>
            <w:r>
              <w:rPr>
                <w:rFonts w:ascii="Times New Roman" w:hAnsi="Times New Roman" w:eastAsia="Times New Roman"/>
                <w:b/>
                <w:b/>
                <w:bCs/>
                <w:sz w:val="20"/>
                <w:sz w:val="20"/>
                <w:szCs w:val="20"/>
                <w:rtl w:val="true"/>
                <w:lang w:val="en-US" w:bidi="fa-IR"/>
              </w:rPr>
              <w:t>− انحراف معیار</w:t>
            </w:r>
            <w:r>
              <w:rPr>
                <w:rFonts w:eastAsia="Times New Roman" w:cs="B Nazanin"/>
                <w:b/>
                <w:bCs/>
                <w:sz w:val="20"/>
                <w:szCs w:val="20"/>
                <w:rtl w:val="true"/>
                <w:lang w:val="en-US" w:bidi="fa-IR"/>
              </w:rPr>
              <w:t>)</w:t>
            </w:r>
          </w:p>
        </w:tc>
        <w:tc>
          <w:tcPr>
            <w:tcW w:w="15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میانگین</w:t>
            </w:r>
          </w:p>
        </w:tc>
        <w:tc>
          <w:tcPr>
            <w:tcW w:w="1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 xml:space="preserve">سطح بالا </w:t>
            </w:r>
            <w:r>
              <w:rPr>
                <w:rFonts w:eastAsia="Times New Roman" w:cs="B Nazanin"/>
                <w:b/>
                <w:bCs/>
                <w:sz w:val="20"/>
                <w:szCs w:val="20"/>
                <w:rtl w:val="true"/>
                <w:lang w:val="en-US" w:bidi="fa-IR"/>
              </w:rPr>
              <w:t>(</w:t>
            </w:r>
            <w:r>
              <w:rPr>
                <w:rFonts w:ascii="Times New Roman" w:hAnsi="Times New Roman" w:eastAsia="Times New Roman"/>
                <w:b/>
                <w:b/>
                <w:bCs/>
                <w:sz w:val="20"/>
                <w:sz w:val="20"/>
                <w:szCs w:val="20"/>
                <w:lang w:val="en-US" w:bidi="fa-IR"/>
              </w:rPr>
              <w:t>۱</w:t>
            </w:r>
            <w:r>
              <w:rPr>
                <w:rFonts w:eastAsia="Times New Roman" w:cs="B Nazanin"/>
                <w:b/>
                <w:bCs/>
                <w:sz w:val="20"/>
                <w:szCs w:val="20"/>
                <w:rtl w:val="true"/>
                <w:lang w:val="en-US" w:bidi="fa-IR"/>
              </w:rPr>
              <w:t xml:space="preserve">+ </w:t>
            </w:r>
            <w:r>
              <w:rPr>
                <w:rFonts w:ascii="Times New Roman" w:hAnsi="Times New Roman" w:eastAsia="Times New Roman"/>
                <w:b/>
                <w:b/>
                <w:bCs/>
                <w:sz w:val="20"/>
                <w:sz w:val="20"/>
                <w:szCs w:val="20"/>
                <w:rtl w:val="true"/>
                <w:lang w:val="en-US" w:bidi="fa-IR"/>
              </w:rPr>
              <w:t>انحراف معیار</w:t>
            </w:r>
            <w:r>
              <w:rPr>
                <w:rFonts w:eastAsia="Times New Roman" w:cs="B Nazanin"/>
                <w:b/>
                <w:bCs/>
                <w:sz w:val="20"/>
                <w:szCs w:val="20"/>
                <w:rtl w:val="true"/>
                <w:lang w:val="en-US" w:bidi="fa-IR"/>
              </w:rPr>
              <w:t>)</w:t>
            </w:r>
          </w:p>
        </w:tc>
      </w:tr>
      <w:tr>
        <w:trPr>
          <w:cantSplit w:val="true"/>
        </w:trPr>
        <w:tc>
          <w:tcPr>
            <w:tcW w:w="2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الزامی ← اجرای ماهوی، در سطوح هنجاری</w:t>
            </w:r>
          </w:p>
        </w:tc>
        <w:tc>
          <w:tcPr>
            <w:tcW w:w="1499"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۰٫۰۱</w:t>
            </w:r>
            <w:r>
              <w:rPr>
                <w:rFonts w:ascii="Times New Roman" w:hAnsi="Times New Roman" w:eastAsia="Times New Roman"/>
                <w:sz w:val="20"/>
                <w:sz w:val="20"/>
                <w:szCs w:val="20"/>
                <w:rtl w:val="true"/>
                <w:lang w:val="en-US" w:bidi="fa-IR"/>
              </w:rPr>
              <w:t> </w:t>
            </w: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۰٫۱۹‎</w:t>
            </w:r>
            <w:r>
              <w:rPr>
                <w:rFonts w:eastAsia="Times New Roman" w:cs="B Nazanin"/>
                <w:sz w:val="20"/>
                <w:szCs w:val="20"/>
                <w:lang w:val="en-US" w:bidi="fa-IR"/>
              </w:rPr>
              <w:t>, </w:t>
            </w:r>
            <w:r>
              <w:rPr>
                <w:rFonts w:ascii="Times New Roman" w:hAnsi="Times New Roman" w:eastAsia="Times New Roman"/>
                <w:sz w:val="20"/>
                <w:sz w:val="20"/>
                <w:szCs w:val="20"/>
                <w:lang w:val="en-US" w:bidi="fa-IR"/>
              </w:rPr>
              <w:t>۰٫۱۶</w:t>
            </w:r>
            <w:r>
              <w:rPr>
                <w:rFonts w:eastAsia="Times New Roman" w:cs="B Nazanin"/>
                <w:sz w:val="20"/>
                <w:szCs w:val="20"/>
                <w:rtl w:val="true"/>
                <w:lang w:val="en-US" w:bidi="fa-IR"/>
              </w:rPr>
              <w:t>]</w:t>
            </w:r>
            <w:r>
              <w:rPr>
                <w:rFonts w:eastAsia="Times New Roman" w:cs="B Nazanin"/>
                <w:sz w:val="20"/>
                <w:szCs w:val="20"/>
                <w:lang w:val="en-US" w:bidi="fa-IR"/>
              </w:rPr>
              <w:t>‎</w:t>
            </w:r>
          </w:p>
        </w:tc>
        <w:tc>
          <w:tcPr>
            <w:tcW w:w="1501"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۰٫۲۳</w:t>
            </w:r>
            <w:r>
              <w:rPr>
                <w:rFonts w:ascii="Times New Roman" w:hAnsi="Times New Roman" w:eastAsia="Times New Roman"/>
                <w:sz w:val="20"/>
                <w:sz w:val="20"/>
                <w:szCs w:val="20"/>
                <w:rtl w:val="true"/>
                <w:lang w:val="en-US" w:bidi="fa-IR"/>
              </w:rPr>
              <w:t> </w:t>
            </w:r>
            <w:r>
              <w:rPr>
                <w:rFonts w:eastAsia="Times New Roman" w:cs="B Nazanin"/>
                <w:sz w:val="20"/>
                <w:szCs w:val="20"/>
                <w:rtl w:val="true"/>
                <w:lang w:val="en-US" w:bidi="fa-IR"/>
              </w:rPr>
              <w:t>[</w:t>
            </w:r>
            <w:r>
              <w:rPr>
                <w:rFonts w:ascii="Times New Roman" w:hAnsi="Times New Roman" w:eastAsia="Times New Roman"/>
                <w:sz w:val="20"/>
                <w:sz w:val="20"/>
                <w:szCs w:val="20"/>
                <w:lang w:val="en-US" w:bidi="fa-IR"/>
              </w:rPr>
              <w:t>۰٫۰۸</w:t>
            </w:r>
            <w:r>
              <w:rPr>
                <w:rFonts w:eastAsia="Times New Roman" w:cs="B Nazanin"/>
                <w:sz w:val="20"/>
                <w:szCs w:val="20"/>
                <w:lang w:val="en-US" w:bidi="fa-IR"/>
              </w:rPr>
              <w:t>, </w:t>
            </w:r>
            <w:r>
              <w:rPr>
                <w:rFonts w:ascii="Times New Roman" w:hAnsi="Times New Roman" w:eastAsia="Times New Roman"/>
                <w:sz w:val="20"/>
                <w:sz w:val="20"/>
                <w:szCs w:val="20"/>
                <w:lang w:val="en-US" w:bidi="fa-IR"/>
              </w:rPr>
              <w:t>۰٫۳۵</w:t>
            </w:r>
            <w:r>
              <w:rPr>
                <w:rFonts w:eastAsia="Times New Roman" w:cs="B Nazanin"/>
                <w:sz w:val="20"/>
                <w:szCs w:val="20"/>
                <w:rtl w:val="true"/>
                <w:lang w:val="en-US" w:bidi="fa-IR"/>
              </w:rPr>
              <w:t>]</w:t>
            </w:r>
            <w:r>
              <w:rPr>
                <w:rFonts w:eastAsia="Times New Roman" w:cs="B Nazanin"/>
                <w:sz w:val="20"/>
                <w:szCs w:val="20"/>
                <w:lang w:val="en-US" w:bidi="fa-IR"/>
              </w:rPr>
              <w:t>‎</w:t>
            </w:r>
          </w:p>
        </w:tc>
        <w:tc>
          <w:tcPr>
            <w:tcW w:w="1499"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۰٫۴۴</w:t>
            </w:r>
            <w:r>
              <w:rPr>
                <w:rFonts w:ascii="Times New Roman" w:hAnsi="Times New Roman" w:eastAsia="Times New Roman"/>
                <w:sz w:val="20"/>
                <w:sz w:val="20"/>
                <w:szCs w:val="20"/>
                <w:rtl w:val="true"/>
                <w:lang w:val="en-US" w:bidi="fa-IR"/>
              </w:rPr>
              <w:t> </w:t>
            </w:r>
            <w:r>
              <w:rPr>
                <w:rFonts w:eastAsia="Times New Roman" w:cs="B Nazanin"/>
                <w:sz w:val="20"/>
                <w:szCs w:val="20"/>
                <w:rtl w:val="true"/>
                <w:lang w:val="en-US" w:bidi="fa-IR"/>
              </w:rPr>
              <w:t>[</w:t>
            </w:r>
            <w:r>
              <w:rPr>
                <w:rFonts w:ascii="Times New Roman" w:hAnsi="Times New Roman" w:eastAsia="Times New Roman"/>
                <w:sz w:val="20"/>
                <w:sz w:val="20"/>
                <w:szCs w:val="20"/>
                <w:lang w:val="en-US" w:bidi="fa-IR"/>
              </w:rPr>
              <w:t>۰٫۲۱</w:t>
            </w:r>
            <w:r>
              <w:rPr>
                <w:rFonts w:eastAsia="Times New Roman" w:cs="B Nazanin"/>
                <w:sz w:val="20"/>
                <w:szCs w:val="20"/>
                <w:lang w:val="en-US" w:bidi="fa-IR"/>
              </w:rPr>
              <w:t>, </w:t>
            </w:r>
            <w:r>
              <w:rPr>
                <w:rFonts w:ascii="Times New Roman" w:hAnsi="Times New Roman" w:eastAsia="Times New Roman"/>
                <w:sz w:val="20"/>
                <w:sz w:val="20"/>
                <w:szCs w:val="20"/>
                <w:lang w:val="en-US" w:bidi="fa-IR"/>
              </w:rPr>
              <w:t>۰٫۶۷</w:t>
            </w:r>
            <w:r>
              <w:rPr>
                <w:rFonts w:eastAsia="Times New Roman" w:cs="B Nazanin"/>
                <w:sz w:val="20"/>
                <w:szCs w:val="20"/>
                <w:rtl w:val="true"/>
                <w:lang w:val="en-US" w:bidi="fa-IR"/>
              </w:rPr>
              <w:t>]</w:t>
            </w:r>
            <w:r>
              <w:rPr>
                <w:rFonts w:eastAsia="Times New Roman" w:cs="B Nazanin"/>
                <w:sz w:val="20"/>
                <w:szCs w:val="20"/>
                <w:lang w:val="en-US" w:bidi="fa-IR"/>
              </w:rPr>
              <w:t>‎</w:t>
            </w:r>
          </w:p>
        </w:tc>
      </w:tr>
      <w:tr>
        <w:trPr>
          <w:cantSplit w:val="true"/>
        </w:trPr>
        <w:tc>
          <w:tcPr>
            <w:tcW w:w="2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هنجاری ← اجرای ماهوی، در سطوح الزامی</w:t>
            </w:r>
          </w:p>
        </w:tc>
        <w:tc>
          <w:tcPr>
            <w:tcW w:w="1499"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۰٫۱۱</w:t>
            </w:r>
            <w:r>
              <w:rPr>
                <w:rFonts w:ascii="Times New Roman" w:hAnsi="Times New Roman" w:eastAsia="Times New Roman"/>
                <w:sz w:val="20"/>
                <w:sz w:val="20"/>
                <w:szCs w:val="20"/>
                <w:rtl w:val="true"/>
                <w:lang w:val="en-US" w:bidi="fa-IR"/>
              </w:rPr>
              <w:t> </w:t>
            </w: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۰٫۱۰‎</w:t>
            </w:r>
            <w:r>
              <w:rPr>
                <w:rFonts w:eastAsia="Times New Roman" w:cs="B Nazanin"/>
                <w:sz w:val="20"/>
                <w:szCs w:val="20"/>
                <w:lang w:val="en-US" w:bidi="fa-IR"/>
              </w:rPr>
              <w:t>, </w:t>
            </w:r>
            <w:r>
              <w:rPr>
                <w:rFonts w:ascii="Times New Roman" w:hAnsi="Times New Roman" w:eastAsia="Times New Roman"/>
                <w:sz w:val="20"/>
                <w:sz w:val="20"/>
                <w:szCs w:val="20"/>
                <w:lang w:val="en-US" w:bidi="fa-IR"/>
              </w:rPr>
              <w:t>۰٫۳۳</w:t>
            </w:r>
            <w:r>
              <w:rPr>
                <w:rFonts w:eastAsia="Times New Roman" w:cs="B Nazanin"/>
                <w:sz w:val="20"/>
                <w:szCs w:val="20"/>
                <w:rtl w:val="true"/>
                <w:lang w:val="en-US" w:bidi="fa-IR"/>
              </w:rPr>
              <w:t>]</w:t>
            </w:r>
            <w:r>
              <w:rPr>
                <w:rFonts w:eastAsia="Times New Roman" w:cs="B Nazanin"/>
                <w:sz w:val="20"/>
                <w:szCs w:val="20"/>
                <w:lang w:val="en-US" w:bidi="fa-IR"/>
              </w:rPr>
              <w:t>‎</w:t>
            </w:r>
          </w:p>
        </w:tc>
        <w:tc>
          <w:tcPr>
            <w:tcW w:w="1501"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۰٫۳۴</w:t>
            </w:r>
            <w:r>
              <w:rPr>
                <w:rFonts w:ascii="Times New Roman" w:hAnsi="Times New Roman" w:eastAsia="Times New Roman"/>
                <w:sz w:val="20"/>
                <w:sz w:val="20"/>
                <w:szCs w:val="20"/>
                <w:rtl w:val="true"/>
                <w:lang w:val="en-US" w:bidi="fa-IR"/>
              </w:rPr>
              <w:t> </w:t>
            </w:r>
            <w:r>
              <w:rPr>
                <w:rFonts w:eastAsia="Times New Roman" w:cs="B Nazanin"/>
                <w:sz w:val="20"/>
                <w:szCs w:val="20"/>
                <w:rtl w:val="true"/>
                <w:lang w:val="en-US" w:bidi="fa-IR"/>
              </w:rPr>
              <w:t>[</w:t>
            </w:r>
            <w:r>
              <w:rPr>
                <w:rFonts w:ascii="Times New Roman" w:hAnsi="Times New Roman" w:eastAsia="Times New Roman"/>
                <w:sz w:val="20"/>
                <w:sz w:val="20"/>
                <w:szCs w:val="20"/>
                <w:lang w:val="en-US" w:bidi="fa-IR"/>
              </w:rPr>
              <w:t>۰٫۲۲</w:t>
            </w:r>
            <w:r>
              <w:rPr>
                <w:rFonts w:eastAsia="Times New Roman" w:cs="B Nazanin"/>
                <w:sz w:val="20"/>
                <w:szCs w:val="20"/>
                <w:lang w:val="en-US" w:bidi="fa-IR"/>
              </w:rPr>
              <w:t>, </w:t>
            </w:r>
            <w:r>
              <w:rPr>
                <w:rFonts w:ascii="Times New Roman" w:hAnsi="Times New Roman" w:eastAsia="Times New Roman"/>
                <w:sz w:val="20"/>
                <w:sz w:val="20"/>
                <w:szCs w:val="20"/>
                <w:lang w:val="en-US" w:bidi="fa-IR"/>
              </w:rPr>
              <w:t>۰٫۴۷</w:t>
            </w:r>
            <w:r>
              <w:rPr>
                <w:rFonts w:eastAsia="Times New Roman" w:cs="B Nazanin"/>
                <w:sz w:val="20"/>
                <w:szCs w:val="20"/>
                <w:rtl w:val="true"/>
                <w:lang w:val="en-US" w:bidi="fa-IR"/>
              </w:rPr>
              <w:t>]</w:t>
            </w:r>
            <w:r>
              <w:rPr>
                <w:rFonts w:eastAsia="Times New Roman" w:cs="B Nazanin"/>
                <w:sz w:val="20"/>
                <w:szCs w:val="20"/>
                <w:lang w:val="en-US" w:bidi="fa-IR"/>
              </w:rPr>
              <w:t>‎</w:t>
            </w:r>
          </w:p>
        </w:tc>
        <w:tc>
          <w:tcPr>
            <w:tcW w:w="1499"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۰٫۵۷</w:t>
            </w:r>
            <w:r>
              <w:rPr>
                <w:rFonts w:ascii="Times New Roman" w:hAnsi="Times New Roman" w:eastAsia="Times New Roman"/>
                <w:sz w:val="20"/>
                <w:sz w:val="20"/>
                <w:szCs w:val="20"/>
                <w:rtl w:val="true"/>
                <w:lang w:val="en-US" w:bidi="fa-IR"/>
              </w:rPr>
              <w:t> </w:t>
            </w:r>
            <w:r>
              <w:rPr>
                <w:rFonts w:eastAsia="Times New Roman" w:cs="B Nazanin"/>
                <w:sz w:val="20"/>
                <w:szCs w:val="20"/>
                <w:rtl w:val="true"/>
                <w:lang w:val="en-US" w:bidi="fa-IR"/>
              </w:rPr>
              <w:t>[</w:t>
            </w:r>
            <w:r>
              <w:rPr>
                <w:rFonts w:ascii="Times New Roman" w:hAnsi="Times New Roman" w:eastAsia="Times New Roman"/>
                <w:sz w:val="20"/>
                <w:sz w:val="20"/>
                <w:szCs w:val="20"/>
                <w:lang w:val="en-US" w:bidi="fa-IR"/>
              </w:rPr>
              <w:t>۰٫۳۹</w:t>
            </w:r>
            <w:r>
              <w:rPr>
                <w:rFonts w:eastAsia="Times New Roman" w:cs="B Nazanin"/>
                <w:sz w:val="20"/>
                <w:szCs w:val="20"/>
                <w:lang w:val="en-US" w:bidi="fa-IR"/>
              </w:rPr>
              <w:t>, </w:t>
            </w:r>
            <w:r>
              <w:rPr>
                <w:rFonts w:ascii="Times New Roman" w:hAnsi="Times New Roman" w:eastAsia="Times New Roman"/>
                <w:sz w:val="20"/>
                <w:sz w:val="20"/>
                <w:szCs w:val="20"/>
                <w:lang w:val="en-US" w:bidi="fa-IR"/>
              </w:rPr>
              <w:t>۰٫۷۹</w:t>
            </w:r>
            <w:r>
              <w:rPr>
                <w:rFonts w:eastAsia="Times New Roman" w:cs="B Nazanin"/>
                <w:sz w:val="20"/>
                <w:szCs w:val="20"/>
                <w:rtl w:val="true"/>
                <w:lang w:val="en-US" w:bidi="fa-IR"/>
              </w:rPr>
              <w:t>]</w:t>
            </w:r>
            <w:r>
              <w:rPr>
                <w:rFonts w:eastAsia="Times New Roman" w:cs="B Nazanin"/>
                <w:sz w:val="20"/>
                <w:szCs w:val="20"/>
                <w:lang w:val="en-US" w:bidi="fa-IR"/>
              </w:rPr>
              <w:t>‎</w:t>
            </w:r>
          </w:p>
        </w:tc>
      </w:tr>
      <w:tr>
        <w:trPr>
          <w:cantSplit w:val="true"/>
        </w:trPr>
        <w:tc>
          <w:tcPr>
            <w:tcW w:w="2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الزامی ← انطباق نمادین، در سطوح تقلیدی</w:t>
            </w:r>
          </w:p>
        </w:tc>
        <w:tc>
          <w:tcPr>
            <w:tcW w:w="1499"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۰٫۰۰</w:t>
            </w:r>
            <w:r>
              <w:rPr>
                <w:rFonts w:ascii="Times New Roman" w:hAnsi="Times New Roman" w:eastAsia="Times New Roman"/>
                <w:sz w:val="20"/>
                <w:sz w:val="20"/>
                <w:szCs w:val="20"/>
                <w:rtl w:val="true"/>
                <w:lang w:val="en-US" w:bidi="fa-IR"/>
              </w:rPr>
              <w:t> </w:t>
            </w: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۰٫۲۰‎</w:t>
            </w:r>
            <w:r>
              <w:rPr>
                <w:rFonts w:eastAsia="Times New Roman" w:cs="B Nazanin"/>
                <w:sz w:val="20"/>
                <w:szCs w:val="20"/>
                <w:lang w:val="en-US" w:bidi="fa-IR"/>
              </w:rPr>
              <w:t>, </w:t>
            </w:r>
            <w:r>
              <w:rPr>
                <w:rFonts w:ascii="Times New Roman" w:hAnsi="Times New Roman" w:eastAsia="Times New Roman"/>
                <w:sz w:val="20"/>
                <w:sz w:val="20"/>
                <w:szCs w:val="20"/>
                <w:lang w:val="en-US" w:bidi="fa-IR"/>
              </w:rPr>
              <w:t>۰٫۱۸</w:t>
            </w:r>
            <w:r>
              <w:rPr>
                <w:rFonts w:eastAsia="Times New Roman" w:cs="B Nazanin"/>
                <w:sz w:val="20"/>
                <w:szCs w:val="20"/>
                <w:rtl w:val="true"/>
                <w:lang w:val="en-US" w:bidi="fa-IR"/>
              </w:rPr>
              <w:t>]</w:t>
            </w:r>
            <w:r>
              <w:rPr>
                <w:rFonts w:eastAsia="Times New Roman" w:cs="B Nazanin"/>
                <w:sz w:val="20"/>
                <w:szCs w:val="20"/>
                <w:lang w:val="en-US" w:bidi="fa-IR"/>
              </w:rPr>
              <w:t>‎</w:t>
            </w:r>
          </w:p>
        </w:tc>
        <w:tc>
          <w:tcPr>
            <w:tcW w:w="1501"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۰٫۲۱</w:t>
            </w:r>
            <w:r>
              <w:rPr>
                <w:rFonts w:ascii="Times New Roman" w:hAnsi="Times New Roman" w:eastAsia="Times New Roman"/>
                <w:sz w:val="20"/>
                <w:sz w:val="20"/>
                <w:szCs w:val="20"/>
                <w:rtl w:val="true"/>
                <w:lang w:val="en-US" w:bidi="fa-IR"/>
              </w:rPr>
              <w:t> </w:t>
            </w:r>
            <w:r>
              <w:rPr>
                <w:rFonts w:eastAsia="Times New Roman" w:cs="B Nazanin"/>
                <w:sz w:val="20"/>
                <w:szCs w:val="20"/>
                <w:rtl w:val="true"/>
                <w:lang w:val="en-US" w:bidi="fa-IR"/>
              </w:rPr>
              <w:t>[</w:t>
            </w:r>
            <w:r>
              <w:rPr>
                <w:rFonts w:ascii="Times New Roman" w:hAnsi="Times New Roman" w:eastAsia="Times New Roman"/>
                <w:sz w:val="20"/>
                <w:sz w:val="20"/>
                <w:szCs w:val="20"/>
                <w:lang w:val="en-US" w:bidi="fa-IR"/>
              </w:rPr>
              <w:t>۰٫۱۰</w:t>
            </w:r>
            <w:r>
              <w:rPr>
                <w:rFonts w:eastAsia="Times New Roman" w:cs="B Nazanin"/>
                <w:sz w:val="20"/>
                <w:szCs w:val="20"/>
                <w:lang w:val="en-US" w:bidi="fa-IR"/>
              </w:rPr>
              <w:t>, </w:t>
            </w:r>
            <w:r>
              <w:rPr>
                <w:rFonts w:ascii="Times New Roman" w:hAnsi="Times New Roman" w:eastAsia="Times New Roman"/>
                <w:sz w:val="20"/>
                <w:sz w:val="20"/>
                <w:szCs w:val="20"/>
                <w:lang w:val="en-US" w:bidi="fa-IR"/>
              </w:rPr>
              <w:t>۰٫۳۳</w:t>
            </w:r>
            <w:r>
              <w:rPr>
                <w:rFonts w:eastAsia="Times New Roman" w:cs="B Nazanin"/>
                <w:sz w:val="20"/>
                <w:szCs w:val="20"/>
                <w:rtl w:val="true"/>
                <w:lang w:val="en-US" w:bidi="fa-IR"/>
              </w:rPr>
              <w:t>]</w:t>
            </w:r>
            <w:r>
              <w:rPr>
                <w:rFonts w:eastAsia="Times New Roman" w:cs="B Nazanin"/>
                <w:sz w:val="20"/>
                <w:szCs w:val="20"/>
                <w:lang w:val="en-US" w:bidi="fa-IR"/>
              </w:rPr>
              <w:t>‎</w:t>
            </w:r>
          </w:p>
        </w:tc>
        <w:tc>
          <w:tcPr>
            <w:tcW w:w="1499"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۰٫۴۳</w:t>
            </w:r>
            <w:r>
              <w:rPr>
                <w:rFonts w:ascii="Times New Roman" w:hAnsi="Times New Roman" w:eastAsia="Times New Roman"/>
                <w:sz w:val="20"/>
                <w:sz w:val="20"/>
                <w:szCs w:val="20"/>
                <w:rtl w:val="true"/>
                <w:lang w:val="en-US" w:bidi="fa-IR"/>
              </w:rPr>
              <w:t> </w:t>
            </w:r>
            <w:r>
              <w:rPr>
                <w:rFonts w:eastAsia="Times New Roman" w:cs="B Nazanin"/>
                <w:sz w:val="20"/>
                <w:szCs w:val="20"/>
                <w:rtl w:val="true"/>
                <w:lang w:val="en-US" w:bidi="fa-IR"/>
              </w:rPr>
              <w:t>[</w:t>
            </w:r>
            <w:r>
              <w:rPr>
                <w:rFonts w:ascii="Times New Roman" w:hAnsi="Times New Roman" w:eastAsia="Times New Roman"/>
                <w:sz w:val="20"/>
                <w:sz w:val="20"/>
                <w:szCs w:val="20"/>
                <w:lang w:val="en-US" w:bidi="fa-IR"/>
              </w:rPr>
              <w:t>۰٫۲۴</w:t>
            </w:r>
            <w:r>
              <w:rPr>
                <w:rFonts w:eastAsia="Times New Roman" w:cs="B Nazanin"/>
                <w:sz w:val="20"/>
                <w:szCs w:val="20"/>
                <w:lang w:val="en-US" w:bidi="fa-IR"/>
              </w:rPr>
              <w:t>, </w:t>
            </w:r>
            <w:r>
              <w:rPr>
                <w:rFonts w:ascii="Times New Roman" w:hAnsi="Times New Roman" w:eastAsia="Times New Roman"/>
                <w:sz w:val="20"/>
                <w:sz w:val="20"/>
                <w:szCs w:val="20"/>
                <w:lang w:val="en-US" w:bidi="fa-IR"/>
              </w:rPr>
              <w:t>۰٫۶۱</w:t>
            </w:r>
            <w:r>
              <w:rPr>
                <w:rFonts w:eastAsia="Times New Roman" w:cs="B Nazanin"/>
                <w:sz w:val="20"/>
                <w:szCs w:val="20"/>
                <w:rtl w:val="true"/>
                <w:lang w:val="en-US" w:bidi="fa-IR"/>
              </w:rPr>
              <w:t>]</w:t>
            </w:r>
            <w:r>
              <w:rPr>
                <w:rFonts w:eastAsia="Times New Roman" w:cs="B Nazanin"/>
                <w:sz w:val="20"/>
                <w:szCs w:val="20"/>
                <w:lang w:val="en-US" w:bidi="fa-IR"/>
              </w:rPr>
              <w:t>‎</w:t>
            </w:r>
          </w:p>
        </w:tc>
      </w:tr>
      <w:tr>
        <w:trPr>
          <w:cantSplit w:val="true"/>
        </w:trPr>
        <w:tc>
          <w:tcPr>
            <w:tcW w:w="2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تقلیدی ← انطباق نمادین، در سطوح الزامی</w:t>
            </w:r>
          </w:p>
        </w:tc>
        <w:tc>
          <w:tcPr>
            <w:tcW w:w="14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۰٫۱۱</w:t>
            </w:r>
            <w:r>
              <w:rPr>
                <w:rFonts w:ascii="Times New Roman" w:hAnsi="Times New Roman" w:eastAsia="Times New Roman"/>
                <w:sz w:val="20"/>
                <w:sz w:val="20"/>
                <w:szCs w:val="20"/>
                <w:rtl w:val="true"/>
                <w:lang w:val="en-US" w:bidi="fa-IR"/>
              </w:rPr>
              <w:t> </w:t>
            </w: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۰٫۱۳‎</w:t>
            </w:r>
            <w:r>
              <w:rPr>
                <w:rFonts w:eastAsia="Times New Roman" w:cs="B Nazanin"/>
                <w:sz w:val="20"/>
                <w:szCs w:val="20"/>
                <w:lang w:val="en-US" w:bidi="fa-IR"/>
              </w:rPr>
              <w:t>, </w:t>
            </w:r>
            <w:r>
              <w:rPr>
                <w:rFonts w:ascii="Times New Roman" w:hAnsi="Times New Roman" w:eastAsia="Times New Roman"/>
                <w:sz w:val="20"/>
                <w:sz w:val="20"/>
                <w:szCs w:val="20"/>
                <w:lang w:val="en-US" w:bidi="fa-IR"/>
              </w:rPr>
              <w:t>۰٫۳۴</w:t>
            </w:r>
            <w:r>
              <w:rPr>
                <w:rFonts w:eastAsia="Times New Roman" w:cs="B Nazanin"/>
                <w:sz w:val="20"/>
                <w:szCs w:val="20"/>
                <w:rtl w:val="true"/>
                <w:lang w:val="en-US" w:bidi="fa-IR"/>
              </w:rPr>
              <w:t>]</w:t>
            </w:r>
            <w:r>
              <w:rPr>
                <w:rFonts w:eastAsia="Times New Roman" w:cs="B Nazanin"/>
                <w:sz w:val="20"/>
                <w:szCs w:val="20"/>
                <w:lang w:val="en-US" w:bidi="fa-IR"/>
              </w:rPr>
              <w:t>‎</w:t>
            </w:r>
          </w:p>
        </w:tc>
        <w:tc>
          <w:tcPr>
            <w:tcW w:w="15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۰٫۳۴</w:t>
            </w:r>
            <w:r>
              <w:rPr>
                <w:rFonts w:ascii="Times New Roman" w:hAnsi="Times New Roman" w:eastAsia="Times New Roman"/>
                <w:sz w:val="20"/>
                <w:sz w:val="20"/>
                <w:szCs w:val="20"/>
                <w:rtl w:val="true"/>
                <w:lang w:val="en-US" w:bidi="fa-IR"/>
              </w:rPr>
              <w:t> </w:t>
            </w:r>
            <w:r>
              <w:rPr>
                <w:rFonts w:eastAsia="Times New Roman" w:cs="B Nazanin"/>
                <w:sz w:val="20"/>
                <w:szCs w:val="20"/>
                <w:rtl w:val="true"/>
                <w:lang w:val="en-US" w:bidi="fa-IR"/>
              </w:rPr>
              <w:t>[</w:t>
            </w:r>
            <w:r>
              <w:rPr>
                <w:rFonts w:ascii="Times New Roman" w:hAnsi="Times New Roman" w:eastAsia="Times New Roman"/>
                <w:sz w:val="20"/>
                <w:sz w:val="20"/>
                <w:szCs w:val="20"/>
                <w:lang w:val="en-US" w:bidi="fa-IR"/>
              </w:rPr>
              <w:t>۰٫۲۰</w:t>
            </w:r>
            <w:r>
              <w:rPr>
                <w:rFonts w:eastAsia="Times New Roman" w:cs="B Nazanin"/>
                <w:sz w:val="20"/>
                <w:szCs w:val="20"/>
                <w:lang w:val="en-US" w:bidi="fa-IR"/>
              </w:rPr>
              <w:t>, </w:t>
            </w:r>
            <w:r>
              <w:rPr>
                <w:rFonts w:ascii="Times New Roman" w:hAnsi="Times New Roman" w:eastAsia="Times New Roman"/>
                <w:sz w:val="20"/>
                <w:sz w:val="20"/>
                <w:szCs w:val="20"/>
                <w:lang w:val="en-US" w:bidi="fa-IR"/>
              </w:rPr>
              <w:t>۰٫۵۱</w:t>
            </w:r>
            <w:r>
              <w:rPr>
                <w:rFonts w:eastAsia="Times New Roman" w:cs="B Nazanin"/>
                <w:sz w:val="20"/>
                <w:szCs w:val="20"/>
                <w:rtl w:val="true"/>
                <w:lang w:val="en-US" w:bidi="fa-IR"/>
              </w:rPr>
              <w:t>]</w:t>
            </w:r>
            <w:r>
              <w:rPr>
                <w:rFonts w:eastAsia="Times New Roman" w:cs="B Nazanin"/>
                <w:sz w:val="20"/>
                <w:szCs w:val="20"/>
                <w:lang w:val="en-US" w:bidi="fa-IR"/>
              </w:rPr>
              <w:t>‎</w:t>
            </w:r>
          </w:p>
        </w:tc>
        <w:tc>
          <w:tcPr>
            <w:tcW w:w="14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۰٫۵۸</w:t>
            </w:r>
            <w:r>
              <w:rPr>
                <w:rFonts w:ascii="Times New Roman" w:hAnsi="Times New Roman" w:eastAsia="Times New Roman"/>
                <w:sz w:val="20"/>
                <w:sz w:val="20"/>
                <w:szCs w:val="20"/>
                <w:rtl w:val="true"/>
                <w:lang w:val="en-US" w:bidi="fa-IR"/>
              </w:rPr>
              <w:t> </w:t>
            </w:r>
            <w:r>
              <w:rPr>
                <w:rFonts w:eastAsia="Times New Roman" w:cs="B Nazanin"/>
                <w:sz w:val="20"/>
                <w:szCs w:val="20"/>
                <w:rtl w:val="true"/>
                <w:lang w:val="en-US" w:bidi="fa-IR"/>
              </w:rPr>
              <w:t>[</w:t>
            </w:r>
            <w:r>
              <w:rPr>
                <w:rFonts w:ascii="Times New Roman" w:hAnsi="Times New Roman" w:eastAsia="Times New Roman"/>
                <w:sz w:val="20"/>
                <w:sz w:val="20"/>
                <w:szCs w:val="20"/>
                <w:lang w:val="en-US" w:bidi="fa-IR"/>
              </w:rPr>
              <w:t>۰٫۴۰</w:t>
            </w:r>
            <w:r>
              <w:rPr>
                <w:rFonts w:eastAsia="Times New Roman" w:cs="B Nazanin"/>
                <w:sz w:val="20"/>
                <w:szCs w:val="20"/>
                <w:lang w:val="en-US" w:bidi="fa-IR"/>
              </w:rPr>
              <w:t>, </w:t>
            </w:r>
            <w:r>
              <w:rPr>
                <w:rFonts w:ascii="Times New Roman" w:hAnsi="Times New Roman" w:eastAsia="Times New Roman"/>
                <w:sz w:val="20"/>
                <w:sz w:val="20"/>
                <w:szCs w:val="20"/>
                <w:lang w:val="en-US" w:bidi="fa-IR"/>
              </w:rPr>
              <w:t>۰٫۸۰</w:t>
            </w:r>
            <w:r>
              <w:rPr>
                <w:rFonts w:eastAsia="Times New Roman" w:cs="B Nazanin"/>
                <w:sz w:val="20"/>
                <w:szCs w:val="20"/>
                <w:rtl w:val="true"/>
                <w:lang w:val="en-US" w:bidi="fa-IR"/>
              </w:rPr>
              <w:t>]</w:t>
            </w:r>
            <w:r>
              <w:rPr>
                <w:rFonts w:eastAsia="Times New Roman" w:cs="B Nazanin"/>
                <w:sz w:val="20"/>
                <w:szCs w:val="20"/>
                <w:lang w:val="en-US" w:bidi="fa-IR"/>
              </w:rPr>
              <w:t>‎</w:t>
            </w:r>
          </w:p>
        </w:tc>
      </w:tr>
    </w:tbl>
    <w:p>
      <w:pPr>
        <w:pStyle w:val="Normal"/>
        <w:bidi w:val="1"/>
        <w:spacing w:lineRule="auto" w:line="240" w:before="0" w:after="100"/>
        <w:ind w:firstLine="360"/>
        <w:jc w:val="both"/>
        <w:rPr/>
      </w:pPr>
      <w:r>
        <w:rPr>
          <w:rtl w:val="true"/>
        </w:rPr>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۳</w:t>
      </w:r>
      <w:r>
        <w:rPr>
          <w:rFonts w:ascii="Times New Roman" w:hAnsi="Times New Roman" w:eastAsia="Times New Roman"/>
          <w:sz w:val="26"/>
          <w:sz w:val="26"/>
          <w:szCs w:val="26"/>
          <w:rtl w:val="true"/>
          <w:lang w:val="en-US" w:bidi="fa-IR"/>
        </w:rPr>
        <w:t xml:space="preserve"> و جدول </w:t>
      </w:r>
      <w:r>
        <w:rPr>
          <w:rFonts w:ascii="Times New Roman" w:hAnsi="Times New Roman" w:eastAsia="Times New Roman"/>
          <w:sz w:val="26"/>
          <w:sz w:val="26"/>
          <w:szCs w:val="26"/>
          <w:lang w:val="en-US" w:bidi="fa-IR"/>
        </w:rPr>
        <w:t>۳</w:t>
      </w:r>
      <w:r>
        <w:rPr>
          <w:rFonts w:ascii="Times New Roman" w:hAnsi="Times New Roman" w:eastAsia="Times New Roman"/>
          <w:sz w:val="26"/>
          <w:sz w:val="26"/>
          <w:szCs w:val="26"/>
          <w:rtl w:val="true"/>
          <w:lang w:val="en-US" w:bidi="fa-IR"/>
        </w:rPr>
        <w:t xml:space="preserve"> الگوی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شرطی‌بودن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را نشان می‌دهند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سطح پایین فشار هنجاری، اثر فشار الزامی بر اجرای ماهوی از صفر متمایز نبود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۰٫۱۹‎</w:t>
      </w:r>
      <w:r>
        <w:rPr>
          <w:rFonts w:eastAsia="Times New Roman" w:cs="B Nazanin"/>
          <w:sz w:val="26"/>
          <w:szCs w:val="26"/>
          <w:lang w:val="en-US" w:bidi="fa-IR"/>
        </w:rPr>
        <w:t>, </w:t>
      </w:r>
      <w:r>
        <w:rPr>
          <w:rFonts w:ascii="Times New Roman" w:hAnsi="Times New Roman" w:eastAsia="Times New Roman"/>
          <w:sz w:val="26"/>
          <w:sz w:val="26"/>
          <w:szCs w:val="26"/>
          <w:lang w:val="en-US" w:bidi="fa-IR"/>
        </w:rPr>
        <w:t>۰٫۱۶</w:t>
      </w:r>
      <w:r>
        <w:rPr>
          <w:rFonts w:eastAsia="Times New Roman" w:cs="B Nazanin"/>
          <w:sz w:val="26"/>
          <w:szCs w:val="26"/>
          <w:rtl w:val="true"/>
          <w:lang w:val="en-US" w:bidi="fa-IR"/>
        </w:rPr>
        <w:t>]</w:t>
      </w:r>
      <w:r>
        <w:rPr>
          <w:rFonts w:eastAsia="Times New Roman" w:cs="B Nazanin"/>
          <w:sz w:val="26"/>
          <w:szCs w:val="26"/>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اما در سطح میانگین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۰٫۲۳</w:t>
      </w:r>
      <w:r>
        <w:rPr>
          <w:rFonts w:ascii="Times New Roman" w:hAnsi="Times New Roman" w:eastAsia="Times New Roman"/>
          <w:sz w:val="26"/>
          <w:sz w:val="26"/>
          <w:szCs w:val="26"/>
          <w:rtl w:val="true"/>
          <w:lang w:val="en-US" w:bidi="fa-IR"/>
        </w:rPr>
        <w:t>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۰٫۰۸</w:t>
      </w:r>
      <w:r>
        <w:rPr>
          <w:rFonts w:eastAsia="Times New Roman" w:cs="B Nazanin"/>
          <w:sz w:val="26"/>
          <w:szCs w:val="26"/>
          <w:lang w:val="en-US" w:bidi="fa-IR"/>
        </w:rPr>
        <w:t>, </w:t>
      </w:r>
      <w:r>
        <w:rPr>
          <w:rFonts w:ascii="Times New Roman" w:hAnsi="Times New Roman" w:eastAsia="Times New Roman"/>
          <w:sz w:val="26"/>
          <w:sz w:val="26"/>
          <w:szCs w:val="26"/>
          <w:lang w:val="en-US" w:bidi="fa-IR"/>
        </w:rPr>
        <w:t>۰٫۳۵</w:t>
      </w:r>
      <w:r>
        <w:rPr>
          <w:rFonts w:eastAsia="Times New Roman" w:cs="B Nazanin"/>
          <w:sz w:val="26"/>
          <w:szCs w:val="26"/>
          <w:rtl w:val="true"/>
          <w:lang w:val="en-US" w:bidi="fa-IR"/>
        </w:rPr>
        <w:t>]</w:t>
      </w:r>
      <w:r>
        <w:rPr>
          <w:rFonts w:eastAsia="Times New Roman" w:cs="B Nazanin"/>
          <w:sz w:val="26"/>
          <w:szCs w:val="26"/>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بالا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۰٫۴۴</w:t>
      </w:r>
      <w:r>
        <w:rPr>
          <w:rFonts w:ascii="Times New Roman" w:hAnsi="Times New Roman" w:eastAsia="Times New Roman"/>
          <w:sz w:val="26"/>
          <w:sz w:val="26"/>
          <w:szCs w:val="26"/>
          <w:rtl w:val="true"/>
          <w:lang w:val="en-US" w:bidi="fa-IR"/>
        </w:rPr>
        <w:t>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۰٫۲۱</w:t>
      </w:r>
      <w:r>
        <w:rPr>
          <w:rFonts w:eastAsia="Times New Roman" w:cs="B Nazanin"/>
          <w:sz w:val="26"/>
          <w:szCs w:val="26"/>
          <w:lang w:val="en-US" w:bidi="fa-IR"/>
        </w:rPr>
        <w:t>, </w:t>
      </w:r>
      <w:r>
        <w:rPr>
          <w:rFonts w:ascii="Times New Roman" w:hAnsi="Times New Roman" w:eastAsia="Times New Roman"/>
          <w:sz w:val="26"/>
          <w:sz w:val="26"/>
          <w:szCs w:val="26"/>
          <w:lang w:val="en-US" w:bidi="fa-IR"/>
        </w:rPr>
        <w:t>۰٫۶۷</w:t>
      </w:r>
      <w:r>
        <w:rPr>
          <w:rFonts w:eastAsia="Times New Roman" w:cs="B Nazanin"/>
          <w:sz w:val="26"/>
          <w:szCs w:val="26"/>
          <w:rtl w:val="true"/>
          <w:lang w:val="en-US" w:bidi="fa-IR"/>
        </w:rPr>
        <w:t>]</w:t>
      </w:r>
      <w:r>
        <w:rPr>
          <w:rFonts w:eastAsia="Times New Roman" w:cs="B Nazanin"/>
          <w:sz w:val="26"/>
          <w:szCs w:val="26"/>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مثبت و فزاینده بود؛ یعنی </w:t>
      </w:r>
      <w:r>
        <w:rPr>
          <w:rFonts w:ascii="Times New Roman" w:hAnsi="Times New Roman" w:eastAsia="Times New Roman"/>
          <w:b/>
          <w:b/>
          <w:bCs/>
          <w:sz w:val="26"/>
          <w:sz w:val="26"/>
          <w:szCs w:val="26"/>
          <w:rtl w:val="true"/>
          <w:lang w:val="en-US" w:bidi="fa-IR"/>
        </w:rPr>
        <w:t>الزام بدون هنجار حرفه‌ای به ماهیت نمی‌انجامد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همین ترتیب، در سطح پایین فشار تقلیدی، الزام اثری بر انطباق نمادین نداشت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۰٫۰۰</w:t>
      </w:r>
      <w:r>
        <w:rPr>
          <w:rFonts w:ascii="Times New Roman" w:hAnsi="Times New Roman" w:eastAsia="Times New Roman"/>
          <w:sz w:val="26"/>
          <w:sz w:val="26"/>
          <w:szCs w:val="26"/>
          <w:rtl w:val="true"/>
          <w:lang w:val="en-US" w:bidi="fa-IR"/>
        </w:rPr>
        <w:t>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۰٫۲۰‎</w:t>
      </w:r>
      <w:r>
        <w:rPr>
          <w:rFonts w:eastAsia="Times New Roman" w:cs="B Nazanin"/>
          <w:sz w:val="26"/>
          <w:szCs w:val="26"/>
          <w:lang w:val="en-US" w:bidi="fa-IR"/>
        </w:rPr>
        <w:t>, </w:t>
      </w:r>
      <w:r>
        <w:rPr>
          <w:rFonts w:ascii="Times New Roman" w:hAnsi="Times New Roman" w:eastAsia="Times New Roman"/>
          <w:sz w:val="26"/>
          <w:sz w:val="26"/>
          <w:szCs w:val="26"/>
          <w:lang w:val="en-US" w:bidi="fa-IR"/>
        </w:rPr>
        <w:t>۰٫۱۸</w:t>
      </w:r>
      <w:r>
        <w:rPr>
          <w:rFonts w:eastAsia="Times New Roman" w:cs="B Nazanin"/>
          <w:sz w:val="26"/>
          <w:szCs w:val="26"/>
          <w:rtl w:val="true"/>
          <w:lang w:val="en-US" w:bidi="fa-IR"/>
        </w:rPr>
        <w:t>]</w:t>
      </w:r>
      <w:r>
        <w:rPr>
          <w:rFonts w:eastAsia="Times New Roman" w:cs="B Nazanin"/>
          <w:sz w:val="26"/>
          <w:szCs w:val="26"/>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در سطح بالا اثر آن قوی بود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۰٫۴۳</w:t>
      </w:r>
      <w:r>
        <w:rPr>
          <w:rFonts w:ascii="Times New Roman" w:hAnsi="Times New Roman" w:eastAsia="Times New Roman"/>
          <w:sz w:val="26"/>
          <w:sz w:val="26"/>
          <w:szCs w:val="26"/>
          <w:rtl w:val="true"/>
          <w:lang w:val="en-US" w:bidi="fa-IR"/>
        </w:rPr>
        <w:t>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۰٫۲۴</w:t>
      </w:r>
      <w:r>
        <w:rPr>
          <w:rFonts w:eastAsia="Times New Roman" w:cs="B Nazanin"/>
          <w:sz w:val="26"/>
          <w:szCs w:val="26"/>
          <w:lang w:val="en-US" w:bidi="fa-IR"/>
        </w:rPr>
        <w:t>, </w:t>
      </w:r>
      <w:r>
        <w:rPr>
          <w:rFonts w:ascii="Times New Roman" w:hAnsi="Times New Roman" w:eastAsia="Times New Roman"/>
          <w:sz w:val="26"/>
          <w:sz w:val="26"/>
          <w:szCs w:val="26"/>
          <w:lang w:val="en-US" w:bidi="fa-IR"/>
        </w:rPr>
        <w:t>۰٫۶۱</w:t>
      </w:r>
      <w:r>
        <w:rPr>
          <w:rFonts w:eastAsia="Times New Roman" w:cs="B Nazanin"/>
          <w:sz w:val="26"/>
          <w:szCs w:val="26"/>
          <w:rtl w:val="true"/>
          <w:lang w:val="en-US" w:bidi="fa-IR"/>
        </w:rPr>
        <w:t>]</w:t>
      </w:r>
      <w:r>
        <w:rPr>
          <w:rFonts w:eastAsia="Times New Roman" w:cs="B Nazanin"/>
          <w:sz w:val="26"/>
          <w:szCs w:val="26"/>
          <w:lang w:val="en-US" w:bidi="fa-IR"/>
        </w:rPr>
        <w:t>‎</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یعنی </w:t>
      </w:r>
      <w:r>
        <w:rPr>
          <w:rFonts w:ascii="Times New Roman" w:hAnsi="Times New Roman" w:eastAsia="Times New Roman"/>
          <w:b/>
          <w:b/>
          <w:bCs/>
          <w:sz w:val="26"/>
          <w:sz w:val="26"/>
          <w:szCs w:val="26"/>
          <w:rtl w:val="true"/>
          <w:lang w:val="en-US" w:bidi="fa-IR"/>
        </w:rPr>
        <w:t>الزام تنها در حضور الگوی آماده به آیین تبدیل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نگاه از سوی دیگر نیز همین را می‌گوید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هنجار بر اجرای ماهوی در سطح بالای الزام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۰٫۵۷</w:t>
      </w:r>
      <w:r>
        <w:rPr>
          <w:rFonts w:ascii="Times New Roman" w:hAnsi="Times New Roman" w:eastAsia="Times New Roman"/>
          <w:sz w:val="26"/>
          <w:sz w:val="26"/>
          <w:szCs w:val="26"/>
          <w:rtl w:val="true"/>
          <w:lang w:val="en-US" w:bidi="fa-IR"/>
        </w:rPr>
        <w:t>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۰٫۳۹</w:t>
      </w:r>
      <w:r>
        <w:rPr>
          <w:rFonts w:eastAsia="Times New Roman" w:cs="B Nazanin"/>
          <w:sz w:val="26"/>
          <w:szCs w:val="26"/>
          <w:lang w:val="en-US" w:bidi="fa-IR"/>
        </w:rPr>
        <w:t>, </w:t>
      </w:r>
      <w:r>
        <w:rPr>
          <w:rFonts w:ascii="Times New Roman" w:hAnsi="Times New Roman" w:eastAsia="Times New Roman"/>
          <w:sz w:val="26"/>
          <w:sz w:val="26"/>
          <w:szCs w:val="26"/>
          <w:lang w:val="en-US" w:bidi="fa-IR"/>
        </w:rPr>
        <w:t>۰٫۷۹</w:t>
      </w:r>
      <w:r>
        <w:rPr>
          <w:rFonts w:eastAsia="Times New Roman" w:cs="B Nazanin"/>
          <w:sz w:val="26"/>
          <w:szCs w:val="26"/>
          <w:rtl w:val="true"/>
          <w:lang w:val="en-US" w:bidi="fa-IR"/>
        </w:rPr>
        <w:t>]</w:t>
      </w:r>
      <w:r>
        <w:rPr>
          <w:rFonts w:eastAsia="Times New Roman" w:cs="B Nazanin"/>
          <w:sz w:val="26"/>
          <w:szCs w:val="26"/>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بسیار بیشتر از سطح پایین است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۰٫۱۱</w:t>
      </w:r>
      <w:r>
        <w:rPr>
          <w:rFonts w:ascii="Times New Roman" w:hAnsi="Times New Roman" w:eastAsia="Times New Roman"/>
          <w:sz w:val="26"/>
          <w:sz w:val="26"/>
          <w:szCs w:val="26"/>
          <w:rtl w:val="true"/>
          <w:lang w:val="en-US" w:bidi="fa-IR"/>
        </w:rPr>
        <w:t>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۰٫۱۰‎</w:t>
      </w:r>
      <w:r>
        <w:rPr>
          <w:rFonts w:eastAsia="Times New Roman" w:cs="B Nazanin"/>
          <w:sz w:val="26"/>
          <w:szCs w:val="26"/>
          <w:lang w:val="en-US" w:bidi="fa-IR"/>
        </w:rPr>
        <w:t>, </w:t>
      </w:r>
      <w:r>
        <w:rPr>
          <w:rFonts w:ascii="Times New Roman" w:hAnsi="Times New Roman" w:eastAsia="Times New Roman"/>
          <w:sz w:val="26"/>
          <w:sz w:val="26"/>
          <w:szCs w:val="26"/>
          <w:lang w:val="en-US" w:bidi="fa-IR"/>
        </w:rPr>
        <w:t>۰٫۳۳</w:t>
      </w:r>
      <w:r>
        <w:rPr>
          <w:rFonts w:eastAsia="Times New Roman" w:cs="B Nazanin"/>
          <w:sz w:val="26"/>
          <w:szCs w:val="26"/>
          <w:rtl w:val="true"/>
          <w:lang w:val="en-US" w:bidi="fa-IR"/>
        </w:rPr>
        <w:t>]</w:t>
      </w:r>
      <w:r>
        <w:rPr>
          <w:rFonts w:eastAsia="Times New Roman" w:cs="B Nazanin"/>
          <w:sz w:val="26"/>
          <w:szCs w:val="26"/>
          <w:lang w:val="en-US" w:bidi="fa-IR"/>
        </w:rPr>
        <w:t>‎</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از نظر کاربردی، اندازهٔ شرطی‌بودن چشمگیر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یک انحراف معیار بالاتر از میانگین هنجار، هر واحد افزایش الزام تقریباً </w:t>
      </w:r>
      <w:r>
        <w:rPr>
          <w:rFonts w:ascii="Times New Roman" w:hAnsi="Times New Roman" w:eastAsia="Times New Roman"/>
          <w:sz w:val="26"/>
          <w:sz w:val="26"/>
          <w:szCs w:val="26"/>
          <w:lang w:val="en-US" w:bidi="fa-IR"/>
        </w:rPr>
        <w:t>۰٫۴۴</w:t>
      </w:r>
      <w:r>
        <w:rPr>
          <w:rFonts w:ascii="Times New Roman" w:hAnsi="Times New Roman" w:eastAsia="Times New Roman"/>
          <w:sz w:val="26"/>
          <w:sz w:val="26"/>
          <w:szCs w:val="26"/>
          <w:rtl w:val="true"/>
          <w:lang w:val="en-US" w:bidi="fa-IR"/>
        </w:rPr>
        <w:t xml:space="preserve"> واحد اجرای ماهوی می‌افزاید، یعنی نزدیک به دو برابر اثر میانگین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۰٫۲۳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در یک انحراف معیار پایین‌تر، اثر عملاً صفر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همین الگو برای مسیر نمادین برقرار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الزام بر انطباق نمادین از حدود </w:t>
      </w:r>
      <w:r>
        <w:rPr>
          <w:rFonts w:ascii="Times New Roman" w:hAnsi="Times New Roman" w:eastAsia="Times New Roman"/>
          <w:sz w:val="26"/>
          <w:sz w:val="26"/>
          <w:szCs w:val="26"/>
          <w:lang w:val="en-US" w:bidi="fa-IR"/>
        </w:rPr>
        <w:t>۰٫۰۰</w:t>
      </w:r>
      <w:r>
        <w:rPr>
          <w:rFonts w:ascii="Times New Roman" w:hAnsi="Times New Roman" w:eastAsia="Times New Roman"/>
          <w:sz w:val="26"/>
          <w:sz w:val="26"/>
          <w:szCs w:val="26"/>
          <w:rtl w:val="true"/>
          <w:lang w:val="en-US" w:bidi="fa-IR"/>
        </w:rPr>
        <w:t xml:space="preserve"> در سطح پایین تقلید به </w:t>
      </w:r>
      <w:r>
        <w:rPr>
          <w:rFonts w:ascii="Times New Roman" w:hAnsi="Times New Roman" w:eastAsia="Times New Roman"/>
          <w:sz w:val="26"/>
          <w:sz w:val="26"/>
          <w:szCs w:val="26"/>
          <w:lang w:val="en-US" w:bidi="fa-IR"/>
        </w:rPr>
        <w:t>۰٫۴۳</w:t>
      </w:r>
      <w:r>
        <w:rPr>
          <w:rFonts w:ascii="Times New Roman" w:hAnsi="Times New Roman" w:eastAsia="Times New Roman"/>
          <w:sz w:val="26"/>
          <w:sz w:val="26"/>
          <w:szCs w:val="26"/>
          <w:rtl w:val="true"/>
          <w:lang w:val="en-US" w:bidi="fa-IR"/>
        </w:rPr>
        <w:t xml:space="preserve"> در سطح بالای آن می‌رسد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نتیجه آن است که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الزام یکسان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دو دستگاه با پیکربندی متفاوت می‌تواند نتایج کاملاً متفاوت بیافریند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5219700" cy="3852545"/>
            <wp:effectExtent l="0" t="0" r="0" b="0"/>
            <wp:docPr id="3" name="Fig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
                    <pic:cNvPicPr>
                      <a:picLocks noChangeAspect="1" noChangeArrowheads="1"/>
                    </pic:cNvPicPr>
                  </pic:nvPicPr>
                  <pic:blipFill>
                    <a:blip r:embed="rId10"/>
                    <a:stretch>
                      <a:fillRect/>
                    </a:stretch>
                  </pic:blipFill>
                  <pic:spPr bwMode="auto">
                    <a:xfrm>
                      <a:off x="0" y="0"/>
                      <a:ext cx="5219700" cy="385254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اثرهای شرطی فشارها در سه سطح فشار تعدیل‌گر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نقطه</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برآورد؛ خط</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فاصلهٔ اطمینان </w:t>
      </w:r>
      <w:r>
        <w:rPr>
          <w:rFonts w:ascii="Times New Roman" w:hAnsi="Times New Roman" w:eastAsia="Times New Roman" w:cs="B Zar"/>
          <w:b/>
          <w:b/>
          <w:bCs/>
          <w:sz w:val="20"/>
          <w:sz w:val="20"/>
          <w:szCs w:val="20"/>
          <w:lang w:val="en-US" w:bidi="fa-IR"/>
        </w:rPr>
        <w:t>۹۵</w:t>
      </w:r>
      <w:r>
        <w:rPr>
          <w:rFonts w:ascii="Times New Roman" w:hAnsi="Times New Roman" w:eastAsia="Times New Roman" w:cs="B Zar"/>
          <w:b/>
          <w:b/>
          <w:bCs/>
          <w:sz w:val="20"/>
          <w:sz w:val="20"/>
          <w:szCs w:val="20"/>
          <w:rtl w:val="true"/>
          <w:lang w:val="en-US" w:bidi="fa-IR"/>
        </w:rPr>
        <w:t xml:space="preserve"> درصد بوت‌استرپ</w:t>
      </w:r>
      <w:r>
        <w:rPr>
          <w:rFonts w:eastAsia="Times New Roman" w:cs="B Zar"/>
          <w:b/>
          <w:bCs/>
          <w:sz w:val="20"/>
          <w:szCs w:val="20"/>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۳</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پس از کنترل فشارها و اثرهای متقابل، همبستگی باقی‌مانده اجرای ماهوی و انطباق نمادین مثبت و معنادار بود </w:t>
      </w:r>
      <w:r>
        <w:rPr>
          <w:rFonts w:eastAsia="Times New Roman" w:cs="B Nazanin"/>
          <w:sz w:val="26"/>
          <w:szCs w:val="26"/>
          <w:rtl w:val="true"/>
          <w:lang w:val="en-US" w:bidi="fa-IR"/>
        </w:rPr>
        <w:t>(</w:t>
      </w:r>
      <w:r>
        <w:rPr>
          <w:rFonts w:eastAsia="Times New Roman" w:cs="B Nazanin"/>
          <w:sz w:val="26"/>
          <w:szCs w:val="26"/>
          <w:lang w:val="en-US" w:bidi="fa-IR"/>
        </w:rPr>
        <w:t>r</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۰٫۱۴</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۰٫۰۰۲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یعنی دو چهره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یا این یا آن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نیستند، بلکه در یک دستگاه کنار هم می‌مانند؛ فرضیهٔ </w:t>
      </w:r>
      <w:r>
        <w:rPr>
          <w:rFonts w:ascii="Times New Roman" w:hAnsi="Times New Roman" w:eastAsia="Times New Roman"/>
          <w:sz w:val="26"/>
          <w:sz w:val="26"/>
          <w:szCs w:val="26"/>
          <w:lang w:val="en-US" w:bidi="fa-IR"/>
        </w:rPr>
        <w:t>۳</w:t>
      </w:r>
      <w:r>
        <w:rPr>
          <w:rFonts w:ascii="Times New Roman" w:hAnsi="Times New Roman" w:eastAsia="Times New Roman"/>
          <w:sz w:val="26"/>
          <w:sz w:val="26"/>
          <w:szCs w:val="26"/>
          <w:rtl w:val="true"/>
          <w:lang w:val="en-US" w:bidi="fa-IR"/>
        </w:rPr>
        <w:t xml:space="preserve"> تأیید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حذف این همبستگی برازش را کاهش داد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مدل </w:t>
      </w:r>
      <w:r>
        <w:rPr>
          <w:rFonts w:eastAsia="Times New Roman" w:cs="B Nazanin"/>
          <w:sz w:val="26"/>
          <w:szCs w:val="26"/>
          <w:lang w:val="en-US" w:bidi="fa-IR"/>
        </w:rPr>
        <w:t>M</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در جدول </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۴</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مقایسهٔ مدل پیشنهادی با مدل‌های رقیب</w:t>
      </w:r>
    </w:p>
    <w:tbl>
      <w:tblPr>
        <w:bidiVisual w:val="true"/>
        <w:tblW w:w="7200" w:type="dxa"/>
        <w:jc w:val="center"/>
        <w:tblInd w:w="0" w:type="dxa"/>
        <w:tblLayout w:type="fixed"/>
        <w:tblCellMar>
          <w:top w:w="0" w:type="dxa"/>
          <w:left w:w="60" w:type="dxa"/>
          <w:bottom w:w="0" w:type="dxa"/>
          <w:right w:w="60" w:type="dxa"/>
        </w:tblCellMar>
      </w:tblPr>
      <w:tblGrid>
        <w:gridCol w:w="599"/>
        <w:gridCol w:w="2700"/>
        <w:gridCol w:w="800"/>
        <w:gridCol w:w="601"/>
        <w:gridCol w:w="800"/>
        <w:gridCol w:w="900"/>
        <w:gridCol w:w="799"/>
      </w:tblGrid>
      <w:tr>
        <w:trPr>
          <w:tblHeader w:val="true"/>
        </w:trPr>
        <w:tc>
          <w:tcPr>
            <w:tcW w:w="5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مدل</w:t>
            </w:r>
          </w:p>
        </w:tc>
        <w:tc>
          <w:tcPr>
            <w:tcW w:w="2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ساختار</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χ²</w:t>
            </w:r>
          </w:p>
        </w:tc>
        <w:tc>
          <w:tcPr>
            <w:tcW w:w="6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df</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CFI</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RMSEA</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AIC</w:t>
            </w:r>
          </w:p>
        </w:tc>
      </w:tr>
      <w:tr>
        <w:trPr>
          <w:cantSplit w:val="true"/>
        </w:trPr>
        <w:tc>
          <w:tcPr>
            <w:tcW w:w="599" w:type="dxa"/>
            <w:tcBorders/>
            <w:vAlign w:val="center"/>
          </w:tcPr>
          <w:p>
            <w:pPr>
              <w:pStyle w:val="Normal"/>
              <w:bidi w:val="1"/>
              <w:spacing w:lineRule="auto" w:line="240" w:before="40" w:after="40"/>
              <w:jc w:val="center"/>
              <w:rPr/>
            </w:pPr>
            <w:r>
              <w:rPr>
                <w:rFonts w:eastAsia="Times New Roman" w:cs="B Nazanin"/>
                <w:sz w:val="20"/>
                <w:szCs w:val="20"/>
                <w:lang w:val="en-US" w:bidi="fa-IR"/>
              </w:rPr>
              <w:t>M</w:t>
            </w:r>
            <w:r>
              <w:rPr>
                <w:rFonts w:ascii="Times New Roman" w:hAnsi="Times New Roman" w:eastAsia="Times New Roman"/>
                <w:sz w:val="20"/>
                <w:sz w:val="20"/>
                <w:szCs w:val="20"/>
                <w:lang w:val="en-US" w:bidi="fa-IR"/>
              </w:rPr>
              <w:t>۱</w:t>
            </w:r>
          </w:p>
        </w:tc>
        <w:tc>
          <w:tcPr>
            <w:tcW w:w="2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مدل پیشنهادی</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۴۰۵٫۱</w:t>
            </w:r>
          </w:p>
        </w:tc>
        <w:tc>
          <w:tcPr>
            <w:tcW w:w="6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۳۵۸</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۰٫۹۸۹</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۰٫۰۱۸</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۱۵۲</w:t>
            </w:r>
          </w:p>
        </w:tc>
      </w:tr>
      <w:tr>
        <w:trPr>
          <w:cantSplit w:val="true"/>
        </w:trPr>
        <w:tc>
          <w:tcPr>
            <w:tcW w:w="599" w:type="dxa"/>
            <w:tcBorders/>
            <w:vAlign w:val="center"/>
          </w:tcPr>
          <w:p>
            <w:pPr>
              <w:pStyle w:val="Normal"/>
              <w:bidi w:val="1"/>
              <w:spacing w:lineRule="auto" w:line="240" w:before="40" w:after="40"/>
              <w:jc w:val="center"/>
              <w:rPr/>
            </w:pPr>
            <w:r>
              <w:rPr>
                <w:rFonts w:eastAsia="Times New Roman" w:cs="B Nazanin"/>
                <w:sz w:val="20"/>
                <w:szCs w:val="20"/>
                <w:lang w:val="en-US" w:bidi="fa-IR"/>
              </w:rPr>
              <w:t>M</w:t>
            </w:r>
            <w:r>
              <w:rPr>
                <w:rFonts w:ascii="Times New Roman" w:hAnsi="Times New Roman" w:eastAsia="Times New Roman"/>
                <w:sz w:val="20"/>
                <w:sz w:val="20"/>
                <w:szCs w:val="20"/>
                <w:lang w:val="en-US" w:bidi="fa-IR"/>
              </w:rPr>
              <w:t>۲</w:t>
            </w:r>
          </w:p>
        </w:tc>
        <w:tc>
          <w:tcPr>
            <w:tcW w:w="2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بدون اثر متقابل</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۴۲۶٫۲</w:t>
            </w:r>
          </w:p>
        </w:tc>
        <w:tc>
          <w:tcPr>
            <w:tcW w:w="6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۳۶۰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۰٫۹۸۴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۰٫۰۲۱</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۱۴۸</w:t>
            </w:r>
          </w:p>
        </w:tc>
      </w:tr>
      <w:tr>
        <w:trPr>
          <w:cantSplit w:val="true"/>
        </w:trPr>
        <w:tc>
          <w:tcPr>
            <w:tcW w:w="599" w:type="dxa"/>
            <w:tcBorders/>
            <w:vAlign w:val="center"/>
          </w:tcPr>
          <w:p>
            <w:pPr>
              <w:pStyle w:val="Normal"/>
              <w:bidi w:val="1"/>
              <w:spacing w:lineRule="auto" w:line="240" w:before="40" w:after="40"/>
              <w:jc w:val="center"/>
              <w:rPr/>
            </w:pPr>
            <w:r>
              <w:rPr>
                <w:rFonts w:eastAsia="Times New Roman" w:cs="B Nazanin"/>
                <w:sz w:val="20"/>
                <w:szCs w:val="20"/>
                <w:lang w:val="en-US" w:bidi="fa-IR"/>
              </w:rPr>
              <w:t>M</w:t>
            </w:r>
            <w:r>
              <w:rPr>
                <w:rFonts w:ascii="Times New Roman" w:hAnsi="Times New Roman" w:eastAsia="Times New Roman"/>
                <w:sz w:val="20"/>
                <w:sz w:val="20"/>
                <w:szCs w:val="20"/>
                <w:lang w:val="en-US" w:bidi="fa-IR"/>
              </w:rPr>
              <w:t>۳</w:t>
            </w:r>
          </w:p>
        </w:tc>
        <w:tc>
          <w:tcPr>
            <w:tcW w:w="2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فقط الزامی </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هنجاری</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۴۱۷٫۵</w:t>
            </w:r>
          </w:p>
        </w:tc>
        <w:tc>
          <w:tcPr>
            <w:tcW w:w="6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۳۵۹</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۰٫۹۸۶</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۰٫۰۲۰</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۱۵۰</w:t>
            </w:r>
          </w:p>
        </w:tc>
      </w:tr>
      <w:tr>
        <w:trPr>
          <w:cantSplit w:val="true"/>
        </w:trPr>
        <w:tc>
          <w:tcPr>
            <w:tcW w:w="599" w:type="dxa"/>
            <w:tcBorders/>
            <w:vAlign w:val="center"/>
          </w:tcPr>
          <w:p>
            <w:pPr>
              <w:pStyle w:val="Normal"/>
              <w:bidi w:val="1"/>
              <w:spacing w:lineRule="auto" w:line="240" w:before="40" w:after="40"/>
              <w:jc w:val="center"/>
              <w:rPr/>
            </w:pPr>
            <w:r>
              <w:rPr>
                <w:rFonts w:eastAsia="Times New Roman" w:cs="B Nazanin"/>
                <w:sz w:val="20"/>
                <w:szCs w:val="20"/>
                <w:lang w:val="en-US" w:bidi="fa-IR"/>
              </w:rPr>
              <w:t>M</w:t>
            </w:r>
            <w:r>
              <w:rPr>
                <w:rFonts w:ascii="Times New Roman" w:hAnsi="Times New Roman" w:eastAsia="Times New Roman"/>
                <w:sz w:val="20"/>
                <w:sz w:val="20"/>
                <w:szCs w:val="20"/>
                <w:lang w:val="en-US" w:bidi="fa-IR"/>
              </w:rPr>
              <w:t>۴</w:t>
            </w:r>
          </w:p>
        </w:tc>
        <w:tc>
          <w:tcPr>
            <w:tcW w:w="2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فقط الزامی </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تقلیدی</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۴۱۴٫۱</w:t>
            </w:r>
          </w:p>
        </w:tc>
        <w:tc>
          <w:tcPr>
            <w:tcW w:w="6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۳۵۹</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۰٫۹۸۷</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۰٫۰۱۹</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۱۵۰</w:t>
            </w:r>
          </w:p>
        </w:tc>
      </w:tr>
      <w:tr>
        <w:trPr>
          <w:cantSplit w:val="true"/>
        </w:trPr>
        <w:tc>
          <w:tcPr>
            <w:tcW w:w="5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M</w:t>
            </w:r>
            <w:r>
              <w:rPr>
                <w:rFonts w:ascii="Times New Roman" w:hAnsi="Times New Roman" w:eastAsia="Times New Roman"/>
                <w:sz w:val="20"/>
                <w:sz w:val="20"/>
                <w:szCs w:val="20"/>
                <w:lang w:val="en-US" w:bidi="fa-IR"/>
              </w:rPr>
              <w:t>۵</w:t>
            </w:r>
          </w:p>
        </w:tc>
        <w:tc>
          <w:tcPr>
            <w:tcW w:w="2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بدون همبستگی باقی‌مانده</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۴۱۵٫۳</w:t>
            </w:r>
          </w:p>
        </w:tc>
        <w:tc>
          <w:tcPr>
            <w:tcW w:w="6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۳۵۹</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۰٫۹۸۶</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۰٫۰۲۰</w:t>
            </w:r>
          </w:p>
        </w:tc>
        <w:tc>
          <w:tcPr>
            <w:tcW w:w="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۱۵۰</w:t>
            </w:r>
          </w:p>
        </w:tc>
      </w:tr>
    </w:tbl>
    <w:p>
      <w:pPr>
        <w:pStyle w:val="Normal"/>
        <w:bidi w:val="1"/>
        <w:spacing w:lineRule="auto" w:line="240" w:before="0" w:after="100"/>
        <w:ind w:firstLine="360"/>
        <w:jc w:val="both"/>
        <w:rPr/>
      </w:pPr>
      <w:r>
        <w:rPr>
          <w:rtl w:val="true"/>
        </w:rPr>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 xml:space="preserve">مدل پیشنهادی از مدل بدون اثر متقابل </w:t>
      </w:r>
      <w:r>
        <w:rPr>
          <w:rFonts w:eastAsia="Times New Roman" w:cs="B Nazanin"/>
          <w:sz w:val="26"/>
          <w:szCs w:val="26"/>
          <w:rtl w:val="true"/>
          <w:lang w:val="en-US" w:bidi="fa-IR"/>
        </w:rPr>
        <w:t>(</w:t>
      </w:r>
      <w:r>
        <w:rPr>
          <w:rFonts w:eastAsia="Times New Roman" w:cs="B Nazanin"/>
          <w:sz w:val="26"/>
          <w:szCs w:val="26"/>
          <w:lang w:val="en-US" w:bidi="fa-IR"/>
        </w:rPr>
        <w:t>M</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Δχ²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۲۱٫۱</w:t>
      </w:r>
      <w:r>
        <w:rPr>
          <w:rFonts w:ascii="Times New Roman" w:hAnsi="Times New Roman" w:eastAsia="Times New Roman"/>
          <w:sz w:val="26"/>
          <w:sz w:val="26"/>
          <w:szCs w:val="26"/>
          <w:rtl w:val="true"/>
          <w:lang w:val="en-US" w:bidi="fa-IR"/>
        </w:rPr>
        <w:t xml:space="preserve"> با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rtl w:val="true"/>
          <w:lang w:val="en-US" w:bidi="fa-IR"/>
        </w:rPr>
        <w:t xml:space="preserve"> درجهٔ آزادی،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مدل‌های دارای تنها یکی از دو اثر متقابل </w:t>
      </w:r>
      <w:r>
        <w:rPr>
          <w:rFonts w:eastAsia="Times New Roman" w:cs="B Nazanin"/>
          <w:sz w:val="26"/>
          <w:szCs w:val="26"/>
          <w:rtl w:val="true"/>
          <w:lang w:val="en-US" w:bidi="fa-IR"/>
        </w:rPr>
        <w:t>(</w:t>
      </w:r>
      <w:r>
        <w:rPr>
          <w:rFonts w:eastAsia="Times New Roman" w:cs="B Nazanin"/>
          <w:sz w:val="26"/>
          <w:szCs w:val="26"/>
          <w:lang w:val="en-US" w:bidi="fa-IR"/>
        </w:rPr>
        <w:t>M</w:t>
      </w:r>
      <w:r>
        <w:rPr>
          <w:rFonts w:ascii="Times New Roman" w:hAnsi="Times New Roman" w:eastAsia="Times New Roman"/>
          <w:sz w:val="26"/>
          <w:sz w:val="26"/>
          <w:szCs w:val="26"/>
          <w:lang w:val="en-US" w:bidi="fa-IR"/>
        </w:rPr>
        <w:t>۳</w:t>
      </w:r>
      <w:r>
        <w:rPr>
          <w:rFonts w:ascii="Times New Roman" w:hAnsi="Times New Roman" w:eastAsia="Times New Roman"/>
          <w:sz w:val="26"/>
          <w:sz w:val="26"/>
          <w:szCs w:val="26"/>
          <w:rtl w:val="true"/>
          <w:lang w:val="en-US" w:bidi="fa-IR"/>
        </w:rPr>
        <w:t xml:space="preserve"> و </w:t>
      </w:r>
      <w:r>
        <w:rPr>
          <w:rFonts w:eastAsia="Times New Roman" w:cs="B Nazanin"/>
          <w:sz w:val="26"/>
          <w:szCs w:val="26"/>
          <w:lang w:val="en-US" w:bidi="fa-IR"/>
        </w:rPr>
        <w:t>M</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Δχ²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۱۲٫۴</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۸٫۹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مدل بدون همبستگی باقی‌مانده </w:t>
      </w:r>
      <w:r>
        <w:rPr>
          <w:rFonts w:eastAsia="Times New Roman" w:cs="B Nazanin"/>
          <w:sz w:val="26"/>
          <w:szCs w:val="26"/>
          <w:rtl w:val="true"/>
          <w:lang w:val="en-US" w:bidi="fa-IR"/>
        </w:rPr>
        <w:t>(</w:t>
      </w:r>
      <w:r>
        <w:rPr>
          <w:rFonts w:eastAsia="Times New Roman" w:cs="B Nazanin"/>
          <w:sz w:val="26"/>
          <w:szCs w:val="26"/>
          <w:lang w:val="en-US" w:bidi="fa-IR"/>
        </w:rPr>
        <w:t>M</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Δχ²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۱۰٫۲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برازش بهتری داشت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۵</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ناوردایی اندازه‌گیری میان نهادهای اداری و خدماتی</w:t>
      </w:r>
    </w:p>
    <w:tbl>
      <w:tblPr>
        <w:bidiVisual w:val="true"/>
        <w:tblW w:w="6600" w:type="dxa"/>
        <w:jc w:val="center"/>
        <w:tblInd w:w="0" w:type="dxa"/>
        <w:tblLayout w:type="fixed"/>
        <w:tblCellMar>
          <w:top w:w="0" w:type="dxa"/>
          <w:left w:w="60" w:type="dxa"/>
          <w:bottom w:w="0" w:type="dxa"/>
          <w:right w:w="60" w:type="dxa"/>
        </w:tblCellMar>
      </w:tblPr>
      <w:tblGrid>
        <w:gridCol w:w="1399"/>
        <w:gridCol w:w="901"/>
        <w:gridCol w:w="699"/>
        <w:gridCol w:w="900"/>
        <w:gridCol w:w="901"/>
        <w:gridCol w:w="899"/>
        <w:gridCol w:w="900"/>
      </w:tblGrid>
      <w:tr>
        <w:trPr>
          <w:tblHeader w:val="true"/>
        </w:trPr>
        <w:tc>
          <w:tcPr>
            <w:tcW w:w="13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مدل</w:t>
            </w:r>
          </w:p>
        </w:tc>
        <w:tc>
          <w:tcPr>
            <w:tcW w:w="9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χ²</w:t>
            </w:r>
          </w:p>
        </w:tc>
        <w:tc>
          <w:tcPr>
            <w:tcW w:w="6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df</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CFI</w:t>
            </w:r>
          </w:p>
        </w:tc>
        <w:tc>
          <w:tcPr>
            <w:tcW w:w="9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RMSEA</w:t>
            </w:r>
          </w:p>
        </w:tc>
        <w:tc>
          <w:tcPr>
            <w:tcW w:w="8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SRMR</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ΔCFI</w:t>
            </w:r>
          </w:p>
        </w:tc>
      </w:tr>
      <w:tr>
        <w:trPr>
          <w:cantSplit w:val="true"/>
        </w:trPr>
        <w:tc>
          <w:tcPr>
            <w:tcW w:w="13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پیکربندی</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۴۲۱٫۲</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۳۵۸</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۰٫۹۸۳</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۰٫۰۲۹</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۰٫۰۴۷</w:t>
            </w:r>
          </w:p>
        </w:tc>
        <w:tc>
          <w:tcPr>
            <w:tcW w:w="9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r>
      <w:tr>
        <w:trPr>
          <w:cantSplit w:val="true"/>
        </w:trPr>
        <w:tc>
          <w:tcPr>
            <w:tcW w:w="13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متریک</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۴۳۸٫۸</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۳۷۴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۰٫۹۸۲</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۰٫۰۲۹</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۰٫۰۵۱</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۰٫۰۰۰‎</w:t>
            </w:r>
          </w:p>
        </w:tc>
      </w:tr>
      <w:tr>
        <w:trPr>
          <w:cantSplit w:val="true"/>
        </w:trPr>
        <w:tc>
          <w:tcPr>
            <w:tcW w:w="13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اسکالر</w:t>
            </w:r>
          </w:p>
        </w:tc>
        <w:tc>
          <w:tcPr>
            <w:tcW w:w="9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۴۵۳٫۲</w:t>
            </w:r>
          </w:p>
        </w:tc>
        <w:tc>
          <w:tcPr>
            <w:tcW w:w="6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۳۹۰</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۰٫۹۸۳</w:t>
            </w:r>
          </w:p>
        </w:tc>
        <w:tc>
          <w:tcPr>
            <w:tcW w:w="9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۰٫۰۲۸</w:t>
            </w:r>
          </w:p>
        </w:tc>
        <w:tc>
          <w:tcPr>
            <w:tcW w:w="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۰٫۰۵۲</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۰٫۰۰۰</w:t>
            </w:r>
          </w:p>
        </w:tc>
      </w:tr>
    </w:tbl>
    <w:p>
      <w:pPr>
        <w:pStyle w:val="Normal"/>
        <w:bidi w:val="1"/>
        <w:spacing w:lineRule="auto" w:line="240" w:before="0" w:after="100"/>
        <w:ind w:firstLine="360"/>
        <w:jc w:val="both"/>
        <w:rPr/>
      </w:pPr>
      <w:r>
        <w:rPr>
          <w:rtl w:val="true"/>
        </w:rPr>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 xml:space="preserve">ناوردایی پیکربندی، متریک و اسکالر برقرار بود </w:t>
      </w:r>
      <w:r>
        <w:rPr>
          <w:rFonts w:eastAsia="Times New Roman" w:cs="B Nazanin"/>
          <w:sz w:val="26"/>
          <w:szCs w:val="26"/>
          <w:rtl w:val="true"/>
          <w:lang w:val="en-US" w:bidi="fa-IR"/>
        </w:rPr>
        <w:t>(</w:t>
      </w:r>
      <w:r>
        <w:rPr>
          <w:rFonts w:eastAsia="Times New Roman" w:cs="B Nazanin"/>
          <w:sz w:val="26"/>
          <w:szCs w:val="26"/>
          <w:lang w:val="en-US" w:bidi="fa-IR"/>
        </w:rPr>
        <w:t>ΔCFI</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۰٫۰۰۰</w:t>
      </w:r>
      <w:r>
        <w:rPr>
          <w:rFonts w:ascii="Times New Roman" w:hAnsi="Times New Roman" w:eastAsia="Times New Roman"/>
          <w:sz w:val="26"/>
          <w:sz w:val="26"/>
          <w:szCs w:val="26"/>
          <w:rtl w:val="true"/>
          <w:lang w:val="en-US" w:bidi="fa-IR"/>
        </w:rPr>
        <w:t xml:space="preserve"> برای گذار به اسکالر؛ هیچ گویه‌ای رها نشد</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پس مقایسهٔ میانگین‌ها و مسیرها معنادار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نهادهای خدماتی و محلی در فشار الزامی </w:t>
      </w:r>
      <w:r>
        <w:rPr>
          <w:rFonts w:eastAsia="Times New Roman" w:cs="B Nazanin"/>
          <w:sz w:val="26"/>
          <w:szCs w:val="26"/>
          <w:rtl w:val="true"/>
          <w:lang w:val="en-US" w:bidi="fa-IR"/>
        </w:rPr>
        <w:t>(</w:t>
      </w:r>
      <w:r>
        <w:rPr>
          <w:rFonts w:eastAsia="Times New Roman" w:cs="B Nazanin"/>
          <w:sz w:val="26"/>
          <w:szCs w:val="26"/>
          <w:lang w:val="en-US" w:bidi="fa-IR"/>
        </w:rPr>
        <w:t>d</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‎‎−۰‎٫۳۶‎</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فشار تقلیدی </w:t>
      </w:r>
      <w:r>
        <w:rPr>
          <w:rFonts w:eastAsia="Times New Roman" w:cs="B Nazanin"/>
          <w:sz w:val="26"/>
          <w:szCs w:val="26"/>
          <w:rtl w:val="true"/>
          <w:lang w:val="en-US" w:bidi="fa-IR"/>
        </w:rPr>
        <w:t>(</w:t>
      </w:r>
      <w:r>
        <w:rPr>
          <w:rFonts w:eastAsia="Times New Roman" w:cs="B Nazanin"/>
          <w:sz w:val="26"/>
          <w:szCs w:val="26"/>
          <w:lang w:val="en-US" w:bidi="fa-IR"/>
        </w:rPr>
        <w:t>d</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‎‎−۰‎٫۳۱‎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انطباق نمادین </w:t>
      </w:r>
      <w:r>
        <w:rPr>
          <w:rFonts w:eastAsia="Times New Roman" w:cs="B Nazanin"/>
          <w:sz w:val="26"/>
          <w:szCs w:val="26"/>
          <w:rtl w:val="true"/>
          <w:lang w:val="en-US" w:bidi="fa-IR"/>
        </w:rPr>
        <w:t>(</w:t>
      </w:r>
      <w:r>
        <w:rPr>
          <w:rFonts w:eastAsia="Times New Roman" w:cs="B Nazanin"/>
          <w:sz w:val="26"/>
          <w:szCs w:val="26"/>
          <w:lang w:val="en-US" w:bidi="fa-IR"/>
        </w:rPr>
        <w:t>d</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‎‎−۰‎٫۳۲‎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پایین‌تر و در فشار هنجاری بالاتر </w:t>
      </w:r>
      <w:r>
        <w:rPr>
          <w:rFonts w:eastAsia="Times New Roman" w:cs="B Nazanin"/>
          <w:sz w:val="26"/>
          <w:szCs w:val="26"/>
          <w:rtl w:val="true"/>
          <w:lang w:val="en-US" w:bidi="fa-IR"/>
        </w:rPr>
        <w:t>(</w:t>
      </w:r>
      <w:r>
        <w:rPr>
          <w:rFonts w:eastAsia="Times New Roman" w:cs="B Nazanin"/>
          <w:sz w:val="26"/>
          <w:szCs w:val="26"/>
          <w:lang w:val="en-US" w:bidi="fa-IR"/>
        </w:rPr>
        <w:t>d</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۰٫۲۵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بودند و در اجرای ماهوی تفاوتی نداشتند </w:t>
      </w:r>
      <w:r>
        <w:rPr>
          <w:rFonts w:eastAsia="Times New Roman" w:cs="B Nazanin"/>
          <w:sz w:val="26"/>
          <w:szCs w:val="26"/>
          <w:rtl w:val="true"/>
          <w:lang w:val="en-US" w:bidi="fa-IR"/>
        </w:rPr>
        <w:t>(</w:t>
      </w:r>
      <w:r>
        <w:rPr>
          <w:rFonts w:eastAsia="Times New Roman" w:cs="B Nazanin"/>
          <w:sz w:val="26"/>
          <w:szCs w:val="26"/>
          <w:lang w:val="en-US" w:bidi="fa-IR"/>
        </w:rPr>
        <w:t>d</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‎‎−۰‎٫۰۲‎</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۶</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مقایسهٔ مسیرها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ضرایب استاندارد</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میان نهادهای اداری و حاکمیتی و نهادهای خدماتی و محلی</w:t>
      </w:r>
    </w:p>
    <w:tbl>
      <w:tblPr>
        <w:bidiVisual w:val="true"/>
        <w:tblW w:w="7400" w:type="dxa"/>
        <w:jc w:val="center"/>
        <w:tblInd w:w="0" w:type="dxa"/>
        <w:tblLayout w:type="fixed"/>
        <w:tblCellMar>
          <w:top w:w="0" w:type="dxa"/>
          <w:left w:w="60" w:type="dxa"/>
          <w:bottom w:w="0" w:type="dxa"/>
          <w:right w:w="60" w:type="dxa"/>
        </w:tblCellMar>
      </w:tblPr>
      <w:tblGrid>
        <w:gridCol w:w="2999"/>
        <w:gridCol w:w="1401"/>
        <w:gridCol w:w="1400"/>
        <w:gridCol w:w="800"/>
        <w:gridCol w:w="800"/>
      </w:tblGrid>
      <w:tr>
        <w:trPr>
          <w:tblHeader w:val="true"/>
        </w:trPr>
        <w:tc>
          <w:tcPr>
            <w:tcW w:w="2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مسیر</w:t>
            </w:r>
          </w:p>
        </w:tc>
        <w:tc>
          <w:tcPr>
            <w:tcW w:w="14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اداری و حاکمیتی</w:t>
            </w:r>
          </w:p>
        </w:tc>
        <w:tc>
          <w:tcPr>
            <w:tcW w:w="14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خدماتی و محلی</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Δz</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p</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هنجاری ← اجرای ماهوی </w:t>
            </w:r>
            <w:r>
              <w:rPr>
                <w:rFonts w:eastAsia="Times New Roman" w:cs="B Nazanin"/>
                <w:sz w:val="20"/>
                <w:szCs w:val="20"/>
                <w:rtl w:val="true"/>
                <w:lang w:val="en-US" w:bidi="fa-IR"/>
              </w:rPr>
              <w:t>(</w:t>
            </w:r>
            <w:r>
              <w:rPr>
                <w:rFonts w:ascii="Times New Roman" w:hAnsi="Times New Roman" w:eastAsia="Times New Roman"/>
                <w:sz w:val="20"/>
                <w:sz w:val="20"/>
                <w:szCs w:val="20"/>
                <w:rtl w:val="true"/>
                <w:lang w:val="en-US" w:bidi="fa-IR"/>
              </w:rPr>
              <w:t xml:space="preserve">فرضیهٔ </w:t>
            </w:r>
            <w:r>
              <w:rPr>
                <w:rFonts w:ascii="Times New Roman" w:hAnsi="Times New Roman" w:eastAsia="Times New Roman"/>
                <w:sz w:val="20"/>
                <w:sz w:val="20"/>
                <w:szCs w:val="20"/>
                <w:lang w:val="en-US" w:bidi="fa-IR"/>
              </w:rPr>
              <w:t>۴</w:t>
            </w:r>
            <w:r>
              <w:rPr>
                <w:rFonts w:eastAsia="Times New Roman" w:cs="B Nazanin"/>
                <w:sz w:val="20"/>
                <w:szCs w:val="20"/>
                <w:rtl w:val="true"/>
                <w:lang w:val="en-US" w:bidi="fa-IR"/>
              </w:rPr>
              <w:t>)</w:t>
            </w:r>
          </w:p>
        </w:tc>
        <w:tc>
          <w:tcPr>
            <w:tcW w:w="14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۰٫۲۰</w:t>
            </w:r>
          </w:p>
        </w:tc>
        <w:tc>
          <w:tcPr>
            <w:tcW w:w="14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۰٫۵۰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۲٫۸۹</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۰٫۰۰۴</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الزامی ← اجرای ماهوی</w:t>
            </w:r>
          </w:p>
        </w:tc>
        <w:tc>
          <w:tcPr>
            <w:tcW w:w="14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۰٫۳۶</w:t>
            </w:r>
          </w:p>
        </w:tc>
        <w:tc>
          <w:tcPr>
            <w:tcW w:w="14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۰٫۰۴</w:t>
            </w:r>
          </w:p>
        </w:tc>
        <w:tc>
          <w:tcPr>
            <w:tcW w:w="8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۲٫۱۸‎</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۰٫۰۲۹</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تقلیدی ← اجرای ماهوی</w:t>
            </w:r>
          </w:p>
        </w:tc>
        <w:tc>
          <w:tcPr>
            <w:tcW w:w="1401"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۰٫۰۲‎</w:t>
            </w:r>
          </w:p>
        </w:tc>
        <w:tc>
          <w:tcPr>
            <w:tcW w:w="14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۰٫۰۸</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۰٫۸۳</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۰٫۴۰۹</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الزامی ← انطباق نمادین</w:t>
            </w:r>
          </w:p>
        </w:tc>
        <w:tc>
          <w:tcPr>
            <w:tcW w:w="14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۰٫۲۴</w:t>
            </w:r>
          </w:p>
        </w:tc>
        <w:tc>
          <w:tcPr>
            <w:tcW w:w="14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۰٫۱۸</w:t>
            </w:r>
          </w:p>
        </w:tc>
        <w:tc>
          <w:tcPr>
            <w:tcW w:w="8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۰٫۳۳‎</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۰٫۷۴۳</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هنجاری ← انطباق نمادین</w:t>
            </w:r>
          </w:p>
        </w:tc>
        <w:tc>
          <w:tcPr>
            <w:tcW w:w="1401"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۰٫۲۴‎</w:t>
            </w:r>
          </w:p>
        </w:tc>
        <w:tc>
          <w:tcPr>
            <w:tcW w:w="14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۰٫۲۴‎</w:t>
            </w:r>
          </w:p>
        </w:tc>
        <w:tc>
          <w:tcPr>
            <w:tcW w:w="8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۰٫۱۱‎</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۰٫۹۰۹</w:t>
            </w:r>
          </w:p>
        </w:tc>
      </w:tr>
      <w:tr>
        <w:trPr>
          <w:cantSplit w:val="true"/>
        </w:trPr>
        <w:tc>
          <w:tcPr>
            <w:tcW w:w="2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تقلیدی ← انطباق نمادین</w:t>
            </w:r>
          </w:p>
        </w:tc>
        <w:tc>
          <w:tcPr>
            <w:tcW w:w="14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۰٫۳۷</w:t>
            </w:r>
          </w:p>
        </w:tc>
        <w:tc>
          <w:tcPr>
            <w:tcW w:w="14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۰٫۳۵</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۰٫۳۲</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۰٫۷۵۲</w:t>
            </w:r>
          </w:p>
        </w:tc>
      </w:tr>
    </w:tbl>
    <w:p>
      <w:pPr>
        <w:pStyle w:val="Normal"/>
        <w:bidi w:val="1"/>
        <w:spacing w:lineRule="auto" w:line="240" w:before="0" w:after="100"/>
        <w:ind w:firstLine="360"/>
        <w:jc w:val="both"/>
        <w:rPr/>
      </w:pPr>
      <w:r>
        <w:rPr>
          <w:rtl w:val="true"/>
        </w:rPr>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۴</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فشار هنجاری بر اجرای ماهوی در نهادهای خدماتی و محلی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۰٫۵۰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قوی‌تر از نهادهای اداری و حاکمیتی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بود </w:t>
      </w:r>
      <w:r>
        <w:rPr>
          <w:rFonts w:eastAsia="Times New Roman" w:cs="B Nazanin"/>
          <w:sz w:val="26"/>
          <w:szCs w:val="26"/>
          <w:rtl w:val="true"/>
          <w:lang w:val="en-US" w:bidi="fa-IR"/>
        </w:rPr>
        <w:t>(</w:t>
      </w:r>
      <w:r>
        <w:rPr>
          <w:rFonts w:eastAsia="Times New Roman" w:cs="B Nazanin"/>
          <w:sz w:val="26"/>
          <w:szCs w:val="26"/>
          <w:lang w:val="en-US" w:bidi="fa-IR"/>
        </w:rPr>
        <w:t>Δz</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۲٫۸۹</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۰٫۰۰۴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فرضیه تأیید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بررسی اکتشافی، اثر فشار الزامی بر اجرای ماهوی در نهادهای خدماتی و محلی ضعیف‌تر بود </w:t>
      </w:r>
      <w:r>
        <w:rPr>
          <w:rFonts w:eastAsia="Times New Roman" w:cs="B Nazanin"/>
          <w:sz w:val="26"/>
          <w:szCs w:val="26"/>
          <w:rtl w:val="true"/>
          <w:lang w:val="en-US" w:bidi="fa-IR"/>
        </w:rPr>
        <w:t>(</w:t>
      </w:r>
      <w:r>
        <w:rPr>
          <w:rFonts w:eastAsia="Times New Roman" w:cs="B Nazanin"/>
          <w:sz w:val="26"/>
          <w:szCs w:val="26"/>
          <w:lang w:val="en-US" w:bidi="fa-IR"/>
        </w:rPr>
        <w:t>Δz</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 xml:space="preserve">‎‎−۲‎٫۱۸‎، </w:t>
      </w:r>
      <w:r>
        <w:rPr>
          <w:rFonts w:eastAsia="Times New Roman" w:cs="B Nazanin"/>
          <w:sz w:val="26"/>
          <w:szCs w:val="26"/>
          <w:lang w:val="en-US" w:bidi="fa-IR"/>
        </w:rPr>
        <w:t>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۰٫۰۲۹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تفاوت سایر مسیرها معنادار نبود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تعبیر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نهادهایی که هویت حرفه‌ای قوی است، هنجار جانشین الزام می‌شود؛ در نهادهای اداری، الزام همچنان محرک اصلی اجراست</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5219700" cy="2672080"/>
            <wp:effectExtent l="0" t="0" r="0" b="0"/>
            <wp:docPr id="4" name="Fig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descr=""/>
                    <pic:cNvPicPr>
                      <a:picLocks noChangeAspect="1" noChangeArrowheads="1"/>
                    </pic:cNvPicPr>
                  </pic:nvPicPr>
                  <pic:blipFill>
                    <a:blip r:embed="rId11"/>
                    <a:stretch>
                      <a:fillRect/>
                    </a:stretch>
                  </pic:blipFill>
                  <pic:spPr bwMode="auto">
                    <a:xfrm>
                      <a:off x="0" y="0"/>
                      <a:ext cx="5219700" cy="2672080"/>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۴</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ضرایب مسیر استاندارد به تفکیک نوع نهاد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 xml:space="preserve">فاصلهٔ اطمینان تقریبی </w:t>
      </w:r>
      <w:r>
        <w:rPr>
          <w:rFonts w:ascii="Times New Roman" w:hAnsi="Times New Roman" w:eastAsia="Times New Roman" w:cs="B Zar"/>
          <w:b/>
          <w:b/>
          <w:bCs/>
          <w:sz w:val="20"/>
          <w:sz w:val="20"/>
          <w:szCs w:val="20"/>
          <w:lang w:val="en-US" w:bidi="fa-IR"/>
        </w:rPr>
        <w:t>۹۵</w:t>
      </w:r>
      <w:r>
        <w:rPr>
          <w:rFonts w:ascii="Times New Roman" w:hAnsi="Times New Roman" w:eastAsia="Times New Roman" w:cs="B Zar"/>
          <w:b/>
          <w:b/>
          <w:bCs/>
          <w:sz w:val="20"/>
          <w:sz w:val="20"/>
          <w:szCs w:val="20"/>
          <w:rtl w:val="true"/>
          <w:lang w:val="en-US" w:bidi="fa-IR"/>
        </w:rPr>
        <w:t xml:space="preserve"> درصد</w:t>
      </w:r>
      <w:r>
        <w:rPr>
          <w:rFonts w:eastAsia="Times New Roman" w:cs="B Zar"/>
          <w:b/>
          <w:bCs/>
          <w:sz w:val="20"/>
          <w:szCs w:val="20"/>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۵</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آمیختهٔ گاوسی با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نیمرخ برازش شد؛ </w:t>
      </w:r>
      <w:r>
        <w:rPr>
          <w:rFonts w:eastAsia="Times New Roman" w:cs="B Nazanin"/>
          <w:sz w:val="26"/>
          <w:szCs w:val="26"/>
          <w:lang w:val="en-US" w:bidi="fa-IR"/>
        </w:rPr>
        <w:t>BIC</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حالت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rtl w:val="true"/>
          <w:lang w:val="en-US" w:bidi="fa-IR"/>
        </w:rPr>
        <w:t xml:space="preserve"> نیمرخ کمینه بود </w:t>
      </w:r>
      <w:r>
        <w:rPr>
          <w:rFonts w:eastAsia="Times New Roman" w:cs="B Nazanin"/>
          <w:sz w:val="26"/>
          <w:szCs w:val="26"/>
          <w:rtl w:val="true"/>
          <w:lang w:val="en-US" w:bidi="fa-IR"/>
        </w:rPr>
        <w:t>(</w:t>
      </w:r>
      <w:r>
        <w:rPr>
          <w:rFonts w:eastAsia="Times New Roman" w:cs="B Nazanin"/>
          <w:sz w:val="26"/>
          <w:szCs w:val="26"/>
          <w:lang w:val="en-US" w:bidi="fa-IR"/>
        </w:rPr>
        <w:t>k</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۳۳۳۳</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k</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۳۲۷۵</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k</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۳۳۰۴</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k</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۳۳۳۳</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k</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۵</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۳۳۷۷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آنتروپی </w:t>
      </w:r>
      <w:r>
        <w:rPr>
          <w:rFonts w:ascii="Times New Roman" w:hAnsi="Times New Roman" w:eastAsia="Times New Roman"/>
          <w:sz w:val="26"/>
          <w:sz w:val="26"/>
          <w:szCs w:val="26"/>
          <w:lang w:val="en-US" w:bidi="fa-IR"/>
        </w:rPr>
        <w:t>۰٫۸۵</w:t>
      </w:r>
      <w:r>
        <w:rPr>
          <w:rFonts w:ascii="Times New Roman" w:hAnsi="Times New Roman" w:eastAsia="Times New Roman"/>
          <w:sz w:val="26"/>
          <w:sz w:val="26"/>
          <w:szCs w:val="26"/>
          <w:rtl w:val="true"/>
          <w:lang w:val="en-US" w:bidi="fa-IR"/>
        </w:rPr>
        <w:t xml:space="preserve"> جداسازی مطلوب نیمرخ‌ها را نشان داد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نیمرخ </w:t>
      </w:r>
      <w:r>
        <w:rPr>
          <w:rFonts w:ascii="Times New Roman" w:hAnsi="Times New Roman" w:eastAsia="Times New Roman"/>
          <w:b/>
          <w:b/>
          <w:bCs/>
          <w:sz w:val="26"/>
          <w:sz w:val="26"/>
          <w:szCs w:val="26"/>
          <w:rtl w:val="true"/>
          <w:lang w:val="en-US" w:bidi="fa-IR"/>
        </w:rPr>
        <w:t>الزامی</w:t>
        <w:noBreakHyphen/>
        <w:t>تقلیدی</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۳۲</w:t>
      </w:r>
      <w:r>
        <w:rPr>
          <w:rFonts w:ascii="Times New Roman" w:hAnsi="Times New Roman" w:eastAsia="Times New Roman"/>
          <w:sz w:val="26"/>
          <w:sz w:val="26"/>
          <w:szCs w:val="26"/>
          <w:rtl w:val="true"/>
          <w:lang w:val="en-US" w:bidi="fa-IR"/>
        </w:rPr>
        <w:t xml:space="preserve"> درصد دستگاه‌ها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فشار الزامی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۱٫۰۵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تقلیدی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۱٫۰۰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بالا و فشار هنجاری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۰٫۶۸‎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پایین دارد و نیمرخ </w:t>
      </w:r>
      <w:r>
        <w:rPr>
          <w:rFonts w:ascii="Times New Roman" w:hAnsi="Times New Roman" w:eastAsia="Times New Roman"/>
          <w:b/>
          <w:b/>
          <w:bCs/>
          <w:sz w:val="26"/>
          <w:sz w:val="26"/>
          <w:szCs w:val="26"/>
          <w:rtl w:val="true"/>
          <w:lang w:val="en-US" w:bidi="fa-IR"/>
        </w:rPr>
        <w:t>هنجارمحور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۶۸</w:t>
      </w:r>
      <w:r>
        <w:rPr>
          <w:rFonts w:ascii="Times New Roman" w:hAnsi="Times New Roman" w:eastAsia="Times New Roman"/>
          <w:sz w:val="26"/>
          <w:sz w:val="26"/>
          <w:szCs w:val="26"/>
          <w:rtl w:val="true"/>
          <w:lang w:val="en-US" w:bidi="fa-IR"/>
        </w:rPr>
        <w:t xml:space="preserve"> درصد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فشار هنجاری بالاتر از میانگین و الزام و تقلید پایین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دو نیمرخ در انطباق نمادین تفاوت بسیار بزرگی داشتند </w:t>
      </w:r>
      <w:r>
        <w:rPr>
          <w:rFonts w:eastAsia="Times New Roman" w:cs="B Nazanin"/>
          <w:sz w:val="26"/>
          <w:szCs w:val="26"/>
          <w:rtl w:val="true"/>
          <w:lang w:val="en-US" w:bidi="fa-IR"/>
        </w:rPr>
        <w:t>(</w:t>
      </w:r>
      <w:r>
        <w:rPr>
          <w:rFonts w:eastAsia="Times New Roman" w:cs="B Nazanin"/>
          <w:sz w:val="26"/>
          <w:szCs w:val="26"/>
          <w:lang w:val="en-US" w:bidi="fa-IR"/>
        </w:rPr>
        <w:t>F</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۱۹۱٫۵</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کمتر از </w:t>
      </w:r>
      <w:r>
        <w:rPr>
          <w:rFonts w:ascii="Times New Roman" w:hAnsi="Times New Roman" w:eastAsia="Times New Roman"/>
          <w:sz w:val="26"/>
          <w:sz w:val="26"/>
          <w:szCs w:val="26"/>
          <w:lang w:val="en-US" w:bidi="fa-IR"/>
        </w:rPr>
        <w:t>۰٫۰۰۱</w:t>
      </w:r>
      <w:r>
        <w:rPr>
          <w:rFonts w:ascii="Times New Roman" w:hAnsi="Times New Roman" w:eastAsia="Times New Roman"/>
          <w:sz w:val="26"/>
          <w:sz w:val="26"/>
          <w:szCs w:val="26"/>
          <w:rtl w:val="true"/>
          <w:lang w:val="en-US" w:bidi="fa-IR"/>
        </w:rPr>
        <w:t xml:space="preserve">؛ میانگین </w:t>
      </w:r>
      <w:r>
        <w:rPr>
          <w:rFonts w:ascii="Times New Roman" w:hAnsi="Times New Roman" w:eastAsia="Times New Roman"/>
          <w:sz w:val="26"/>
          <w:sz w:val="26"/>
          <w:szCs w:val="26"/>
          <w:lang w:val="en-US" w:bidi="fa-IR"/>
        </w:rPr>
        <w:t>۰٫۸۲</w:t>
      </w:r>
      <w:r>
        <w:rPr>
          <w:rFonts w:ascii="Times New Roman" w:hAnsi="Times New Roman" w:eastAsia="Times New Roman"/>
          <w:sz w:val="26"/>
          <w:sz w:val="26"/>
          <w:szCs w:val="26"/>
          <w:rtl w:val="true"/>
          <w:lang w:val="en-US" w:bidi="fa-IR"/>
        </w:rPr>
        <w:t xml:space="preserve"> در برابر </w:t>
      </w:r>
      <w:r>
        <w:rPr>
          <w:rFonts w:ascii="Times New Roman" w:hAnsi="Times New Roman" w:eastAsia="Times New Roman"/>
          <w:sz w:val="26"/>
          <w:sz w:val="26"/>
          <w:szCs w:val="26"/>
          <w:lang w:val="en-US" w:bidi="fa-IR"/>
        </w:rPr>
        <w:t>‎−۰٫۳۹‎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در اجرای ماهوی تفاوت معناداری نداشتند </w:t>
      </w:r>
      <w:r>
        <w:rPr>
          <w:rFonts w:eastAsia="Times New Roman" w:cs="B Nazanin"/>
          <w:sz w:val="26"/>
          <w:szCs w:val="26"/>
          <w:rtl w:val="true"/>
          <w:lang w:val="en-US" w:bidi="fa-IR"/>
        </w:rPr>
        <w:t>(</w:t>
      </w:r>
      <w:r>
        <w:rPr>
          <w:rFonts w:eastAsia="Times New Roman" w:cs="B Nazanin"/>
          <w:sz w:val="26"/>
          <w:szCs w:val="26"/>
          <w:lang w:val="en-US" w:bidi="fa-IR"/>
        </w:rPr>
        <w:t>F</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۰٫۳۰۶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سهم نیمرخ الزامی</w:t>
        <w:noBreakHyphen/>
        <w:t xml:space="preserve">تقلیدی در نهادهای اداری بیشتر بود </w:t>
      </w:r>
      <w:r>
        <w:rPr>
          <w:rFonts w:eastAsia="Times New Roman" w:cs="B Nazanin"/>
          <w:sz w:val="26"/>
          <w:szCs w:val="26"/>
          <w:rtl w:val="true"/>
          <w:lang w:val="en-US" w:bidi="fa-IR"/>
        </w:rPr>
        <w:t>(</w:t>
      </w:r>
      <w:r>
        <w:rPr>
          <w:rFonts w:eastAsia="Times New Roman" w:cs="B Nazanin"/>
          <w:sz w:val="26"/>
          <w:szCs w:val="26"/>
          <w:lang w:val="en-US" w:bidi="fa-IR"/>
        </w:rPr>
        <w:t>χ²(</w:t>
      </w:r>
      <w:r>
        <w:rPr>
          <w:rFonts w:ascii="Times New Roman" w:hAnsi="Times New Roman" w:eastAsia="Times New Roman"/>
          <w:sz w:val="26"/>
          <w:sz w:val="26"/>
          <w:szCs w:val="26"/>
          <w:lang w:val="en-US" w:bidi="fa-IR"/>
        </w:rPr>
        <w:t>۱</w:t>
      </w:r>
      <w:r>
        <w:rPr>
          <w:rFonts w:eastAsia="Times New Roman" w:cs="B Nazanin"/>
          <w:sz w:val="26"/>
          <w:szCs w:val="26"/>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۱۸٫۵</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کمتر از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فرضیهٔ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تأیید شد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۷</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نیمرخ‌های پنهان فشار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میانگین نمرهٔ عاملی استاندارد</w:t>
      </w:r>
      <w:r>
        <w:rPr>
          <w:rFonts w:eastAsia="Times New Roman" w:cs="B Zar"/>
          <w:b/>
          <w:bCs/>
          <w:sz w:val="20"/>
          <w:szCs w:val="20"/>
          <w:rtl w:val="true"/>
          <w:lang w:val="en-US" w:bidi="fa-IR"/>
        </w:rPr>
        <w:t>)</w:t>
      </w:r>
    </w:p>
    <w:tbl>
      <w:tblPr>
        <w:bidiVisual w:val="true"/>
        <w:tblW w:w="7400" w:type="dxa"/>
        <w:jc w:val="center"/>
        <w:tblInd w:w="0" w:type="dxa"/>
        <w:tblLayout w:type="fixed"/>
        <w:tblCellMar>
          <w:top w:w="0" w:type="dxa"/>
          <w:left w:w="60" w:type="dxa"/>
          <w:bottom w:w="0" w:type="dxa"/>
          <w:right w:w="60" w:type="dxa"/>
        </w:tblCellMar>
      </w:tblPr>
      <w:tblGrid>
        <w:gridCol w:w="2100"/>
        <w:gridCol w:w="649"/>
        <w:gridCol w:w="651"/>
        <w:gridCol w:w="800"/>
        <w:gridCol w:w="800"/>
        <w:gridCol w:w="800"/>
        <w:gridCol w:w="800"/>
        <w:gridCol w:w="799"/>
      </w:tblGrid>
      <w:tr>
        <w:trPr>
          <w:tblHeader w:val="true"/>
        </w:trPr>
        <w:tc>
          <w:tcPr>
            <w:tcW w:w="21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نیمرخ</w:t>
            </w:r>
          </w:p>
        </w:tc>
        <w:tc>
          <w:tcPr>
            <w:tcW w:w="6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تعداد</w:t>
            </w:r>
          </w:p>
        </w:tc>
        <w:tc>
          <w:tcPr>
            <w:tcW w:w="65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درصد</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الزامی</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هنجاری</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تقلیدی</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ماهوی</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نمادین</w:t>
            </w:r>
          </w:p>
        </w:tc>
      </w:tr>
      <w:tr>
        <w:trPr>
          <w:cantSplit w:val="true"/>
        </w:trPr>
        <w:tc>
          <w:tcPr>
            <w:tcW w:w="21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نیمرخ الف </w:t>
            </w:r>
            <w:r>
              <w:rPr>
                <w:rFonts w:eastAsia="Times New Roman" w:cs="B Nazanin"/>
                <w:sz w:val="20"/>
                <w:szCs w:val="20"/>
                <w:rtl w:val="true"/>
                <w:lang w:val="en-US" w:bidi="fa-IR"/>
              </w:rPr>
              <w:t>(</w:t>
            </w:r>
            <w:r>
              <w:rPr>
                <w:rFonts w:ascii="Times New Roman" w:hAnsi="Times New Roman" w:eastAsia="Times New Roman"/>
                <w:sz w:val="20"/>
                <w:sz w:val="20"/>
                <w:szCs w:val="20"/>
                <w:rtl w:val="true"/>
                <w:lang w:val="en-US" w:bidi="fa-IR"/>
              </w:rPr>
              <w:t>الزامی</w:t>
              <w:noBreakHyphen/>
              <w:t>تقلیدی</w:t>
            </w:r>
            <w:r>
              <w:rPr>
                <w:rFonts w:eastAsia="Times New Roman" w:cs="B Nazanin"/>
                <w:sz w:val="20"/>
                <w:szCs w:val="20"/>
                <w:rtl w:val="true"/>
                <w:lang w:val="en-US" w:bidi="fa-IR"/>
              </w:rPr>
              <w:t>)</w:t>
            </w:r>
          </w:p>
        </w:tc>
        <w:tc>
          <w:tcPr>
            <w:tcW w:w="64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۱۳۲</w:t>
            </w:r>
          </w:p>
        </w:tc>
        <w:tc>
          <w:tcPr>
            <w:tcW w:w="65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۳۲</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۱٫۰۵</w:t>
            </w:r>
          </w:p>
        </w:tc>
        <w:tc>
          <w:tcPr>
            <w:tcW w:w="8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۰٫۶۸‎</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۱٫۰۰</w:t>
            </w:r>
          </w:p>
        </w:tc>
        <w:tc>
          <w:tcPr>
            <w:tcW w:w="8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۰٫۰۷‎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۰٫۸۲</w:t>
            </w:r>
          </w:p>
        </w:tc>
      </w:tr>
      <w:tr>
        <w:trPr>
          <w:cantSplit w:val="true"/>
        </w:trPr>
        <w:tc>
          <w:tcPr>
            <w:tcW w:w="21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نیمرخ ب </w:t>
            </w:r>
            <w:r>
              <w:rPr>
                <w:rFonts w:eastAsia="Times New Roman" w:cs="B Nazanin"/>
                <w:sz w:val="20"/>
                <w:szCs w:val="20"/>
                <w:rtl w:val="true"/>
                <w:lang w:val="en-US" w:bidi="fa-IR"/>
              </w:rPr>
              <w:t>(</w:t>
            </w:r>
            <w:r>
              <w:rPr>
                <w:rFonts w:ascii="Times New Roman" w:hAnsi="Times New Roman" w:eastAsia="Times New Roman"/>
                <w:sz w:val="20"/>
                <w:sz w:val="20"/>
                <w:szCs w:val="20"/>
                <w:rtl w:val="true"/>
                <w:lang w:val="en-US" w:bidi="fa-IR"/>
              </w:rPr>
              <w:t>هنجارمحور</w:t>
            </w:r>
            <w:r>
              <w:rPr>
                <w:rFonts w:eastAsia="Times New Roman" w:cs="B Nazanin"/>
                <w:sz w:val="20"/>
                <w:szCs w:val="20"/>
                <w:rtl w:val="true"/>
                <w:lang w:val="en-US" w:bidi="fa-IR"/>
              </w:rPr>
              <w:t>)</w:t>
            </w:r>
          </w:p>
        </w:tc>
        <w:tc>
          <w:tcPr>
            <w:tcW w:w="64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۲۸۰</w:t>
            </w:r>
          </w:p>
        </w:tc>
        <w:tc>
          <w:tcPr>
            <w:tcW w:w="65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۶۸</w:t>
            </w:r>
          </w:p>
        </w:tc>
        <w:tc>
          <w:tcPr>
            <w:tcW w:w="8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۰٫۵۰‎</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۰٫۳۲</w:t>
            </w:r>
          </w:p>
        </w:tc>
        <w:tc>
          <w:tcPr>
            <w:tcW w:w="8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۰٫۴۷‎</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۰٫۰۳</w:t>
            </w:r>
          </w:p>
        </w:tc>
        <w:tc>
          <w:tcPr>
            <w:tcW w:w="7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۰٫۳۹‎</w:t>
            </w:r>
          </w:p>
        </w:tc>
      </w:tr>
    </w:tbl>
    <w:p>
      <w:pPr>
        <w:pStyle w:val="Normal"/>
        <w:bidi w:val="1"/>
        <w:spacing w:lineRule="auto" w:line="240" w:before="0" w:after="100"/>
        <w:ind w:firstLine="360"/>
        <w:jc w:val="both"/>
        <w:rPr/>
      </w:pPr>
      <w:r>
        <w:rPr>
          <w:rtl w:val="true"/>
        </w:rPr>
      </w:r>
    </w:p>
    <w:p>
      <w:pPr>
        <w:pStyle w:val="Normal"/>
        <w:keepNext w:val="true"/>
        <w:jc w:val="center"/>
        <w:rPr/>
      </w:pPr>
      <w:r>
        <w:rPr>
          <w:rtl w:val="true"/>
        </w:rPr>
        <w:drawing>
          <wp:inline distT="0" distB="0" distL="0" distR="0">
            <wp:extent cx="4860290" cy="2545715"/>
            <wp:effectExtent l="0" t="0" r="0" b="0"/>
            <wp:docPr id="5" name="Fig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 descr=""/>
                    <pic:cNvPicPr>
                      <a:picLocks noChangeAspect="1" noChangeArrowheads="1"/>
                    </pic:cNvPicPr>
                  </pic:nvPicPr>
                  <pic:blipFill>
                    <a:blip r:embed="rId12"/>
                    <a:stretch>
                      <a:fillRect/>
                    </a:stretch>
                  </pic:blipFill>
                  <pic:spPr bwMode="auto">
                    <a:xfrm>
                      <a:off x="0" y="0"/>
                      <a:ext cx="4860290" cy="254571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۵</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میانگین نمرهٔ عاملی استاندارد متغیرها در نیمرخ‌های پنهان</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۸</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استواری ضرایب استاندارد </w:t>
      </w:r>
      <w:r>
        <w:rPr>
          <w:rFonts w:eastAsia="Times New Roman" w:cs="B Zar"/>
          <w:b/>
          <w:bCs/>
          <w:sz w:val="20"/>
          <w:szCs w:val="20"/>
          <w:rtl w:val="true"/>
          <w:lang w:val="en-US" w:bidi="fa-IR"/>
        </w:rPr>
        <w:t>(</w:t>
      </w:r>
      <w:r>
        <w:rPr>
          <w:rFonts w:eastAsia="Times New Roman" w:cs="B Zar"/>
          <w:b/>
          <w:bCs/>
          <w:sz w:val="20"/>
          <w:szCs w:val="20"/>
          <w:lang w:val="en-US" w:bidi="fa-IR"/>
        </w:rPr>
        <w:t>DWLS</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بدون اثر متقابل</w:t>
      </w:r>
      <w:r>
        <w:rPr>
          <w:rFonts w:eastAsia="Times New Roman" w:cs="B Zar"/>
          <w:b/>
          <w:bCs/>
          <w:sz w:val="20"/>
          <w:szCs w:val="20"/>
          <w:rtl w:val="true"/>
          <w:lang w:val="en-US" w:bidi="fa-IR"/>
        </w:rPr>
        <w:t>)</w:t>
      </w:r>
    </w:p>
    <w:tbl>
      <w:tblPr>
        <w:bidiVisual w:val="true"/>
        <w:tblW w:w="7700" w:type="dxa"/>
        <w:jc w:val="center"/>
        <w:tblInd w:w="0" w:type="dxa"/>
        <w:tblLayout w:type="fixed"/>
        <w:tblCellMar>
          <w:top w:w="0" w:type="dxa"/>
          <w:left w:w="60" w:type="dxa"/>
          <w:bottom w:w="0" w:type="dxa"/>
          <w:right w:w="60" w:type="dxa"/>
        </w:tblCellMar>
      </w:tblPr>
      <w:tblGrid>
        <w:gridCol w:w="2500"/>
        <w:gridCol w:w="800"/>
        <w:gridCol w:w="800"/>
        <w:gridCol w:w="1400"/>
        <w:gridCol w:w="1199"/>
        <w:gridCol w:w="1000"/>
      </w:tblGrid>
      <w:tr>
        <w:trPr>
          <w:tblHeader w:val="true"/>
        </w:trPr>
        <w:tc>
          <w:tcPr>
            <w:tcW w:w="25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مسیر</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مبنا</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DWLS</w:t>
            </w:r>
          </w:p>
        </w:tc>
        <w:tc>
          <w:tcPr>
            <w:tcW w:w="14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باقی‌مانده‌مرکزشده</w:t>
            </w:r>
          </w:p>
        </w:tc>
        <w:tc>
          <w:tcPr>
            <w:tcW w:w="11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بازمشخص‌شده</w:t>
            </w:r>
          </w:p>
        </w:tc>
        <w:tc>
          <w:tcPr>
            <w:tcW w:w="10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 xml:space="preserve">حذف </w:t>
            </w:r>
            <w:r>
              <w:rPr>
                <w:rFonts w:ascii="Times New Roman" w:hAnsi="Times New Roman" w:eastAsia="Times New Roman"/>
                <w:b/>
                <w:b/>
                <w:bCs/>
                <w:sz w:val="20"/>
                <w:sz w:val="20"/>
                <w:szCs w:val="20"/>
                <w:lang w:val="en-US" w:bidi="fa-IR"/>
              </w:rPr>
              <w:t>۵</w:t>
            </w:r>
            <w:r>
              <w:rPr>
                <w:rFonts w:ascii="Times New Roman" w:hAnsi="Times New Roman" w:eastAsia="Times New Roman"/>
                <w:b/>
                <w:b/>
                <w:bCs/>
                <w:sz w:val="20"/>
                <w:sz w:val="20"/>
                <w:szCs w:val="20"/>
                <w:rtl w:val="true"/>
                <w:lang w:val="en-US" w:bidi="fa-IR"/>
              </w:rPr>
              <w:t xml:space="preserve"> درصد</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الزامی ← ماهوی</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۰٫۲۰</w:t>
            </w:r>
          </w:p>
        </w:tc>
        <w:tc>
          <w:tcPr>
            <w:tcW w:w="14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۰٫۱۸</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۰٫۲۳</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۰٫۱۹</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هنجاری ← ماهوی</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۰٫۳۷</w:t>
            </w:r>
          </w:p>
        </w:tc>
        <w:tc>
          <w:tcPr>
            <w:tcW w:w="14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۰٫۳۷</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۰٫۳۶</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۰٫۳۸</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الزامی ← نمادین</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۰٫۲۳</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۰٫۲۱</w:t>
            </w:r>
          </w:p>
        </w:tc>
        <w:tc>
          <w:tcPr>
            <w:tcW w:w="14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۰٫۲۲</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۰٫۲۳</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۰٫۲۳</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هنجاری ← نمادین</w:t>
            </w:r>
          </w:p>
        </w:tc>
        <w:tc>
          <w:tcPr>
            <w:tcW w:w="8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۰٫۱۹‎</w:t>
            </w:r>
          </w:p>
        </w:tc>
        <w:tc>
          <w:tcPr>
            <w:tcW w:w="8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۰٫۲۵‎</w:t>
            </w:r>
          </w:p>
        </w:tc>
        <w:tc>
          <w:tcPr>
            <w:tcW w:w="14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۰٫۲۴‎</w:t>
            </w:r>
          </w:p>
        </w:tc>
        <w:tc>
          <w:tcPr>
            <w:tcW w:w="1199"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۰٫۱۹‎</w:t>
            </w:r>
          </w:p>
        </w:tc>
        <w:tc>
          <w:tcPr>
            <w:tcW w:w="10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۰٫۲۲‎</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تقلیدی ← نمادین</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۰٫۳۳</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۰٫۳۷</w:t>
            </w:r>
          </w:p>
        </w:tc>
        <w:tc>
          <w:tcPr>
            <w:tcW w:w="14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۰٫۳۶</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۰٫۳۳</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۰٫۳۴</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الزامی </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هنجاری ← ماهوی</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۰٫۲۱</w:t>
            </w:r>
          </w:p>
        </w:tc>
        <w:tc>
          <w:tcPr>
            <w:tcW w:w="8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c>
          <w:tcPr>
            <w:tcW w:w="14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۰٫۲۱</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۰٫۲۱</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۰٫۱۷</w:t>
            </w:r>
          </w:p>
        </w:tc>
      </w:tr>
      <w:tr>
        <w:trPr>
          <w:cantSplit w:val="true"/>
        </w:trPr>
        <w:tc>
          <w:tcPr>
            <w:tcW w:w="25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الزامی </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تقلیدی ← نمادین</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۰٫۲۱</w:t>
            </w:r>
          </w:p>
        </w:tc>
        <w:tc>
          <w:tcPr>
            <w:tcW w:w="8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c>
          <w:tcPr>
            <w:tcW w:w="14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۰٫۲۰</w:t>
            </w:r>
          </w:p>
        </w:tc>
        <w:tc>
          <w:tcPr>
            <w:tcW w:w="11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۰٫۲۱</w:t>
            </w:r>
          </w:p>
        </w:tc>
        <w:tc>
          <w:tcPr>
            <w:tcW w:w="1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۰٫۱۶</w:t>
            </w:r>
          </w:p>
        </w:tc>
      </w:tr>
    </w:tbl>
    <w:p>
      <w:pPr>
        <w:pStyle w:val="Normal"/>
        <w:bidi w:val="1"/>
        <w:spacing w:lineRule="auto" w:line="240" w:before="0" w:after="100"/>
        <w:ind w:firstLine="360"/>
        <w:jc w:val="both"/>
        <w:rPr/>
      </w:pPr>
      <w:r>
        <w:rPr>
          <w:rtl w:val="true"/>
        </w:rPr>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 xml:space="preserve">نتایج در برآورد </w:t>
      </w:r>
      <w:r>
        <w:rPr>
          <w:rFonts w:eastAsia="Times New Roman" w:cs="B Nazanin"/>
          <w:sz w:val="26"/>
          <w:szCs w:val="26"/>
          <w:lang w:val="en-US" w:bidi="fa-IR"/>
        </w:rPr>
        <w:t>DWLS</w:t>
      </w:r>
      <w:r>
        <w:rPr>
          <w:rFonts w:ascii="Times New Roman" w:hAnsi="Times New Roman" w:eastAsia="Times New Roman"/>
          <w:sz w:val="26"/>
          <w:sz w:val="26"/>
          <w:szCs w:val="26"/>
          <w:rtl w:val="true"/>
          <w:lang w:val="en-US" w:bidi="fa-IR"/>
        </w:rPr>
        <w:t xml:space="preserve">، شاخص‌های باقی‌مانده‌مرکزشده </w:t>
      </w:r>
      <w:r>
        <w:rPr>
          <w:rFonts w:eastAsia="Times New Roman" w:cs="B Nazanin"/>
          <w:sz w:val="26"/>
          <w:szCs w:val="26"/>
          <w:rtl w:val="true"/>
          <w:lang w:val="en-US" w:bidi="fa-IR"/>
        </w:rPr>
        <w:t>(</w:t>
      </w:r>
      <w:r>
        <w:rPr>
          <w:rFonts w:eastAsia="Times New Roman" w:cs="B Nazanin"/>
          <w:sz w:val="26"/>
          <w:szCs w:val="26"/>
          <w:lang w:val="en-US" w:bidi="fa-IR"/>
        </w:rPr>
        <w:t>CFI</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۱٫۰۱۰</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مدل بازمشخص‌شده با چهار همبستگی خطای درون‌سازه‌ای </w:t>
      </w:r>
      <w:r>
        <w:rPr>
          <w:rFonts w:eastAsia="Times New Roman" w:cs="B Nazanin"/>
          <w:sz w:val="26"/>
          <w:szCs w:val="26"/>
          <w:rtl w:val="true"/>
          <w:lang w:val="en-US" w:bidi="fa-IR"/>
        </w:rPr>
        <w:t>(</w:t>
      </w:r>
      <w:r>
        <w:rPr>
          <w:rFonts w:eastAsia="Times New Roman" w:cs="B Nazanin"/>
          <w:sz w:val="26"/>
          <w:szCs w:val="26"/>
          <w:lang w:val="en-US" w:bidi="fa-IR"/>
        </w:rPr>
        <w:t>CFI</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۰٫۹۹۶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پس از حذف </w:t>
      </w:r>
      <w:r>
        <w:rPr>
          <w:rFonts w:ascii="Times New Roman" w:hAnsi="Times New Roman" w:eastAsia="Times New Roman"/>
          <w:sz w:val="26"/>
          <w:sz w:val="26"/>
          <w:szCs w:val="26"/>
          <w:lang w:val="en-US" w:bidi="fa-IR"/>
        </w:rPr>
        <w:t>۲۱</w:t>
      </w:r>
      <w:r>
        <w:rPr>
          <w:rFonts w:ascii="Times New Roman" w:hAnsi="Times New Roman" w:eastAsia="Times New Roman"/>
          <w:sz w:val="26"/>
          <w:sz w:val="26"/>
          <w:szCs w:val="26"/>
          <w:rtl w:val="true"/>
          <w:lang w:val="en-US" w:bidi="fa-IR"/>
        </w:rPr>
        <w:t xml:space="preserve"> مشاهدهٔ دورافتاده از نظر جهت و اندازه پایدار ماند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۸</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بحث</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چرا الزام به هنجار نیاز دارد؟</w:t>
      </w:r>
      <w:r>
        <w:rPr>
          <w:rFonts w:ascii="Times New Roman" w:hAnsi="Times New Roman" w:eastAsia="Times New Roman"/>
          <w:sz w:val="26"/>
          <w:sz w:val="26"/>
          <w:szCs w:val="26"/>
          <w:rtl w:val="true"/>
          <w:lang w:val="en-US" w:bidi="fa-IR"/>
        </w:rPr>
        <w:t xml:space="preserve"> الزام تنها می‌گوید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چه باید کرد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رفتار را قابل‌مشاهده می‌کند؛ این‌که اجرا چه معنایی دارد و با چه کیفیتی انجام شود، از معناسازی حرفه‌ای می‌آید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هنگامی که هنجار حرفه‌ای قوی است، مدیران مالی و ذی‌حسابان الزام را فرصتی برای اعمال استاندارد حرفه‌ای می‌بینند و آن را به تصمیم‌های بودجه‌ای وارد می‌کنند؛ هنگامی که هنجار ضعیف است، الزام به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انجام تکلیف</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تقلیل می‌یابد و هیچ اثری بر ماهیت ندارد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به همین دلیل اثر الزام در سطح پایین هنجار صفر بود، نه ضعیف</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چرا تقلید الزام را به آیین تبدیل می‌کند؟</w:t>
      </w:r>
      <w:r>
        <w:rPr>
          <w:rFonts w:ascii="Times New Roman" w:hAnsi="Times New Roman" w:eastAsia="Times New Roman"/>
          <w:sz w:val="26"/>
          <w:sz w:val="26"/>
          <w:szCs w:val="26"/>
          <w:rtl w:val="true"/>
          <w:lang w:val="en-US" w:bidi="fa-IR"/>
        </w:rPr>
        <w:t xml:space="preserve"> تقلید راه ارزان پاسخ‌دادن به الزام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وقتی قالب آماده و نمونهٔ دستگاه همتا وجود دارد، دستگاه می‌تواند بدون فهم و بدون تغییر در تصمیم‌ها، الزام را برآورده 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الزام بر انطباق نمادین تنها در حضور تقلید معنادار بود؛ یعنی الزام به‌تنهایی آیین نمی‌آفریند، بلکه الزامِ همراه با قالب آماده آیین می‌آفریند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یافته به سیاست‌گذار هشدار می‌دهد که توزیع قالب‌های یکسان و آماده را بدون هم‌زمانی با آموزش و بومی‌سازی ایمن نداند</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هم‌زیستی ظاهر و ماهیت</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همبستگی مثبت باقی‌مانده نشان می‌دهد دستگاه‌هایی که اصلاحات را جدی‌تر می‌گیرند، گزارش‌دهی رسمی را نیز بیشتر انجام می‌دهند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بنابراین سنجش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ظاهر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به‌تنهایی نمی‌تواند شاخص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ماهیت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باشد و باید هر دو جداگانه پایش شوند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هم‌زیستی با دیدگاه سازمان‌های چندمنطقی </w:t>
      </w:r>
      <w:r>
        <w:rPr>
          <w:rFonts w:eastAsia="Times New Roman" w:cs="B Nazanin"/>
          <w:sz w:val="26"/>
          <w:szCs w:val="26"/>
          <w:rtl w:val="true"/>
          <w:lang w:val="en-US" w:bidi="fa-IR"/>
        </w:rPr>
        <w:t>{</w:t>
      </w:r>
      <w:r>
        <w:rPr>
          <w:rFonts w:eastAsia="Times New Roman" w:cs="B Nazanin"/>
          <w:sz w:val="26"/>
          <w:szCs w:val="26"/>
          <w:lang w:val="en-US" w:bidi="fa-IR"/>
        </w:rPr>
        <w:t>C('greenwood</w:t>
      </w:r>
      <w:r>
        <w:rPr>
          <w:rFonts w:ascii="Times New Roman" w:hAnsi="Times New Roman" w:eastAsia="Times New Roman"/>
          <w:sz w:val="26"/>
          <w:sz w:val="26"/>
          <w:szCs w:val="26"/>
          <w:lang w:val="en-US" w:bidi="fa-IR"/>
        </w:rPr>
        <w:t>۲۰۱۱</w:t>
      </w:r>
      <w:r>
        <w:rPr>
          <w:rFonts w:eastAsia="Times New Roman" w:cs="B Nazanin"/>
          <w:sz w:val="26"/>
          <w:szCs w:val="26"/>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سازگار است که در آن سازمان‌ها ممکن است هم‌زمان به منطق‌های متفاوت پاسخ دهند</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ناهمگنی میان انواع دستگاه</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نهادهای خدماتی و محلی که حرفه‌ها و شبکه‌های حرفه‌ای قوی‌تری دارند، هنجار بیشتر به ماهیت ترجمه می‌شود، و در نهادهای اداری و حاکمیتی که ساختار سلسله‌مراتبی غالب است، الزام نقش اصلی دارد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تمایز نشان می‌دهد یک سیاست یکسان برای همهٔ دستگاه‌ها بهینه نیست؛ طراحی سیاست باید با پیکربندی دستگاه متناسب شود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نتیجه‌گیری و پیشنهادها</w:t>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 xml:space="preserve">این پژوهش نشان داد اثر فشارهای نهادی بر پاسخ دستگاه‌ها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جمع‌پذیر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نخست، الزام به‌تنهایی نه به ماهیت می‌انجامد و نه به ظاهر؛ معنای آن را سایر فشارها تعیین می‌کنند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هنجار حرفه‌ای، الزام به اجرای ماهوی می‌رسد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با الگوی آماده، به انطباق نمادین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 </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یافته گسترش‌دهندهٔ استدلال میزروچی و فاین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میزروچی و فاین، </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گرینوود و همکاران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گرینوود و همکاران، </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دربارهٔ درهم‌تنیدگی فشارها و تمایز کوستووا و راث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کوستووا و راث، </w:t>
      </w:r>
      <w:r>
        <w:rPr>
          <w:rFonts w:ascii="Times New Roman" w:hAnsi="Times New Roman" w:eastAsia="Times New Roman"/>
          <w:sz w:val="26"/>
          <w:sz w:val="26"/>
          <w:szCs w:val="26"/>
          <w:lang w:val="en-US" w:bidi="fa-IR"/>
        </w:rPr>
        <w:t>۲۰۰۲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میان پذیرش تشریفاتی و درونی‌سازی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دوم، اجرای ماهوی و انطباق نمادین با هم زندگی می‌کنند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 </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یعنی کاهش آیین‌گرایی لزوماً به‌معنای افزایش ماهیت نیست و برای هر دو باید هدف جداگانه تعریف کرد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سوم، رابطهٔ هنجار با ماهیت در نهادهای خدماتی و محلی قوی‌تر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 </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که هویت حرفه‌ای را به‌عنوان جانشین الزام نشان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چهارم، دستگاه‌ها در دو نیمرخ فشار قرار می‌گیرند که در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ظاهر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تفاوت بزرگ و در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ماهیت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تفاوت چشمگیری ندارند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 </w:t>
      </w:r>
      <w:r>
        <w:rPr>
          <w:rFonts w:ascii="Times New Roman" w:hAnsi="Times New Roman" w:eastAsia="Times New Roman"/>
          <w:sz w:val="26"/>
          <w:sz w:val="26"/>
          <w:szCs w:val="26"/>
          <w:lang w:val="en-US" w:bidi="fa-IR"/>
        </w:rPr>
        <w:t>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دستگاه‌های الزامی</w:t>
        <w:noBreakHyphen/>
        <w:t>تقلیدی بسیار بیشتر انطباق نمادین نشان می‌دهند، اما میزان اجرای ماهوی آن‌ها از دستگاه‌های هنجارمحور کمتر نیست؛ یعنی هزینهٔ فشار الزامی</w:t>
        <w:noBreakHyphen/>
        <w:t xml:space="preserve">تقلیدی بیشتر در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افزودن ظاهر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است تا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کاستن از ماهیت</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و این با یافتهٔ هم‌زیستی سازگار است</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 xml:space="preserve">از نظر نظری، پژوهش با گذار از اثرهای اصلی به پیکربندی، نشان می‌دهد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شدت فشار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مفهوم ناکافی است و باید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ترکیب فشار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را مدل کرد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از نظر روش، ترکیب اثر متقابل پنهان، ناوردایی چندگروهی و نیمرخ پنهان در یک چارچوب، استنباطی فراتر از رگرسیون‌های ساده با نمرات جمع‌شده فراهم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پیشنهادهای سیاستی</w:t>
      </w:r>
      <w:r>
        <w:rPr>
          <w:rFonts w:eastAsia="Times New Roman" w:cs="B Nazanin"/>
          <w:sz w:val="26"/>
          <w:szCs w:val="26"/>
          <w:rtl w:val="true"/>
          <w:lang w:val="en-US" w:bidi="fa-IR"/>
        </w:rPr>
        <w:t>: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هر جا الزام قانونی وضع می‌شود، هم‌زمان زیرساخت هنجاری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آموزش حرفه‌ای، گواهی، شبکهٔ هم‌آموزی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فراهم شود؛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ارائهٔ قالب‌های آماده و یکسان بدون راهنمای بومی‌سازی پرهیز شود، زیرا همراه با الزام ظاهر‌سازی را آسان می‌کند؛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برای نهادهای خدماتی و محلی بر هنجارها و جوامع حرفه‌ای و برای نهادهای اداری بر الزام همراه با نظارت کاربردی تأکید شود؛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دستگاه‌های الزامی</w:t>
        <w:noBreakHyphen/>
        <w:t xml:space="preserve">تقلیدی هدف نظارت مبتنی بر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استفاده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گزارش‌ها قرار گیرند؛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شاخص‌های ظاهر و ماهیت جداگانه پایش شوند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۹</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راهنمای سیاستی بر پایهٔ نیمرخ و نوع نهاد</w:t>
      </w:r>
    </w:p>
    <w:tbl>
      <w:tblPr>
        <w:bidiVisual w:val="true"/>
        <w:tblW w:w="7100" w:type="dxa"/>
        <w:jc w:val="center"/>
        <w:tblInd w:w="0" w:type="dxa"/>
        <w:tblLayout w:type="fixed"/>
        <w:tblCellMar>
          <w:top w:w="0" w:type="dxa"/>
          <w:left w:w="60" w:type="dxa"/>
          <w:bottom w:w="0" w:type="dxa"/>
          <w:right w:w="60" w:type="dxa"/>
        </w:tblCellMar>
      </w:tblPr>
      <w:tblGrid>
        <w:gridCol w:w="1400"/>
        <w:gridCol w:w="1500"/>
        <w:gridCol w:w="2500"/>
        <w:gridCol w:w="1699"/>
      </w:tblGrid>
      <w:tr>
        <w:trPr>
          <w:tblHeader w:val="true"/>
        </w:trPr>
        <w:tc>
          <w:tcPr>
            <w:tcW w:w="14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گروه</w:t>
            </w:r>
          </w:p>
        </w:tc>
        <w:tc>
          <w:tcPr>
            <w:tcW w:w="15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هدف</w:t>
            </w:r>
          </w:p>
        </w:tc>
        <w:tc>
          <w:tcPr>
            <w:tcW w:w="25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ابزار پیشنهادی</w:t>
            </w:r>
          </w:p>
        </w:tc>
        <w:tc>
          <w:tcPr>
            <w:tcW w:w="16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نشانگر پایش</w:t>
            </w:r>
          </w:p>
        </w:tc>
      </w:tr>
      <w:tr>
        <w:trPr>
          <w:cantSplit w:val="true"/>
        </w:trPr>
        <w:tc>
          <w:tcPr>
            <w:tcW w:w="14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الزامی</w:t>
              <w:noBreakHyphen/>
              <w:t>تقلیدی</w:t>
            </w:r>
          </w:p>
        </w:tc>
        <w:tc>
          <w:tcPr>
            <w:tcW w:w="1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کاهش انطباق نمادین بدون کاستن از اجرا</w:t>
            </w:r>
          </w:p>
        </w:tc>
        <w:tc>
          <w:tcPr>
            <w:tcW w:w="2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نظارت مبتنی بر استفاده از گزارش در تصمیم؛ راهنمای بومی‌سازی قالب‌ها؛ بازنگری شاخص‌های سهل‌الوصول</w:t>
            </w:r>
          </w:p>
        </w:tc>
        <w:tc>
          <w:tcPr>
            <w:tcW w:w="16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نسبت گزارش‌های مورداستفاده در تخصیص به گزارش‌های ارسالی</w:t>
            </w:r>
          </w:p>
        </w:tc>
      </w:tr>
      <w:tr>
        <w:trPr>
          <w:cantSplit w:val="true"/>
        </w:trPr>
        <w:tc>
          <w:tcPr>
            <w:tcW w:w="14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هنجارمحور</w:t>
            </w:r>
          </w:p>
        </w:tc>
        <w:tc>
          <w:tcPr>
            <w:tcW w:w="1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تثبیت و گسترش اجرای ماهوی</w:t>
            </w:r>
          </w:p>
        </w:tc>
        <w:tc>
          <w:tcPr>
            <w:tcW w:w="2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جوامع هم‌آموزی، گواهی حرفه‌ای، الگوسازی توسط مدیران مالی پیشرو</w:t>
            </w:r>
          </w:p>
        </w:tc>
        <w:tc>
          <w:tcPr>
            <w:tcW w:w="16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کیفیت به‌کارگیری بهای تمام‌شده و اطلاعات تعهدی در بودجه</w:t>
            </w:r>
          </w:p>
        </w:tc>
      </w:tr>
      <w:tr>
        <w:trPr>
          <w:cantSplit w:val="true"/>
        </w:trPr>
        <w:tc>
          <w:tcPr>
            <w:tcW w:w="14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دستگاه‌های اداری و حاکمیتی</w:t>
            </w:r>
          </w:p>
        </w:tc>
        <w:tc>
          <w:tcPr>
            <w:tcW w:w="1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تبدیل الزام به ماهیت</w:t>
            </w:r>
          </w:p>
        </w:tc>
        <w:tc>
          <w:tcPr>
            <w:tcW w:w="2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ترکیب بخشنامه با آموزش حرفه‌ای هم‌زمان؛ شاخص‌های ماهیت در ارزیابی عملکرد</w:t>
            </w:r>
          </w:p>
        </w:tc>
        <w:tc>
          <w:tcPr>
            <w:tcW w:w="16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تغییر اثر الزام در سطوح مختلف هنجار</w:t>
            </w:r>
          </w:p>
        </w:tc>
      </w:tr>
      <w:tr>
        <w:trPr>
          <w:cantSplit w:val="true"/>
        </w:trPr>
        <w:tc>
          <w:tcPr>
            <w:tcW w:w="14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نهادهای خدماتی و محلی</w:t>
            </w:r>
          </w:p>
        </w:tc>
        <w:tc>
          <w:tcPr>
            <w:tcW w:w="15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بهره‌گیری از هویت حرفه‌ای</w:t>
            </w:r>
          </w:p>
        </w:tc>
        <w:tc>
          <w:tcPr>
            <w:tcW w:w="25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تقویت شبکه‌های حرفه‌ای و دانشگاهی؛ کاهش اتکا به قالب‌های آمادهٔ بیرونی</w:t>
            </w:r>
          </w:p>
        </w:tc>
        <w:tc>
          <w:tcPr>
            <w:tcW w:w="16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سهم تصمیم‌های بودجه‌ای مبتنی بر اطلاعات تعهدی</w:t>
            </w:r>
          </w:p>
        </w:tc>
      </w:tr>
    </w:tbl>
    <w:p>
      <w:pPr>
        <w:pStyle w:val="Normal"/>
        <w:bidi w:val="1"/>
        <w:spacing w:lineRule="auto" w:line="240" w:before="0" w:after="100"/>
        <w:ind w:firstLine="360"/>
        <w:jc w:val="both"/>
        <w:rPr/>
      </w:pPr>
      <w:r>
        <w:rPr>
          <w:rtl w:val="true"/>
        </w:rPr>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دلالت‌های نظری</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نخست، یافته‌ها نشان می‌دهد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فشار نهادی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را نمی‌توان یک شدت واحد دانست؛ ساختار ترکیب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کدام فشار در کنار کدام</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پیش‌بینی‌کننده‌تر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دوم، تمایز اجرای ماهوی و انطباق نمادین به‌عنوان دو سازهٔ هم‌زیست، مفهوم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جدایی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را از یک پیوستار یک‌بعدی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ماهیت </w:t>
        <w:noBreakHyphen/>
        <w:t xml:space="preserve"> ظاهر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به دو بعد مستقل گسترش می‌دهد؛ یک دستگاه می‌تواند هر دو را هم‌زمان داشته باشد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سوم، اثر متقابل پنهان در مدل کاملاً پنهان خطای اندازه‌گیری را مهار می‌کند و از این رو برآوردها محافظه‌کارانه‌تر از رگرسیون با نمرات جمع‌شده‌اند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چهارم، مقایسهٔ گروهی پس از اثبات ناوردایی نشان می‌دهد تفاوت مسیرها به تفاوت اندازه‌گیری نسبت داده نمی‌شود</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b/>
          <w:b/>
          <w:bCs/>
          <w:sz w:val="26"/>
          <w:sz w:val="26"/>
          <w:szCs w:val="26"/>
          <w:rtl w:val="true"/>
          <w:lang w:val="en-US" w:bidi="fa-IR"/>
        </w:rPr>
        <w:t>هشدار تفسیری</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مدل‌ها همبستگی‌های شرطی را نشان می‌دهند و استنباط علّی نیازمند طرح‌های آزمایشی یا طولی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هم‌چنین چون هر دو پاسخ با گزارش مدیران سنجیده شده، ممکن است مدیران پاسخ نمادین را کمتر از واقع اعلام کنند؛ با این حال ثبات نتایج در بررسی سوگیری روش مشترک و همبستگی مثبت باقی‌مانده دو پاسخ این نگرانی را کاهش می‌دهد</w:t>
      </w:r>
      <w:r>
        <w:rPr>
          <w:rFonts w:eastAsia="Times New Roman" w:cs="B Nazanin"/>
          <w:sz w:val="26"/>
          <w:szCs w:val="26"/>
          <w:rtl w:val="true"/>
          <w:lang w:val="en-US" w:bidi="fa-IR"/>
        </w:rPr>
        <w:t>.</w:t>
      </w:r>
    </w:p>
    <w:p>
      <w:pPr>
        <w:pStyle w:val="Normal"/>
        <w:bidi w:val="1"/>
        <w:spacing w:lineRule="auto" w:line="240" w:before="0" w:after="60"/>
        <w:ind w:firstLine="360"/>
        <w:jc w:val="both"/>
        <w:rPr/>
      </w:pPr>
      <w:r>
        <w:rPr>
          <w:rFonts w:ascii="Times New Roman" w:hAnsi="Times New Roman" w:eastAsia="Times New Roman"/>
          <w:sz w:val="26"/>
          <w:sz w:val="26"/>
          <w:szCs w:val="26"/>
          <w:rtl w:val="true"/>
          <w:lang w:val="en-US" w:bidi="fa-IR"/>
        </w:rPr>
        <w:t>محدودیت‌ها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طرح مقطعی و خوداظهاری، مقیاس‌های تازه‌ساخته، گروه‌بندی دوگانهٔ نهادها و تعداد کم نیمرخ‌ها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پیشنهاد می‌شود پژوهش‌های آینده از داده‌های چندمنبعی و عینی، طرح‌های طولی و آزمایش‌های میدانی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برای نمونه تغییر دادن هم‌زمان الزام و آموزش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استفاده کنند، اثر متقابل سه‌گانهٔ فشارها و نقش رهبری و ظرفیت سازمانی را بیازمایند و مقایسهٔ میان‌کشوری انجام دهند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منابع</w:t>
      </w:r>
    </w:p>
    <w:p>
      <w:pPr>
        <w:pStyle w:val="Normal"/>
        <w:bidi w:val="1"/>
        <w:spacing w:lineRule="auto" w:line="240" w:before="0" w:after="40"/>
        <w:jc w:val="both"/>
        <w:rPr/>
      </w:pPr>
      <w:r>
        <w:rPr>
          <w:rFonts w:ascii="Times New Roman" w:hAnsi="Times New Roman" w:eastAsia="Times New Roman"/>
          <w:sz w:val="24"/>
          <w:sz w:val="24"/>
          <w:szCs w:val="24"/>
          <w:rtl w:val="true"/>
          <w:lang w:val="en-US" w:bidi="fa-IR"/>
        </w:rPr>
        <w:t xml:space="preserve">احمدی، غلامرضا؛ ناظمی، امین و نمازی، نویدرضا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شناسایی سازه‌های اثرگذار بر میزان اجرای بودجه‌ریزی مبتنی بر عملکرد با تأکید بر نظریهٔ شبکهٔ کنشگران</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پیشرفت‌های حسابداری، </w:t>
      </w:r>
      <w:r>
        <w:rPr>
          <w:rFonts w:ascii="Times New Roman" w:hAnsi="Times New Roman" w:eastAsia="Times New Roman"/>
          <w:sz w:val="24"/>
          <w:sz w:val="24"/>
          <w:szCs w:val="24"/>
          <w:lang w:val="en-US" w:bidi="fa-IR"/>
        </w:rPr>
        <w:t>۱۴</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۲</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۱</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۳۷</w:t>
      </w:r>
      <w:r>
        <w:rPr>
          <w:rFonts w:eastAsia="Times New Roman" w:cs="B Nazanin"/>
          <w:sz w:val="24"/>
          <w:szCs w:val="24"/>
          <w:rtl w:val="true"/>
          <w:lang w:val="en-US" w:bidi="fa-IR"/>
        </w:rPr>
        <w:t>.</w:t>
      </w:r>
    </w:p>
    <w:p>
      <w:pPr>
        <w:pStyle w:val="Normal"/>
        <w:bidi w:val="1"/>
        <w:spacing w:lineRule="auto" w:line="240" w:before="0" w:after="40"/>
        <w:jc w:val="both"/>
        <w:rPr/>
      </w:pPr>
      <w:r>
        <w:rPr>
          <w:rFonts w:ascii="Times New Roman" w:hAnsi="Times New Roman" w:eastAsia="Times New Roman"/>
          <w:sz w:val="24"/>
          <w:sz w:val="24"/>
          <w:szCs w:val="24"/>
          <w:rtl w:val="true"/>
          <w:lang w:val="en-US" w:bidi="fa-IR"/>
        </w:rPr>
        <w:t xml:space="preserve">ناروئی، عبدالرحمان؛ مؤمنی، علیرضا و گرد، عزیز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۱۳۹۹</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تدوین و ارزیابی مدل مطلوب نظام حسابداری تعهدی در بخش عمومی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مطالعهٔ موردی</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مدیران و ذی‌حسابان دستگاه‌های اجرایی</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حسابداری دولتی، </w:t>
      </w:r>
      <w:r>
        <w:rPr>
          <w:rFonts w:ascii="Times New Roman" w:hAnsi="Times New Roman" w:eastAsia="Times New Roman"/>
          <w:sz w:val="24"/>
          <w:sz w:val="24"/>
          <w:szCs w:val="24"/>
          <w:lang w:val="en-US" w:bidi="fa-IR"/>
        </w:rPr>
        <w:t>۶</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۲</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۴۷</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۶۰</w:t>
      </w:r>
      <w:r>
        <w:rPr>
          <w:rFonts w:eastAsia="Times New Roman" w:cs="B Nazanin"/>
          <w:sz w:val="24"/>
          <w:szCs w:val="24"/>
          <w:rtl w:val="true"/>
          <w:lang w:val="en-US" w:bidi="fa-IR"/>
        </w:rPr>
        <w:t>.</w:t>
      </w:r>
    </w:p>
    <w:p>
      <w:pPr>
        <w:pStyle w:val="Normal"/>
        <w:bidi w:val="1"/>
        <w:spacing w:lineRule="auto" w:line="240" w:before="0" w:after="40"/>
        <w:jc w:val="both"/>
        <w:rPr/>
      </w:pPr>
      <w:r>
        <w:rPr>
          <w:rFonts w:ascii="Times New Roman" w:hAnsi="Times New Roman" w:eastAsia="Times New Roman"/>
          <w:sz w:val="24"/>
          <w:sz w:val="24"/>
          <w:szCs w:val="24"/>
          <w:rtl w:val="true"/>
          <w:lang w:val="en-US" w:bidi="fa-IR"/>
        </w:rPr>
        <w:t xml:space="preserve">نورانی، حسین و اخلاقی یزدی‌نژاد، اسماعیل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ارائهٔ الگوی رفع چالش‌ها و تنگناهای استانداردهای حسابداری بخش عمومی با استفاده از نظریهٔ داده‌بنیاد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حسابداری دولتی، </w:t>
      </w:r>
      <w:r>
        <w:rPr>
          <w:rFonts w:ascii="Times New Roman" w:hAnsi="Times New Roman" w:eastAsia="Times New Roman"/>
          <w:sz w:val="24"/>
          <w:sz w:val="24"/>
          <w:szCs w:val="24"/>
          <w:lang w:val="en-US" w:bidi="fa-IR"/>
        </w:rPr>
        <w:t>۹</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۱۸</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۱۵۱</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۱۶۸</w:t>
      </w:r>
      <w:r>
        <w:rPr>
          <w:rFonts w:eastAsia="Times New Roman" w:cs="B Nazanin"/>
          <w:sz w:val="24"/>
          <w:szCs w:val="24"/>
          <w:rtl w:val="true"/>
          <w:lang w:val="en-US" w:bidi="fa-IR"/>
        </w:rPr>
        <w:t>.</w:t>
      </w:r>
    </w:p>
    <w:p>
      <w:pPr>
        <w:pStyle w:val="Normal"/>
        <w:bidi w:val="1"/>
        <w:spacing w:lineRule="auto" w:line="240" w:before="0" w:after="40"/>
        <w:jc w:val="both"/>
        <w:rPr/>
      </w:pPr>
      <w:r>
        <w:rPr>
          <w:rFonts w:ascii="Times New Roman" w:hAnsi="Times New Roman" w:eastAsia="Times New Roman"/>
          <w:sz w:val="24"/>
          <w:sz w:val="24"/>
          <w:szCs w:val="24"/>
          <w:rtl w:val="true"/>
          <w:lang w:val="en-US" w:bidi="fa-IR"/>
        </w:rPr>
        <w:t xml:space="preserve">پورغفار، جواد؛ محمدزاده سالطه، حیدر؛ زینالی، مهدی و مهرانی، ساسان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۱۴۰۱</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الگوی بودجه‌ریزی بر مبنای عملکرد با رویکرد گزارشگری مالی بهنگام در بخش عمومی ایران</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حسابداری دولتی، </w:t>
      </w:r>
      <w:r>
        <w:rPr>
          <w:rFonts w:ascii="Times New Roman" w:hAnsi="Times New Roman" w:eastAsia="Times New Roman"/>
          <w:sz w:val="24"/>
          <w:sz w:val="24"/>
          <w:szCs w:val="24"/>
          <w:lang w:val="en-US" w:bidi="fa-IR"/>
        </w:rPr>
        <w:t>۸</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۲</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۲۱</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۳۶</w:t>
      </w:r>
      <w:r>
        <w:rPr>
          <w:rFonts w:eastAsia="Times New Roman" w:cs="B Nazanin"/>
          <w:sz w:val="24"/>
          <w:szCs w:val="24"/>
          <w:rtl w:val="true"/>
          <w:lang w:val="en-US" w:bidi="fa-IR"/>
        </w:rPr>
        <w:t>.</w:t>
      </w:r>
    </w:p>
    <w:p>
      <w:pPr>
        <w:pStyle w:val="Normal"/>
        <w:spacing w:lineRule="auto" w:line="240" w:before="0" w:after="40"/>
        <w:ind w:hanging="567" w:left="567"/>
        <w:jc w:val="left"/>
        <w:rPr/>
      </w:pPr>
      <w:r>
        <w:rPr>
          <w:rFonts w:eastAsia="Times New Roman" w:cs="Times New Roman"/>
          <w:sz w:val="22"/>
          <w:szCs w:val="22"/>
          <w:lang w:val="en-US" w:bidi="fa-IR"/>
        </w:rPr>
        <w:t xml:space="preserve">Brignall, S., &amp; Modell, S. (2000). An institutional perspective on performance measurement and management in the “new public sector”. </w:t>
      </w:r>
      <w:r>
        <w:rPr>
          <w:rFonts w:eastAsia="Times New Roman" w:cs="Times New Roman"/>
          <w:i/>
          <w:iCs/>
          <w:sz w:val="22"/>
          <w:szCs w:val="22"/>
          <w:lang w:val="en-US" w:bidi="fa-IR"/>
        </w:rPr>
        <w:t>Management Accounting Research, 11</w:t>
      </w:r>
      <w:r>
        <w:rPr>
          <w:rFonts w:eastAsia="Times New Roman" w:cs="Times New Roman"/>
          <w:sz w:val="22"/>
          <w:szCs w:val="22"/>
          <w:lang w:val="en-US" w:bidi="fa-IR"/>
        </w:rPr>
        <w:t>(3), 281–306. https://doi.org/10.1006/mare.2000.0136</w:t>
      </w:r>
    </w:p>
    <w:p>
      <w:pPr>
        <w:pStyle w:val="Normal"/>
        <w:spacing w:lineRule="auto" w:line="240" w:before="0" w:after="40"/>
        <w:ind w:hanging="567" w:left="567"/>
        <w:jc w:val="left"/>
        <w:rPr/>
      </w:pPr>
      <w:r>
        <w:rPr>
          <w:rFonts w:eastAsia="Times New Roman" w:cs="Times New Roman"/>
          <w:sz w:val="22"/>
          <w:szCs w:val="22"/>
          <w:lang w:val="en-US" w:bidi="fa-IR"/>
        </w:rPr>
        <w:t xml:space="preserve">Bromley, P., &amp; Powell, W. W. (2012). From smoke and mirrors to walking the talk: Decoupling in the contemporary world. </w:t>
      </w:r>
      <w:r>
        <w:rPr>
          <w:rFonts w:eastAsia="Times New Roman" w:cs="Times New Roman"/>
          <w:i/>
          <w:iCs/>
          <w:sz w:val="22"/>
          <w:szCs w:val="22"/>
          <w:lang w:val="en-US" w:bidi="fa-IR"/>
        </w:rPr>
        <w:t>Academy of Management Annals, 6</w:t>
      </w:r>
      <w:r>
        <w:rPr>
          <w:rFonts w:eastAsia="Times New Roman" w:cs="Times New Roman"/>
          <w:sz w:val="22"/>
          <w:szCs w:val="22"/>
          <w:lang w:val="en-US" w:bidi="fa-IR"/>
        </w:rPr>
        <w:t>(1), 483–530. https://doi.org/10.5465/19416520.2012.684462</w:t>
      </w:r>
    </w:p>
    <w:p>
      <w:pPr>
        <w:pStyle w:val="Normal"/>
        <w:spacing w:lineRule="auto" w:line="240" w:before="0" w:after="40"/>
        <w:ind w:hanging="567" w:left="567"/>
        <w:jc w:val="left"/>
        <w:rPr/>
      </w:pPr>
      <w:r>
        <w:rPr>
          <w:rFonts w:eastAsia="Times New Roman" w:cs="Times New Roman"/>
          <w:sz w:val="22"/>
          <w:szCs w:val="22"/>
          <w:lang w:val="en-US" w:bidi="fa-IR"/>
        </w:rPr>
        <w:t xml:space="preserve">Chen, F. F. (2007). Sensitivity of goodness of fit indexes to lack of measurement invariance. </w:t>
      </w:r>
      <w:r>
        <w:rPr>
          <w:rFonts w:eastAsia="Times New Roman" w:cs="Times New Roman"/>
          <w:i/>
          <w:iCs/>
          <w:sz w:val="22"/>
          <w:szCs w:val="22"/>
          <w:lang w:val="en-US" w:bidi="fa-IR"/>
        </w:rPr>
        <w:t>Structural Equation Modeling, 14</w:t>
      </w:r>
      <w:r>
        <w:rPr>
          <w:rFonts w:eastAsia="Times New Roman" w:cs="Times New Roman"/>
          <w:sz w:val="22"/>
          <w:szCs w:val="22"/>
          <w:lang w:val="en-US" w:bidi="fa-IR"/>
        </w:rPr>
        <w:t>(3), 464–504. https://doi.org/10.1080/10705510701301834</w:t>
      </w:r>
    </w:p>
    <w:p>
      <w:pPr>
        <w:pStyle w:val="Normal"/>
        <w:spacing w:lineRule="auto" w:line="240" w:before="0" w:after="40"/>
        <w:ind w:hanging="567" w:left="567"/>
        <w:jc w:val="left"/>
        <w:rPr/>
      </w:pPr>
      <w:r>
        <w:rPr>
          <w:rFonts w:eastAsia="Times New Roman" w:cs="Times New Roman"/>
          <w:sz w:val="22"/>
          <w:szCs w:val="22"/>
          <w:lang w:val="en-US" w:bidi="fa-IR"/>
        </w:rPr>
        <w:t xml:space="preserve">Cheung, G. W., &amp; Rensvold, R. B. (2002). Evaluating goodness-of-fit indexes for testing measurement invariance. </w:t>
      </w:r>
      <w:r>
        <w:rPr>
          <w:rFonts w:eastAsia="Times New Roman" w:cs="Times New Roman"/>
          <w:i/>
          <w:iCs/>
          <w:sz w:val="22"/>
          <w:szCs w:val="22"/>
          <w:lang w:val="en-US" w:bidi="fa-IR"/>
        </w:rPr>
        <w:t>Structural Equation Modeling, 9</w:t>
      </w:r>
      <w:r>
        <w:rPr>
          <w:rFonts w:eastAsia="Times New Roman" w:cs="Times New Roman"/>
          <w:sz w:val="22"/>
          <w:szCs w:val="22"/>
          <w:lang w:val="en-US" w:bidi="fa-IR"/>
        </w:rPr>
        <w:t>(2), 233–255. https://doi.org/10.1207/S15328007SEM0902_5</w:t>
      </w:r>
    </w:p>
    <w:p>
      <w:pPr>
        <w:pStyle w:val="Normal"/>
        <w:spacing w:lineRule="auto" w:line="240" w:before="0" w:after="40"/>
        <w:ind w:hanging="567" w:left="567"/>
        <w:jc w:val="left"/>
        <w:rPr/>
      </w:pPr>
      <w:r>
        <w:rPr>
          <w:rFonts w:eastAsia="Times New Roman" w:cs="Times New Roman"/>
          <w:sz w:val="22"/>
          <w:szCs w:val="22"/>
          <w:lang w:val="en-US" w:bidi="fa-IR"/>
        </w:rPr>
        <w:t xml:space="preserve">Christiaens, J., Reyniers, B., &amp; Rollé, C. (2010). Impact of IPSAS on reforming governmental financial information systems: A comparative study. </w:t>
      </w:r>
      <w:r>
        <w:rPr>
          <w:rFonts w:eastAsia="Times New Roman" w:cs="Times New Roman"/>
          <w:i/>
          <w:iCs/>
          <w:sz w:val="22"/>
          <w:szCs w:val="22"/>
          <w:lang w:val="en-US" w:bidi="fa-IR"/>
        </w:rPr>
        <w:t>International Review of Administrative Sciences, 76</w:t>
      </w:r>
      <w:r>
        <w:rPr>
          <w:rFonts w:eastAsia="Times New Roman" w:cs="Times New Roman"/>
          <w:sz w:val="22"/>
          <w:szCs w:val="22"/>
          <w:lang w:val="en-US" w:bidi="fa-IR"/>
        </w:rPr>
        <w:t>(3), 537–554. https://doi.org/10.1177/0020852310372450</w:t>
      </w:r>
    </w:p>
    <w:p>
      <w:pPr>
        <w:pStyle w:val="Normal"/>
        <w:spacing w:lineRule="auto" w:line="240" w:before="0" w:after="40"/>
        <w:ind w:hanging="567" w:left="567"/>
        <w:jc w:val="left"/>
        <w:rPr/>
      </w:pPr>
      <w:r>
        <w:rPr>
          <w:rFonts w:eastAsia="Times New Roman" w:cs="Times New Roman"/>
          <w:sz w:val="22"/>
          <w:szCs w:val="22"/>
          <w:lang w:val="en-US" w:bidi="fa-IR"/>
        </w:rPr>
        <w:t xml:space="preserve">Christiaens, J., Vanhee, C., Manes-Rossi, F., Aversano, N., &amp; Van Cauwenberge, P. (2015). The effect of IPSAS on reforming governmental financial reporting: An international comparison. </w:t>
      </w:r>
      <w:r>
        <w:rPr>
          <w:rFonts w:eastAsia="Times New Roman" w:cs="Times New Roman"/>
          <w:i/>
          <w:iCs/>
          <w:sz w:val="22"/>
          <w:szCs w:val="22"/>
          <w:lang w:val="en-US" w:bidi="fa-IR"/>
        </w:rPr>
        <w:t>International Review of Administrative Sciences, 81</w:t>
      </w:r>
      <w:r>
        <w:rPr>
          <w:rFonts w:eastAsia="Times New Roman" w:cs="Times New Roman"/>
          <w:sz w:val="22"/>
          <w:szCs w:val="22"/>
          <w:lang w:val="en-US" w:bidi="fa-IR"/>
        </w:rPr>
        <w:t>(1), 158–177. https://doi.org/10.1177/0020852314546580</w:t>
      </w:r>
    </w:p>
    <w:p>
      <w:pPr>
        <w:pStyle w:val="Normal"/>
        <w:spacing w:lineRule="auto" w:line="240" w:before="0" w:after="40"/>
        <w:ind w:hanging="567" w:left="567"/>
        <w:jc w:val="left"/>
        <w:rPr/>
      </w:pPr>
      <w:r>
        <w:rPr>
          <w:rFonts w:eastAsia="Times New Roman" w:cs="Times New Roman"/>
          <w:sz w:val="22"/>
          <w:szCs w:val="22"/>
          <w:lang w:val="en-US" w:bidi="fa-IR"/>
        </w:rPr>
        <w:t xml:space="preserve">DiMaggio, P. J., &amp; Powell, W. W. (1983). The iron cage revisited: Institutional isomorphism and collective rationality in organizational fields. </w:t>
      </w:r>
      <w:r>
        <w:rPr>
          <w:rFonts w:eastAsia="Times New Roman" w:cs="Times New Roman"/>
          <w:i/>
          <w:iCs/>
          <w:sz w:val="22"/>
          <w:szCs w:val="22"/>
          <w:lang w:val="en-US" w:bidi="fa-IR"/>
        </w:rPr>
        <w:t>American Sociological Review, 48</w:t>
      </w:r>
      <w:r>
        <w:rPr>
          <w:rFonts w:eastAsia="Times New Roman" w:cs="Times New Roman"/>
          <w:sz w:val="22"/>
          <w:szCs w:val="22"/>
          <w:lang w:val="en-US" w:bidi="fa-IR"/>
        </w:rPr>
        <w:t>(2), 147–160. https://doi.org/10.2307/2095101</w:t>
      </w:r>
    </w:p>
    <w:p>
      <w:pPr>
        <w:pStyle w:val="Normal"/>
        <w:spacing w:lineRule="auto" w:line="240" w:before="0" w:after="40"/>
        <w:ind w:hanging="567" w:left="567"/>
        <w:jc w:val="left"/>
        <w:rPr/>
      </w:pPr>
      <w:r>
        <w:rPr>
          <w:rFonts w:eastAsia="Times New Roman" w:cs="Times New Roman"/>
          <w:sz w:val="22"/>
          <w:szCs w:val="22"/>
          <w:lang w:val="en-US" w:bidi="fa-IR"/>
        </w:rPr>
        <w:t xml:space="preserve">Fornell, C., &amp; Larcker, D. F. (1981). Evaluating structural equation models with unobservable variables and measurement error. </w:t>
      </w:r>
      <w:r>
        <w:rPr>
          <w:rFonts w:eastAsia="Times New Roman" w:cs="Times New Roman"/>
          <w:i/>
          <w:iCs/>
          <w:sz w:val="22"/>
          <w:szCs w:val="22"/>
          <w:lang w:val="en-US" w:bidi="fa-IR"/>
        </w:rPr>
        <w:t>Journal of Marketing Research, 18</w:t>
      </w:r>
      <w:r>
        <w:rPr>
          <w:rFonts w:eastAsia="Times New Roman" w:cs="Times New Roman"/>
          <w:sz w:val="22"/>
          <w:szCs w:val="22"/>
          <w:lang w:val="en-US" w:bidi="fa-IR"/>
        </w:rPr>
        <w:t>(1), 39–50. https://doi.org/10.1177/002224378101800104</w:t>
      </w:r>
    </w:p>
    <w:p>
      <w:pPr>
        <w:pStyle w:val="Normal"/>
        <w:spacing w:lineRule="auto" w:line="240" w:before="0" w:after="40"/>
        <w:ind w:hanging="567" w:left="567"/>
        <w:jc w:val="left"/>
        <w:rPr/>
      </w:pPr>
      <w:r>
        <w:rPr>
          <w:rFonts w:eastAsia="Times New Roman" w:cs="Times New Roman"/>
          <w:sz w:val="22"/>
          <w:szCs w:val="22"/>
          <w:lang w:val="en-US" w:bidi="fa-IR"/>
        </w:rPr>
        <w:t xml:space="preserve">Greenwood, R., Raynard, M., Kodeih, F., Micelotta, E. R., &amp; Lounsbury, M. (2011). Institutional complexity and organizational responses. </w:t>
      </w:r>
      <w:r>
        <w:rPr>
          <w:rFonts w:eastAsia="Times New Roman" w:cs="Times New Roman"/>
          <w:i/>
          <w:iCs/>
          <w:sz w:val="22"/>
          <w:szCs w:val="22"/>
          <w:lang w:val="en-US" w:bidi="fa-IR"/>
        </w:rPr>
        <w:t>Academy of Management Annals, 5</w:t>
      </w:r>
      <w:r>
        <w:rPr>
          <w:rFonts w:eastAsia="Times New Roman" w:cs="Times New Roman"/>
          <w:sz w:val="22"/>
          <w:szCs w:val="22"/>
          <w:lang w:val="en-US" w:bidi="fa-IR"/>
        </w:rPr>
        <w:t>(1), 317–371. https://doi.org/10.1080/19416520.2011.590299</w:t>
      </w:r>
    </w:p>
    <w:p>
      <w:pPr>
        <w:pStyle w:val="Normal"/>
        <w:spacing w:lineRule="auto" w:line="240" w:before="0" w:after="40"/>
        <w:ind w:hanging="567" w:left="567"/>
        <w:jc w:val="left"/>
        <w:rPr/>
      </w:pPr>
      <w:r>
        <w:rPr>
          <w:rFonts w:eastAsia="Times New Roman" w:cs="Times New Roman"/>
          <w:sz w:val="22"/>
          <w:szCs w:val="22"/>
          <w:lang w:val="en-US" w:bidi="fa-IR"/>
        </w:rPr>
        <w:t xml:space="preserve">Hayes, A. F. (2015). An index and test of linear moderated mediation. </w:t>
      </w:r>
      <w:r>
        <w:rPr>
          <w:rFonts w:eastAsia="Times New Roman" w:cs="Times New Roman"/>
          <w:i/>
          <w:iCs/>
          <w:sz w:val="22"/>
          <w:szCs w:val="22"/>
          <w:lang w:val="en-US" w:bidi="fa-IR"/>
        </w:rPr>
        <w:t>Multivariate Behavioral Research, 50</w:t>
      </w:r>
      <w:r>
        <w:rPr>
          <w:rFonts w:eastAsia="Times New Roman" w:cs="Times New Roman"/>
          <w:sz w:val="22"/>
          <w:szCs w:val="22"/>
          <w:lang w:val="en-US" w:bidi="fa-IR"/>
        </w:rPr>
        <w:t>(1), 1–22. https://doi.org/10.1080/00273171.2014.962683</w:t>
      </w:r>
    </w:p>
    <w:p>
      <w:pPr>
        <w:pStyle w:val="Normal"/>
        <w:spacing w:lineRule="auto" w:line="240" w:before="0" w:after="40"/>
        <w:ind w:hanging="567" w:left="567"/>
        <w:jc w:val="left"/>
        <w:rPr/>
      </w:pPr>
      <w:r>
        <w:rPr>
          <w:rFonts w:eastAsia="Times New Roman" w:cs="Times New Roman"/>
          <w:sz w:val="22"/>
          <w:szCs w:val="22"/>
          <w:lang w:val="en-US" w:bidi="fa-IR"/>
        </w:rPr>
        <w:t xml:space="preserve">Henseler, J., Ringle, C. M., &amp; Sarstedt, M. (2015). A new criterion for assessing discriminant validity in variance-based structural equation modeling. </w:t>
      </w:r>
      <w:r>
        <w:rPr>
          <w:rFonts w:eastAsia="Times New Roman" w:cs="Times New Roman"/>
          <w:i/>
          <w:iCs/>
          <w:sz w:val="22"/>
          <w:szCs w:val="22"/>
          <w:lang w:val="en-US" w:bidi="fa-IR"/>
        </w:rPr>
        <w:t>Journal of the Academy of Marketing Science, 43</w:t>
      </w:r>
      <w:r>
        <w:rPr>
          <w:rFonts w:eastAsia="Times New Roman" w:cs="Times New Roman"/>
          <w:sz w:val="22"/>
          <w:szCs w:val="22"/>
          <w:lang w:val="en-US" w:bidi="fa-IR"/>
        </w:rPr>
        <w:t>(1), 115–135. https://doi.org/10.1007/s11747-014-0403-8</w:t>
      </w:r>
    </w:p>
    <w:p>
      <w:pPr>
        <w:pStyle w:val="Normal"/>
        <w:spacing w:lineRule="auto" w:line="240" w:before="0" w:after="40"/>
        <w:ind w:hanging="567" w:left="567"/>
        <w:jc w:val="left"/>
        <w:rPr/>
      </w:pPr>
      <w:r>
        <w:rPr>
          <w:rFonts w:eastAsia="Times New Roman" w:cs="Times New Roman"/>
          <w:sz w:val="22"/>
          <w:szCs w:val="22"/>
          <w:lang w:val="en-US" w:bidi="fa-IR"/>
        </w:rPr>
        <w:t xml:space="preserve">Hu, L., &amp; Bentler, P. M. (1999). Cutoff criteria for fit indexes in covariance structure analysis: Conventional criteria versus new alternatives. </w:t>
      </w:r>
      <w:r>
        <w:rPr>
          <w:rFonts w:eastAsia="Times New Roman" w:cs="Times New Roman"/>
          <w:i/>
          <w:iCs/>
          <w:sz w:val="22"/>
          <w:szCs w:val="22"/>
          <w:lang w:val="en-US" w:bidi="fa-IR"/>
        </w:rPr>
        <w:t>Structural Equation Modeling, 6</w:t>
      </w:r>
      <w:r>
        <w:rPr>
          <w:rFonts w:eastAsia="Times New Roman" w:cs="Times New Roman"/>
          <w:sz w:val="22"/>
          <w:szCs w:val="22"/>
          <w:lang w:val="en-US" w:bidi="fa-IR"/>
        </w:rPr>
        <w:t>(1), 1–55. https://doi.org/10.1080/10705519909540118</w:t>
      </w:r>
    </w:p>
    <w:p>
      <w:pPr>
        <w:pStyle w:val="Normal"/>
        <w:spacing w:lineRule="auto" w:line="240" w:before="0" w:after="40"/>
        <w:ind w:hanging="567" w:left="567"/>
        <w:jc w:val="left"/>
        <w:rPr/>
      </w:pPr>
      <w:r>
        <w:rPr>
          <w:rFonts w:eastAsia="Times New Roman" w:cs="Times New Roman"/>
          <w:sz w:val="22"/>
          <w:szCs w:val="22"/>
          <w:lang w:val="en-US" w:bidi="fa-IR"/>
        </w:rPr>
        <w:t xml:space="preserve">Igolkina, A. A., &amp; Meshcheryakov, G. (2020). semopy: A Python package for structural equation modeling. </w:t>
      </w:r>
      <w:r>
        <w:rPr>
          <w:rFonts w:eastAsia="Times New Roman" w:cs="Times New Roman"/>
          <w:i/>
          <w:iCs/>
          <w:sz w:val="22"/>
          <w:szCs w:val="22"/>
          <w:lang w:val="en-US" w:bidi="fa-IR"/>
        </w:rPr>
        <w:t>Structural Equation Modeling, 27</w:t>
      </w:r>
      <w:r>
        <w:rPr>
          <w:rFonts w:eastAsia="Times New Roman" w:cs="Times New Roman"/>
          <w:sz w:val="22"/>
          <w:szCs w:val="22"/>
          <w:lang w:val="en-US" w:bidi="fa-IR"/>
        </w:rPr>
        <w:t>(6), 952–963. https://doi.org/10.1080/10705511.2019.1704289</w:t>
      </w:r>
    </w:p>
    <w:p>
      <w:pPr>
        <w:pStyle w:val="Normal"/>
        <w:spacing w:lineRule="auto" w:line="240" w:before="0" w:after="40"/>
        <w:ind w:hanging="567" w:left="567"/>
        <w:jc w:val="left"/>
        <w:rPr/>
      </w:pPr>
      <w:r>
        <w:rPr>
          <w:rFonts w:eastAsia="Times New Roman" w:cs="Times New Roman"/>
          <w:sz w:val="22"/>
          <w:szCs w:val="22"/>
          <w:lang w:val="en-US" w:bidi="fa-IR"/>
        </w:rPr>
        <w:t xml:space="preserve">Kostova, T., &amp; Roth, K. (2002). Adoption of an organizational practice by subsidiaries of multinational corporations: Institutional and relational effects. </w:t>
      </w:r>
      <w:r>
        <w:rPr>
          <w:rFonts w:eastAsia="Times New Roman" w:cs="Times New Roman"/>
          <w:i/>
          <w:iCs/>
          <w:sz w:val="22"/>
          <w:szCs w:val="22"/>
          <w:lang w:val="en-US" w:bidi="fa-IR"/>
        </w:rPr>
        <w:t>Academy of Management Journal, 45</w:t>
      </w:r>
      <w:r>
        <w:rPr>
          <w:rFonts w:eastAsia="Times New Roman" w:cs="Times New Roman"/>
          <w:sz w:val="22"/>
          <w:szCs w:val="22"/>
          <w:lang w:val="en-US" w:bidi="fa-IR"/>
        </w:rPr>
        <w:t>(1), 215–233. https://doi.org/10.5465/3069293</w:t>
      </w:r>
    </w:p>
    <w:p>
      <w:pPr>
        <w:pStyle w:val="Normal"/>
        <w:spacing w:lineRule="auto" w:line="240" w:before="0" w:after="40"/>
        <w:ind w:hanging="567" w:left="567"/>
        <w:jc w:val="left"/>
        <w:rPr/>
      </w:pPr>
      <w:r>
        <w:rPr>
          <w:rFonts w:eastAsia="Times New Roman" w:cs="Times New Roman"/>
          <w:sz w:val="22"/>
          <w:szCs w:val="22"/>
          <w:lang w:val="en-US" w:bidi="fa-IR"/>
        </w:rPr>
        <w:t xml:space="preserve">Lawshe, C. H. (1975). A quantitative approach to content validity. </w:t>
      </w:r>
      <w:r>
        <w:rPr>
          <w:rFonts w:eastAsia="Times New Roman" w:cs="Times New Roman"/>
          <w:i/>
          <w:iCs/>
          <w:sz w:val="22"/>
          <w:szCs w:val="22"/>
          <w:lang w:val="en-US" w:bidi="fa-IR"/>
        </w:rPr>
        <w:t>Personnel Psychology, 28</w:t>
      </w:r>
      <w:r>
        <w:rPr>
          <w:rFonts w:eastAsia="Times New Roman" w:cs="Times New Roman"/>
          <w:sz w:val="22"/>
          <w:szCs w:val="22"/>
          <w:lang w:val="en-US" w:bidi="fa-IR"/>
        </w:rPr>
        <w:t>(4), 563–575. https://doi.org/10.1111/j.1744-6570.1975.tb01393.x</w:t>
      </w:r>
    </w:p>
    <w:p>
      <w:pPr>
        <w:pStyle w:val="Normal"/>
        <w:spacing w:lineRule="auto" w:line="240" w:before="0" w:after="40"/>
        <w:ind w:hanging="567" w:left="567"/>
        <w:jc w:val="left"/>
        <w:rPr/>
      </w:pPr>
      <w:r>
        <w:rPr>
          <w:rFonts w:eastAsia="Times New Roman" w:cs="Times New Roman"/>
          <w:sz w:val="22"/>
          <w:szCs w:val="22"/>
          <w:lang w:val="en-US" w:bidi="fa-IR"/>
        </w:rPr>
        <w:t xml:space="preserve">Little, T. D., Bovaird, J. A., &amp; Widaman, K. F. (2006). On the merits of orthogonalizing powered and product terms: Implications for modeling interactions among latent variables. </w:t>
      </w:r>
      <w:r>
        <w:rPr>
          <w:rFonts w:eastAsia="Times New Roman" w:cs="Times New Roman"/>
          <w:i/>
          <w:iCs/>
          <w:sz w:val="22"/>
          <w:szCs w:val="22"/>
          <w:lang w:val="en-US" w:bidi="fa-IR"/>
        </w:rPr>
        <w:t>Structural Equation Modeling, 13</w:t>
      </w:r>
      <w:r>
        <w:rPr>
          <w:rFonts w:eastAsia="Times New Roman" w:cs="Times New Roman"/>
          <w:sz w:val="22"/>
          <w:szCs w:val="22"/>
          <w:lang w:val="en-US" w:bidi="fa-IR"/>
        </w:rPr>
        <w:t>(4), 497–519. https://doi.org/10.1207/s15328007sem1304_1</w:t>
      </w:r>
    </w:p>
    <w:p>
      <w:pPr>
        <w:pStyle w:val="Normal"/>
        <w:spacing w:lineRule="auto" w:line="240" w:before="0" w:after="40"/>
        <w:ind w:hanging="567" w:left="567"/>
        <w:jc w:val="left"/>
        <w:rPr/>
      </w:pPr>
      <w:r>
        <w:rPr>
          <w:rFonts w:eastAsia="Times New Roman" w:cs="Times New Roman"/>
          <w:sz w:val="22"/>
          <w:szCs w:val="22"/>
          <w:lang w:val="en-US" w:bidi="fa-IR"/>
        </w:rPr>
        <w:t xml:space="preserve">MacCallum, R. C., Browne, M. W., &amp; Sugawara, H. M. (1996). Power analysis and determination of sample size for covariance structure modeling. </w:t>
      </w:r>
      <w:r>
        <w:rPr>
          <w:rFonts w:eastAsia="Times New Roman" w:cs="Times New Roman"/>
          <w:i/>
          <w:iCs/>
          <w:sz w:val="22"/>
          <w:szCs w:val="22"/>
          <w:lang w:val="en-US" w:bidi="fa-IR"/>
        </w:rPr>
        <w:t>Psychological Methods, 1</w:t>
      </w:r>
      <w:r>
        <w:rPr>
          <w:rFonts w:eastAsia="Times New Roman" w:cs="Times New Roman"/>
          <w:sz w:val="22"/>
          <w:szCs w:val="22"/>
          <w:lang w:val="en-US" w:bidi="fa-IR"/>
        </w:rPr>
        <w:t>(2), 130–149. https://doi.org/10.1037/1082-989X.1.2.130</w:t>
      </w:r>
    </w:p>
    <w:p>
      <w:pPr>
        <w:pStyle w:val="Normal"/>
        <w:spacing w:lineRule="auto" w:line="240" w:before="0" w:after="40"/>
        <w:ind w:hanging="567" w:left="567"/>
        <w:jc w:val="left"/>
        <w:rPr/>
      </w:pPr>
      <w:r>
        <w:rPr>
          <w:rFonts w:eastAsia="Times New Roman" w:cs="Times New Roman"/>
          <w:sz w:val="22"/>
          <w:szCs w:val="22"/>
          <w:lang w:val="en-US" w:bidi="fa-IR"/>
        </w:rPr>
        <w:t xml:space="preserve">Marsh, H. W., Wen, Z., &amp; Hau, K.-T. (2004). Structural equation models of latent interactions: Evaluation of alternative estimation strategies and indicator construction. </w:t>
      </w:r>
      <w:r>
        <w:rPr>
          <w:rFonts w:eastAsia="Times New Roman" w:cs="Times New Roman"/>
          <w:i/>
          <w:iCs/>
          <w:sz w:val="22"/>
          <w:szCs w:val="22"/>
          <w:lang w:val="en-US" w:bidi="fa-IR"/>
        </w:rPr>
        <w:t>Psychological Methods, 9</w:t>
      </w:r>
      <w:r>
        <w:rPr>
          <w:rFonts w:eastAsia="Times New Roman" w:cs="Times New Roman"/>
          <w:sz w:val="22"/>
          <w:szCs w:val="22"/>
          <w:lang w:val="en-US" w:bidi="fa-IR"/>
        </w:rPr>
        <w:t>(3), 275–300. https://doi.org/10.1037/1082-989X.9.3.275</w:t>
      </w:r>
    </w:p>
    <w:p>
      <w:pPr>
        <w:pStyle w:val="Normal"/>
        <w:spacing w:lineRule="auto" w:line="240" w:before="0" w:after="40"/>
        <w:ind w:hanging="567" w:left="567"/>
        <w:jc w:val="left"/>
        <w:rPr/>
      </w:pPr>
      <w:r>
        <w:rPr>
          <w:rFonts w:eastAsia="Times New Roman" w:cs="Times New Roman"/>
          <w:sz w:val="22"/>
          <w:szCs w:val="22"/>
          <w:lang w:val="en-US" w:bidi="fa-IR"/>
        </w:rPr>
        <w:t xml:space="preserve">Meyer, J. W., &amp; Rowan, B. (1977). Institutionalized organizations: Formal structure as myth and ceremony. </w:t>
      </w:r>
      <w:r>
        <w:rPr>
          <w:rFonts w:eastAsia="Times New Roman" w:cs="Times New Roman"/>
          <w:i/>
          <w:iCs/>
          <w:sz w:val="22"/>
          <w:szCs w:val="22"/>
          <w:lang w:val="en-US" w:bidi="fa-IR"/>
        </w:rPr>
        <w:t>American Journal of Sociology, 83</w:t>
      </w:r>
      <w:r>
        <w:rPr>
          <w:rFonts w:eastAsia="Times New Roman" w:cs="Times New Roman"/>
          <w:sz w:val="22"/>
          <w:szCs w:val="22"/>
          <w:lang w:val="en-US" w:bidi="fa-IR"/>
        </w:rPr>
        <w:t>(2), 340–363. https://doi.org/10.1086/226550</w:t>
      </w:r>
    </w:p>
    <w:p>
      <w:pPr>
        <w:pStyle w:val="Normal"/>
        <w:spacing w:lineRule="auto" w:line="240" w:before="0" w:after="40"/>
        <w:ind w:hanging="567" w:left="567"/>
        <w:jc w:val="left"/>
        <w:rPr/>
      </w:pPr>
      <w:r>
        <w:rPr>
          <w:rFonts w:eastAsia="Times New Roman" w:cs="Times New Roman"/>
          <w:sz w:val="22"/>
          <w:szCs w:val="22"/>
          <w:lang w:val="en-US" w:bidi="fa-IR"/>
        </w:rPr>
        <w:t xml:space="preserve">Mizruchi, M. S., &amp; Fein, L. C. (1999). The social construction of organizational knowledge: A study of the uses of coercive, mimetic, and normative isomorphism. </w:t>
      </w:r>
      <w:r>
        <w:rPr>
          <w:rFonts w:eastAsia="Times New Roman" w:cs="Times New Roman"/>
          <w:i/>
          <w:iCs/>
          <w:sz w:val="22"/>
          <w:szCs w:val="22"/>
          <w:lang w:val="en-US" w:bidi="fa-IR"/>
        </w:rPr>
        <w:t>Administrative Science Quarterly, 44</w:t>
      </w:r>
      <w:r>
        <w:rPr>
          <w:rFonts w:eastAsia="Times New Roman" w:cs="Times New Roman"/>
          <w:sz w:val="22"/>
          <w:szCs w:val="22"/>
          <w:lang w:val="en-US" w:bidi="fa-IR"/>
        </w:rPr>
        <w:t>(4), 653–683. https://doi.org/10.2307/2667051</w:t>
      </w:r>
    </w:p>
    <w:p>
      <w:pPr>
        <w:pStyle w:val="Normal"/>
        <w:spacing w:lineRule="auto" w:line="240" w:before="0" w:after="40"/>
        <w:ind w:hanging="567" w:left="567"/>
        <w:jc w:val="left"/>
        <w:rPr/>
      </w:pPr>
      <w:r>
        <w:rPr>
          <w:rFonts w:eastAsia="Times New Roman" w:cs="Times New Roman"/>
          <w:sz w:val="22"/>
          <w:szCs w:val="22"/>
          <w:lang w:val="en-US" w:bidi="fa-IR"/>
        </w:rPr>
        <w:t xml:space="preserve">Modell, S. (2009). Institutional research on performance measurement and management in the public sector accounting literature: A review and assessment. </w:t>
      </w:r>
      <w:r>
        <w:rPr>
          <w:rFonts w:eastAsia="Times New Roman" w:cs="Times New Roman"/>
          <w:i/>
          <w:iCs/>
          <w:sz w:val="22"/>
          <w:szCs w:val="22"/>
          <w:lang w:val="en-US" w:bidi="fa-IR"/>
        </w:rPr>
        <w:t>Financial Accountability &amp; Management, 25</w:t>
      </w:r>
      <w:r>
        <w:rPr>
          <w:rFonts w:eastAsia="Times New Roman" w:cs="Times New Roman"/>
          <w:sz w:val="22"/>
          <w:szCs w:val="22"/>
          <w:lang w:val="en-US" w:bidi="fa-IR"/>
        </w:rPr>
        <w:t>(3), 277–303. https://doi.org/10.1111/j.1468-0408.2009.00478.x</w:t>
      </w:r>
    </w:p>
    <w:p>
      <w:pPr>
        <w:pStyle w:val="Normal"/>
        <w:spacing w:lineRule="auto" w:line="240" w:before="0" w:after="40"/>
        <w:ind w:hanging="567" w:left="567"/>
        <w:jc w:val="left"/>
        <w:rPr/>
      </w:pPr>
      <w:r>
        <w:rPr>
          <w:rFonts w:eastAsia="Times New Roman" w:cs="Times New Roman"/>
          <w:sz w:val="22"/>
          <w:szCs w:val="22"/>
          <w:lang w:val="en-US" w:bidi="fa-IR"/>
        </w:rPr>
        <w:t xml:space="preserve">Moore, M. H. (1995). </w:t>
      </w:r>
      <w:r>
        <w:rPr>
          <w:rFonts w:eastAsia="Times New Roman" w:cs="Times New Roman"/>
          <w:i/>
          <w:iCs/>
          <w:sz w:val="22"/>
          <w:szCs w:val="22"/>
          <w:lang w:val="en-US" w:bidi="fa-IR"/>
        </w:rPr>
        <w:t>Creating public value: Strategic management in government</w:t>
      </w:r>
      <w:r>
        <w:rPr>
          <w:rFonts w:eastAsia="Times New Roman" w:cs="Times New Roman"/>
          <w:sz w:val="22"/>
          <w:szCs w:val="22"/>
          <w:lang w:val="en-US" w:bidi="fa-IR"/>
        </w:rPr>
        <w:t>. Cambridge, MA: Harvard University Press</w:t>
      </w:r>
      <w:r>
        <w:rPr>
          <w:rFonts w:eastAsia="Times New Roman" w:cs="Times New Roman"/>
          <w:sz w:val="22"/>
          <w:szCs w:val="22"/>
          <w:rtl w:val="true"/>
          <w:lang w:val="en-US" w:bidi="fa-IR"/>
        </w:rPr>
        <w:t>.</w:t>
      </w:r>
    </w:p>
    <w:p>
      <w:pPr>
        <w:pStyle w:val="Normal"/>
        <w:spacing w:lineRule="auto" w:line="240" w:before="0" w:after="40"/>
        <w:ind w:hanging="567" w:left="567"/>
        <w:jc w:val="left"/>
        <w:rPr/>
      </w:pPr>
      <w:r>
        <w:rPr>
          <w:rFonts w:eastAsia="Times New Roman" w:cs="Times New Roman"/>
          <w:sz w:val="22"/>
          <w:szCs w:val="22"/>
          <w:lang w:val="en-US" w:bidi="fa-IR"/>
        </w:rPr>
        <w:t xml:space="preserve">Moynihan, D. P. (2008). </w:t>
      </w:r>
      <w:r>
        <w:rPr>
          <w:rFonts w:eastAsia="Times New Roman" w:cs="Times New Roman"/>
          <w:i/>
          <w:iCs/>
          <w:sz w:val="22"/>
          <w:szCs w:val="22"/>
          <w:lang w:val="en-US" w:bidi="fa-IR"/>
        </w:rPr>
        <w:t>The dynamics of performance management: Constructing information and reform</w:t>
      </w:r>
      <w:r>
        <w:rPr>
          <w:rFonts w:eastAsia="Times New Roman" w:cs="Times New Roman"/>
          <w:sz w:val="22"/>
          <w:szCs w:val="22"/>
          <w:lang w:val="en-US" w:bidi="fa-IR"/>
        </w:rPr>
        <w:t>. Washington, DC: Georgetown University Press</w:t>
      </w:r>
      <w:r>
        <w:rPr>
          <w:rFonts w:eastAsia="Times New Roman" w:cs="Times New Roman"/>
          <w:sz w:val="22"/>
          <w:szCs w:val="22"/>
          <w:rtl w:val="true"/>
          <w:lang w:val="en-US" w:bidi="fa-IR"/>
        </w:rPr>
        <w:t>.</w:t>
      </w:r>
    </w:p>
    <w:p>
      <w:pPr>
        <w:pStyle w:val="Normal"/>
        <w:spacing w:lineRule="auto" w:line="240" w:before="0" w:after="40"/>
        <w:ind w:hanging="567" w:left="567"/>
        <w:jc w:val="left"/>
        <w:rPr/>
      </w:pPr>
      <w:r>
        <w:rPr>
          <w:rFonts w:eastAsia="Times New Roman" w:cs="Times New Roman"/>
          <w:sz w:val="22"/>
          <w:szCs w:val="22"/>
          <w:lang w:val="en-US" w:bidi="fa-IR"/>
        </w:rPr>
        <w:t xml:space="preserve">Moynihan, D. P., &amp; Pandey, S. K. (2010). The big question for performance management: Why do managers use performance information? </w:t>
      </w:r>
      <w:r>
        <w:rPr>
          <w:rFonts w:eastAsia="Times New Roman" w:cs="Times New Roman"/>
          <w:i/>
          <w:iCs/>
          <w:sz w:val="22"/>
          <w:szCs w:val="22"/>
          <w:lang w:val="en-US" w:bidi="fa-IR"/>
        </w:rPr>
        <w:t>Journal of Public Administration Research and Theory, 20</w:t>
      </w:r>
      <w:r>
        <w:rPr>
          <w:rFonts w:eastAsia="Times New Roman" w:cs="Times New Roman"/>
          <w:sz w:val="22"/>
          <w:szCs w:val="22"/>
          <w:lang w:val="en-US" w:bidi="fa-IR"/>
        </w:rPr>
        <w:t>(4), 849–866. https://doi.org/10.1093/jopart/muq004</w:t>
      </w:r>
    </w:p>
    <w:p>
      <w:pPr>
        <w:pStyle w:val="Normal"/>
        <w:spacing w:lineRule="auto" w:line="240" w:before="0" w:after="40"/>
        <w:ind w:hanging="567" w:left="567"/>
        <w:jc w:val="left"/>
        <w:rPr/>
      </w:pPr>
      <w:r>
        <w:rPr>
          <w:rFonts w:eastAsia="Times New Roman" w:cs="Times New Roman"/>
          <w:sz w:val="22"/>
          <w:szCs w:val="22"/>
          <w:lang w:val="en-US" w:bidi="fa-IR"/>
        </w:rPr>
        <w:t xml:space="preserve">Oliver, C. (1991). Strategic responses to institutional processes. </w:t>
      </w:r>
      <w:r>
        <w:rPr>
          <w:rFonts w:eastAsia="Times New Roman" w:cs="Times New Roman"/>
          <w:i/>
          <w:iCs/>
          <w:sz w:val="22"/>
          <w:szCs w:val="22"/>
          <w:lang w:val="en-US" w:bidi="fa-IR"/>
        </w:rPr>
        <w:t>Academy of Management Review, 16</w:t>
      </w:r>
      <w:r>
        <w:rPr>
          <w:rFonts w:eastAsia="Times New Roman" w:cs="Times New Roman"/>
          <w:sz w:val="22"/>
          <w:szCs w:val="22"/>
          <w:lang w:val="en-US" w:bidi="fa-IR"/>
        </w:rPr>
        <w:t>(1), 145–179. https://doi.org/10.5465/amr.1991.4279002</w:t>
      </w:r>
    </w:p>
    <w:p>
      <w:pPr>
        <w:pStyle w:val="Normal"/>
        <w:spacing w:lineRule="auto" w:line="240" w:before="0" w:after="40"/>
        <w:ind w:hanging="567" w:left="567"/>
        <w:jc w:val="left"/>
        <w:rPr/>
      </w:pPr>
      <w:r>
        <w:rPr>
          <w:rFonts w:eastAsia="Times New Roman" w:cs="Times New Roman"/>
          <w:sz w:val="22"/>
          <w:szCs w:val="22"/>
          <w:lang w:val="en-US" w:bidi="fa-IR"/>
        </w:rPr>
        <w:t xml:space="preserve">Pina, V., Torres, L., &amp; Yetano, A. (2009). Accrual accounting in EU local governments: One method, several approaches. </w:t>
      </w:r>
      <w:r>
        <w:rPr>
          <w:rFonts w:eastAsia="Times New Roman" w:cs="Times New Roman"/>
          <w:i/>
          <w:iCs/>
          <w:sz w:val="22"/>
          <w:szCs w:val="22"/>
          <w:lang w:val="en-US" w:bidi="fa-IR"/>
        </w:rPr>
        <w:t>European Accounting Review, 18</w:t>
      </w:r>
      <w:r>
        <w:rPr>
          <w:rFonts w:eastAsia="Times New Roman" w:cs="Times New Roman"/>
          <w:sz w:val="22"/>
          <w:szCs w:val="22"/>
          <w:lang w:val="en-US" w:bidi="fa-IR"/>
        </w:rPr>
        <w:t>(4), 765–807. https://doi.org/10.1080/09638180902863792</w:t>
      </w:r>
    </w:p>
    <w:p>
      <w:pPr>
        <w:pStyle w:val="Normal"/>
        <w:spacing w:lineRule="auto" w:line="240" w:before="0" w:after="40"/>
        <w:ind w:hanging="567" w:left="567"/>
        <w:jc w:val="left"/>
        <w:rPr/>
      </w:pPr>
      <w:r>
        <w:rPr>
          <w:rFonts w:eastAsia="Times New Roman" w:cs="Times New Roman"/>
          <w:sz w:val="22"/>
          <w:szCs w:val="22"/>
          <w:lang w:val="en-US" w:bidi="fa-IR"/>
        </w:rPr>
        <w:t xml:space="preserve">Pollitt, C., &amp; Bouckaert, G. (2017). </w:t>
      </w:r>
      <w:r>
        <w:rPr>
          <w:rFonts w:eastAsia="Times New Roman" w:cs="Times New Roman"/>
          <w:i/>
          <w:iCs/>
          <w:sz w:val="22"/>
          <w:szCs w:val="22"/>
          <w:lang w:val="en-US" w:bidi="fa-IR"/>
        </w:rPr>
        <w:t>Public management reform: A comparative analysis – into the age of austerity</w:t>
      </w:r>
      <w:r>
        <w:rPr>
          <w:rFonts w:eastAsia="Times New Roman" w:cs="Times New Roman"/>
          <w:sz w:val="22"/>
          <w:szCs w:val="22"/>
          <w:lang w:val="en-US" w:bidi="fa-IR"/>
        </w:rPr>
        <w:t xml:space="preserve"> (4th ed.). Oxford, UK: Oxford University Press</w:t>
      </w:r>
      <w:r>
        <w:rPr>
          <w:rFonts w:eastAsia="Times New Roman" w:cs="Times New Roman"/>
          <w:sz w:val="22"/>
          <w:szCs w:val="22"/>
          <w:rtl w:val="true"/>
          <w:lang w:val="en-US" w:bidi="fa-IR"/>
        </w:rPr>
        <w:t>.</w:t>
      </w:r>
    </w:p>
    <w:p>
      <w:pPr>
        <w:pStyle w:val="Normal"/>
        <w:spacing w:lineRule="auto" w:line="240" w:before="0" w:after="40"/>
        <w:ind w:hanging="567" w:left="567"/>
        <w:jc w:val="left"/>
        <w:rPr/>
      </w:pPr>
      <w:r>
        <w:rPr>
          <w:rFonts w:eastAsia="Times New Roman" w:cs="Times New Roman"/>
          <w:sz w:val="22"/>
          <w:szCs w:val="22"/>
          <w:lang w:val="en-US" w:bidi="fa-IR"/>
        </w:rPr>
        <w:t xml:space="preserve">Preacher, K. J., &amp; Hayes, A. F. (2008). Asymptotic and resampling strategies for assessing and comparing indirect effects in multiple mediator models. </w:t>
      </w:r>
      <w:r>
        <w:rPr>
          <w:rFonts w:eastAsia="Times New Roman" w:cs="Times New Roman"/>
          <w:i/>
          <w:iCs/>
          <w:sz w:val="22"/>
          <w:szCs w:val="22"/>
          <w:lang w:val="en-US" w:bidi="fa-IR"/>
        </w:rPr>
        <w:t>Behavior Research Methods, 40</w:t>
      </w:r>
      <w:r>
        <w:rPr>
          <w:rFonts w:eastAsia="Times New Roman" w:cs="Times New Roman"/>
          <w:sz w:val="22"/>
          <w:szCs w:val="22"/>
          <w:lang w:val="en-US" w:bidi="fa-IR"/>
        </w:rPr>
        <w:t>(3), 879–891. https://doi.org/10.3758/BRM.40.3.879</w:t>
      </w:r>
    </w:p>
    <w:p>
      <w:pPr>
        <w:pStyle w:val="Normal"/>
        <w:spacing w:lineRule="auto" w:line="240" w:before="0" w:after="40"/>
        <w:ind w:hanging="567" w:left="567"/>
        <w:jc w:val="left"/>
        <w:rPr/>
      </w:pPr>
      <w:r>
        <w:rPr>
          <w:rFonts w:eastAsia="Times New Roman" w:cs="Times New Roman"/>
          <w:sz w:val="22"/>
          <w:szCs w:val="22"/>
          <w:lang w:val="en-US" w:bidi="fa-IR"/>
        </w:rPr>
        <w:t xml:space="preserve">Scott, W. R. (2014). </w:t>
      </w:r>
      <w:r>
        <w:rPr>
          <w:rFonts w:eastAsia="Times New Roman" w:cs="Times New Roman"/>
          <w:i/>
          <w:iCs/>
          <w:sz w:val="22"/>
          <w:szCs w:val="22"/>
          <w:lang w:val="en-US" w:bidi="fa-IR"/>
        </w:rPr>
        <w:t>Institutions and organizations: Ideas, interests, and identities</w:t>
      </w:r>
      <w:r>
        <w:rPr>
          <w:rFonts w:eastAsia="Times New Roman" w:cs="Times New Roman"/>
          <w:sz w:val="22"/>
          <w:szCs w:val="22"/>
          <w:lang w:val="en-US" w:bidi="fa-IR"/>
        </w:rPr>
        <w:t xml:space="preserve"> (4th ed.). Thousand Oaks, CA: Sage</w:t>
      </w:r>
      <w:r>
        <w:rPr>
          <w:rFonts w:eastAsia="Times New Roman" w:cs="Times New Roman"/>
          <w:sz w:val="22"/>
          <w:szCs w:val="22"/>
          <w:rtl w:val="true"/>
          <w:lang w:val="en-US" w:bidi="fa-IR"/>
        </w:rPr>
        <w:t>.</w:t>
      </w:r>
    </w:p>
    <w:p>
      <w:pPr>
        <w:pStyle w:val="Normal"/>
        <w:spacing w:lineRule="auto" w:line="240" w:before="0" w:after="40"/>
        <w:ind w:hanging="567" w:left="567"/>
        <w:jc w:val="left"/>
        <w:rPr/>
      </w:pPr>
      <w:r>
        <w:rPr>
          <w:rFonts w:eastAsia="Times New Roman" w:cs="Times New Roman"/>
          <w:sz w:val="22"/>
          <w:szCs w:val="22"/>
          <w:lang w:val="en-US" w:bidi="fa-IR"/>
        </w:rPr>
        <w:t xml:space="preserve">Spurk, D., Hirschi, A., Wang, M., Valero, D., &amp; Kauffeld, S. (2020). Latent profile analysis: A review and “how to” guide of its application within vocational behavior research. </w:t>
      </w:r>
      <w:r>
        <w:rPr>
          <w:rFonts w:eastAsia="Times New Roman" w:cs="Times New Roman"/>
          <w:i/>
          <w:iCs/>
          <w:sz w:val="22"/>
          <w:szCs w:val="22"/>
          <w:lang w:val="en-US" w:bidi="fa-IR"/>
        </w:rPr>
        <w:t>Journal of Vocational Behavior, 120</w:t>
      </w:r>
      <w:r>
        <w:rPr>
          <w:rFonts w:eastAsia="Times New Roman" w:cs="Times New Roman"/>
          <w:sz w:val="22"/>
          <w:szCs w:val="22"/>
          <w:lang w:val="en-US" w:bidi="fa-IR"/>
        </w:rPr>
        <w:t>, 103445. https://doi.org/10.1016/j.jvb.2020.103445</w:t>
      </w:r>
    </w:p>
    <w:p>
      <w:pPr>
        <w:pStyle w:val="Normal"/>
        <w:spacing w:lineRule="auto" w:line="240" w:before="0" w:after="40"/>
        <w:ind w:hanging="567" w:left="567"/>
        <w:jc w:val="left"/>
        <w:rPr/>
      </w:pPr>
      <w:r>
        <w:rPr>
          <w:rFonts w:eastAsia="Times New Roman" w:cs="Times New Roman"/>
          <w:sz w:val="22"/>
          <w:szCs w:val="22"/>
          <w:lang w:val="en-US" w:bidi="fa-IR"/>
        </w:rPr>
        <w:t xml:space="preserve">Teo, H. H., Wei, K. K., &amp; Benbasat, I. (2003). Predicting intention to adopt interorganizational linkages: An institutional perspective. </w:t>
      </w:r>
      <w:r>
        <w:rPr>
          <w:rFonts w:eastAsia="Times New Roman" w:cs="Times New Roman"/>
          <w:i/>
          <w:iCs/>
          <w:sz w:val="22"/>
          <w:szCs w:val="22"/>
          <w:lang w:val="en-US" w:bidi="fa-IR"/>
        </w:rPr>
        <w:t>MIS Quarterly, 27</w:t>
      </w:r>
      <w:r>
        <w:rPr>
          <w:rFonts w:eastAsia="Times New Roman" w:cs="Times New Roman"/>
          <w:sz w:val="22"/>
          <w:szCs w:val="22"/>
          <w:lang w:val="en-US" w:bidi="fa-IR"/>
        </w:rPr>
        <w:t>(1), 19–49. https://doi.org/10.2307/30036518</w:t>
      </w:r>
    </w:p>
    <w:sectPr>
      <w:footerReference w:type="even" r:id="rId13"/>
      <w:footerReference w:type="default" r:id="rId14"/>
      <w:footerReference w:type="first" r:id="rId15"/>
      <w:footnotePr>
        <w:numFmt w:val="decimal"/>
      </w:footnotePr>
      <w:type w:val="nextPage"/>
      <w:pgSz w:w="11906" w:h="16838"/>
      <w:pgMar w:left="1417" w:right="1417" w:gutter="0" w:header="0" w:top="1417" w:footer="708" w:bottom="1417"/>
      <w:pgNumType w:fmt="decimal"/>
      <w:formProt w:val="false"/>
      <w:textDirection w:val="lrTb"/>
      <w:bidi/>
      <w:docGrid w:type="default" w:linePitch="100" w:charSpace="-409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7</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7</w:t>
    </w:r>
    <w:r>
      <w:rPr>
        <w:rtl w:val="true"/>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8</w:t>
    </w:r>
    <w:r>
      <w:rPr>
        <w:rtl w:val="true"/>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18</w:t>
    </w:r>
    <w:r>
      <w:rPr>
        <w:rtl w:val="true"/>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bidi w:val="0"/>
        <w:spacing w:lineRule="auto" w:line="240" w:before="0" w:after="0"/>
        <w:jc w:val="left"/>
        <w:rPr/>
      </w:pPr>
      <w:r>
        <w:rPr>
          <w:rStyle w:val="FootnoteCharacters"/>
        </w:rPr>
        <w:footnoteRef/>
      </w:r>
      <w:r>
        <w:rPr>
          <w:rFonts w:cs="Times New Roman"/>
          <w:sz w:val="22"/>
          <w:szCs w:val="22"/>
        </w:rPr>
        <w:t>. Pollitt &amp; Bouckaert</w:t>
      </w:r>
    </w:p>
  </w:footnote>
  <w:footnote w:id="3">
    <w:p>
      <w:pPr>
        <w:pStyle w:val="FootnoteText"/>
        <w:bidi w:val="0"/>
        <w:spacing w:lineRule="auto" w:line="240" w:before="0" w:after="0"/>
        <w:jc w:val="left"/>
        <w:rPr/>
      </w:pPr>
      <w:r>
        <w:rPr>
          <w:rStyle w:val="FootnoteCharacters"/>
        </w:rPr>
        <w:footnoteRef/>
      </w:r>
      <w:r>
        <w:rPr>
          <w:rFonts w:cs="Times New Roman"/>
          <w:sz w:val="22"/>
          <w:szCs w:val="22"/>
        </w:rPr>
        <w:t>. Christiaens et al.</w:t>
      </w:r>
    </w:p>
  </w:footnote>
  <w:footnote w:id="4">
    <w:p>
      <w:pPr>
        <w:pStyle w:val="FootnoteText"/>
        <w:bidi w:val="0"/>
        <w:spacing w:lineRule="auto" w:line="240" w:before="0" w:after="0"/>
        <w:jc w:val="left"/>
        <w:rPr/>
      </w:pPr>
      <w:r>
        <w:rPr>
          <w:rStyle w:val="FootnoteCharacters"/>
        </w:rPr>
        <w:footnoteRef/>
      </w:r>
      <w:r>
        <w:rPr>
          <w:rFonts w:cs="Times New Roman"/>
          <w:sz w:val="22"/>
          <w:szCs w:val="22"/>
        </w:rPr>
        <w:t>. Meyer &amp; Rowan</w:t>
      </w:r>
    </w:p>
  </w:footnote>
  <w:footnote w:id="5">
    <w:p>
      <w:pPr>
        <w:pStyle w:val="FootnoteText"/>
        <w:bidi w:val="0"/>
        <w:spacing w:lineRule="auto" w:line="240" w:before="0" w:after="0"/>
        <w:jc w:val="left"/>
        <w:rPr/>
      </w:pPr>
      <w:r>
        <w:rPr>
          <w:rStyle w:val="FootnoteCharacters"/>
        </w:rPr>
        <w:footnoteRef/>
      </w:r>
      <w:r>
        <w:rPr>
          <w:rFonts w:cs="Times New Roman"/>
          <w:sz w:val="22"/>
          <w:szCs w:val="22"/>
        </w:rPr>
        <w:t>. Brignall &amp; Modell</w:t>
      </w:r>
    </w:p>
  </w:footnote>
  <w:footnote w:id="6">
    <w:p>
      <w:pPr>
        <w:pStyle w:val="FootnoteText"/>
        <w:bidi w:val="0"/>
        <w:spacing w:lineRule="auto" w:line="240" w:before="0" w:after="0"/>
        <w:jc w:val="left"/>
        <w:rPr/>
      </w:pPr>
      <w:r>
        <w:rPr>
          <w:rStyle w:val="FootnoteCharacters"/>
        </w:rPr>
        <w:footnoteRef/>
      </w:r>
      <w:r>
        <w:rPr>
          <w:rFonts w:cs="Times New Roman"/>
          <w:sz w:val="22"/>
          <w:szCs w:val="22"/>
        </w:rPr>
        <w:t>. Ahmadi, Nazemi, &amp; Namazi</w:t>
      </w:r>
    </w:p>
  </w:footnote>
  <w:footnote w:id="7">
    <w:p>
      <w:pPr>
        <w:pStyle w:val="FootnoteText"/>
        <w:bidi w:val="0"/>
        <w:spacing w:lineRule="auto" w:line="240" w:before="0" w:after="0"/>
        <w:jc w:val="left"/>
        <w:rPr/>
      </w:pPr>
      <w:r>
        <w:rPr>
          <w:rStyle w:val="FootnoteCharacters"/>
        </w:rPr>
        <w:footnoteRef/>
      </w:r>
      <w:r>
        <w:rPr>
          <w:rFonts w:cs="Times New Roman"/>
          <w:sz w:val="22"/>
          <w:szCs w:val="22"/>
        </w:rPr>
        <w:t>. Nourani &amp; Akhlaghi Yazdinejad</w:t>
      </w:r>
    </w:p>
  </w:footnote>
  <w:footnote w:id="8">
    <w:p>
      <w:pPr>
        <w:pStyle w:val="FootnoteText"/>
        <w:bidi w:val="0"/>
        <w:spacing w:lineRule="auto" w:line="240" w:before="0" w:after="0"/>
        <w:jc w:val="left"/>
        <w:rPr/>
      </w:pPr>
      <w:r>
        <w:rPr>
          <w:rStyle w:val="FootnoteCharacters"/>
        </w:rPr>
        <w:footnoteRef/>
      </w:r>
      <w:r>
        <w:rPr>
          <w:rFonts w:cs="Times New Roman"/>
          <w:sz w:val="22"/>
          <w:szCs w:val="22"/>
        </w:rPr>
        <w:t>. DiMaggio &amp; Powell</w:t>
      </w:r>
    </w:p>
  </w:footnote>
  <w:footnote w:id="9">
    <w:p>
      <w:pPr>
        <w:pStyle w:val="FootnoteText"/>
        <w:bidi w:val="0"/>
        <w:spacing w:lineRule="auto" w:line="240" w:before="0" w:after="0"/>
        <w:jc w:val="left"/>
        <w:rPr/>
      </w:pPr>
      <w:r>
        <w:rPr>
          <w:rStyle w:val="FootnoteCharacters"/>
        </w:rPr>
        <w:footnoteRef/>
      </w:r>
      <w:r>
        <w:rPr>
          <w:rFonts w:cs="Times New Roman"/>
          <w:sz w:val="22"/>
          <w:szCs w:val="22"/>
        </w:rPr>
        <w:t>. Mizruchi &amp; Fein</w:t>
      </w:r>
    </w:p>
  </w:footnote>
  <w:footnote w:id="10">
    <w:p>
      <w:pPr>
        <w:pStyle w:val="FootnoteText"/>
        <w:bidi w:val="0"/>
        <w:spacing w:lineRule="auto" w:line="240" w:before="0" w:after="0"/>
        <w:jc w:val="left"/>
        <w:rPr/>
      </w:pPr>
      <w:r>
        <w:rPr>
          <w:rStyle w:val="FootnoteCharacters"/>
        </w:rPr>
        <w:footnoteRef/>
      </w:r>
      <w:r>
        <w:rPr>
          <w:rFonts w:cs="Times New Roman"/>
          <w:sz w:val="22"/>
          <w:szCs w:val="22"/>
        </w:rPr>
        <w:t>. Greenwood et al.</w:t>
      </w:r>
    </w:p>
  </w:footnote>
  <w:footnote w:id="11">
    <w:p>
      <w:pPr>
        <w:pStyle w:val="FootnoteText"/>
        <w:bidi w:val="0"/>
        <w:spacing w:lineRule="auto" w:line="240" w:before="0" w:after="0"/>
        <w:jc w:val="left"/>
        <w:rPr/>
      </w:pPr>
      <w:r>
        <w:rPr>
          <w:rStyle w:val="FootnoteCharacters"/>
        </w:rPr>
        <w:footnoteRef/>
      </w:r>
      <w:r>
        <w:rPr>
          <w:rFonts w:cs="Times New Roman"/>
          <w:sz w:val="22"/>
          <w:szCs w:val="22"/>
        </w:rPr>
        <w:t>. Scott</w:t>
      </w:r>
    </w:p>
  </w:footnote>
  <w:footnote w:id="12">
    <w:p>
      <w:pPr>
        <w:pStyle w:val="FootnoteText"/>
        <w:bidi w:val="0"/>
        <w:spacing w:lineRule="auto" w:line="240" w:before="0" w:after="0"/>
        <w:jc w:val="left"/>
        <w:rPr/>
      </w:pPr>
      <w:r>
        <w:rPr>
          <w:rStyle w:val="FootnoteCharacters"/>
        </w:rPr>
        <w:footnoteRef/>
      </w:r>
      <w:r>
        <w:rPr>
          <w:rFonts w:cs="Times New Roman"/>
          <w:sz w:val="22"/>
          <w:szCs w:val="22"/>
        </w:rPr>
        <w:t>. Oliver</w:t>
      </w:r>
    </w:p>
  </w:footnote>
  <w:footnote w:id="13">
    <w:p>
      <w:pPr>
        <w:pStyle w:val="FootnoteText"/>
        <w:bidi w:val="0"/>
        <w:spacing w:lineRule="auto" w:line="240" w:before="0" w:after="0"/>
        <w:jc w:val="left"/>
        <w:rPr/>
      </w:pPr>
      <w:r>
        <w:rPr>
          <w:rStyle w:val="FootnoteCharacters"/>
        </w:rPr>
        <w:footnoteRef/>
      </w:r>
      <w:r>
        <w:rPr>
          <w:rFonts w:cs="Times New Roman"/>
          <w:sz w:val="22"/>
          <w:szCs w:val="22"/>
        </w:rPr>
        <w:t>. Kostova &amp; Roth</w:t>
      </w:r>
    </w:p>
  </w:footnote>
  <w:footnote w:id="14">
    <w:p>
      <w:pPr>
        <w:pStyle w:val="FootnoteText"/>
        <w:bidi w:val="0"/>
        <w:spacing w:lineRule="auto" w:line="240" w:before="0" w:after="0"/>
        <w:jc w:val="left"/>
        <w:rPr/>
      </w:pPr>
      <w:r>
        <w:rPr>
          <w:rStyle w:val="FootnoteCharacters"/>
        </w:rPr>
        <w:footnoteRef/>
      </w:r>
      <w:r>
        <w:rPr>
          <w:rFonts w:cs="Times New Roman"/>
          <w:sz w:val="22"/>
          <w:szCs w:val="22"/>
        </w:rPr>
        <w:t>. Bromley &amp; Powell</w:t>
      </w:r>
    </w:p>
  </w:footnote>
  <w:footnote w:id="15">
    <w:p>
      <w:pPr>
        <w:pStyle w:val="FootnoteText"/>
        <w:bidi w:val="0"/>
        <w:spacing w:lineRule="auto" w:line="240" w:before="0" w:after="0"/>
        <w:jc w:val="left"/>
        <w:rPr/>
      </w:pPr>
      <w:r>
        <w:rPr>
          <w:rStyle w:val="FootnoteCharacters"/>
        </w:rPr>
        <w:footnoteRef/>
      </w:r>
      <w:r>
        <w:rPr>
          <w:rFonts w:cs="Times New Roman"/>
          <w:sz w:val="22"/>
          <w:szCs w:val="22"/>
        </w:rPr>
        <w:t>. Modell</w:t>
      </w:r>
    </w:p>
  </w:footnote>
  <w:footnote w:id="16">
    <w:p>
      <w:pPr>
        <w:pStyle w:val="FootnoteText"/>
        <w:bidi w:val="0"/>
        <w:spacing w:lineRule="auto" w:line="240" w:before="0" w:after="0"/>
        <w:jc w:val="left"/>
        <w:rPr/>
      </w:pPr>
      <w:r>
        <w:rPr>
          <w:rStyle w:val="FootnoteCharacters"/>
        </w:rPr>
        <w:footnoteRef/>
      </w:r>
      <w:r>
        <w:rPr>
          <w:rFonts w:cs="Times New Roman"/>
          <w:sz w:val="22"/>
          <w:szCs w:val="22"/>
        </w:rPr>
        <w:t>. Naroui, Momeni, &amp; Gerd</w:t>
      </w:r>
    </w:p>
  </w:footnote>
  <w:footnote w:id="17">
    <w:p>
      <w:pPr>
        <w:pStyle w:val="FootnoteText"/>
        <w:bidi w:val="0"/>
        <w:spacing w:lineRule="auto" w:line="240" w:before="0" w:after="0"/>
        <w:jc w:val="left"/>
        <w:rPr/>
      </w:pPr>
      <w:r>
        <w:rPr>
          <w:rStyle w:val="FootnoteCharacters"/>
        </w:rPr>
        <w:footnoteRef/>
      </w:r>
      <w:r>
        <w:rPr>
          <w:rFonts w:cs="Times New Roman"/>
          <w:sz w:val="22"/>
          <w:szCs w:val="22"/>
        </w:rPr>
        <w:t>. Pourghaffar et al.</w:t>
      </w:r>
    </w:p>
  </w:footnote>
  <w:footnote w:id="18">
    <w:p>
      <w:pPr>
        <w:pStyle w:val="FootnoteText"/>
        <w:bidi w:val="0"/>
        <w:spacing w:lineRule="auto" w:line="240" w:before="0" w:after="0"/>
        <w:jc w:val="left"/>
        <w:rPr/>
      </w:pPr>
      <w:r>
        <w:rPr>
          <w:rStyle w:val="FootnoteCharacters"/>
        </w:rPr>
        <w:footnoteRef/>
      </w:r>
      <w:r>
        <w:rPr>
          <w:rFonts w:cs="Times New Roman"/>
          <w:sz w:val="22"/>
          <w:szCs w:val="22"/>
        </w:rPr>
        <w:t>. Pina, Torres, &amp; Yetano</w:t>
      </w:r>
    </w:p>
  </w:footnote>
  <w:footnote w:id="19">
    <w:p>
      <w:pPr>
        <w:pStyle w:val="FootnoteText"/>
        <w:bidi w:val="0"/>
        <w:spacing w:lineRule="auto" w:line="240" w:before="0" w:after="0"/>
        <w:jc w:val="left"/>
        <w:rPr/>
      </w:pPr>
      <w:r>
        <w:rPr>
          <w:rStyle w:val="FootnoteCharacters"/>
        </w:rPr>
        <w:footnoteRef/>
      </w:r>
      <w:r>
        <w:rPr>
          <w:rFonts w:cs="Times New Roman"/>
          <w:sz w:val="22"/>
          <w:szCs w:val="22"/>
        </w:rPr>
        <w:t>. Christiaens, Reyniers, &amp; Rollé</w:t>
      </w:r>
    </w:p>
  </w:footnote>
  <w:footnote w:id="20">
    <w:p>
      <w:pPr>
        <w:pStyle w:val="FootnoteText"/>
        <w:bidi w:val="0"/>
        <w:spacing w:lineRule="auto" w:line="240" w:before="0" w:after="0"/>
        <w:jc w:val="left"/>
        <w:rPr/>
      </w:pPr>
      <w:r>
        <w:rPr>
          <w:rStyle w:val="FootnoteCharacters"/>
        </w:rPr>
        <w:footnoteRef/>
      </w:r>
      <w:r>
        <w:rPr>
          <w:rFonts w:cs="Times New Roman"/>
          <w:sz w:val="22"/>
          <w:szCs w:val="22"/>
        </w:rPr>
        <w:t>. Moynihan &amp; Pandey</w:t>
      </w:r>
    </w:p>
  </w:footnote>
  <w:footnote w:id="21">
    <w:p>
      <w:pPr>
        <w:pStyle w:val="FootnoteText"/>
        <w:bidi w:val="0"/>
        <w:spacing w:lineRule="auto" w:line="240" w:before="0" w:after="0"/>
        <w:jc w:val="left"/>
        <w:rPr/>
      </w:pPr>
      <w:r>
        <w:rPr>
          <w:rStyle w:val="FootnoteCharacters"/>
        </w:rPr>
        <w:footnoteRef/>
      </w:r>
      <w:r>
        <w:rPr>
          <w:rFonts w:cs="Times New Roman"/>
          <w:sz w:val="22"/>
          <w:szCs w:val="22"/>
        </w:rPr>
        <w:t>. Teo, Wei, &amp; Benbasat</w:t>
      </w:r>
    </w:p>
  </w:footnote>
  <w:footnote w:id="22">
    <w:p>
      <w:pPr>
        <w:pStyle w:val="FootnoteText"/>
        <w:bidi w:val="0"/>
        <w:spacing w:lineRule="auto" w:line="240" w:before="0" w:after="0"/>
        <w:jc w:val="left"/>
        <w:rPr/>
      </w:pPr>
      <w:r>
        <w:rPr>
          <w:rStyle w:val="FootnoteCharacters"/>
        </w:rPr>
        <w:footnoteRef/>
      </w:r>
      <w:r>
        <w:rPr>
          <w:rFonts w:cs="Times New Roman"/>
          <w:sz w:val="22"/>
          <w:szCs w:val="22"/>
        </w:rPr>
        <w:t>. Lawshe</w:t>
      </w:r>
    </w:p>
  </w:footnote>
  <w:footnote w:id="23">
    <w:p>
      <w:pPr>
        <w:pStyle w:val="FootnoteText"/>
        <w:bidi w:val="0"/>
        <w:spacing w:lineRule="auto" w:line="240" w:before="0" w:after="0"/>
        <w:jc w:val="left"/>
        <w:rPr/>
      </w:pPr>
      <w:r>
        <w:rPr>
          <w:rStyle w:val="FootnoteCharacters"/>
        </w:rPr>
        <w:footnoteRef/>
      </w:r>
      <w:r>
        <w:rPr>
          <w:rFonts w:cs="Times New Roman"/>
          <w:sz w:val="22"/>
          <w:szCs w:val="22"/>
        </w:rPr>
        <w:t>. MacCallum, Browne, &amp; Sugawara</w:t>
      </w:r>
    </w:p>
  </w:footnote>
  <w:footnote w:id="24">
    <w:p>
      <w:pPr>
        <w:pStyle w:val="FootnoteText"/>
        <w:bidi w:val="0"/>
        <w:spacing w:lineRule="auto" w:line="240" w:before="0" w:after="0"/>
        <w:jc w:val="left"/>
        <w:rPr/>
      </w:pPr>
      <w:r>
        <w:rPr>
          <w:rStyle w:val="FootnoteCharacters"/>
        </w:rPr>
        <w:footnoteRef/>
      </w:r>
      <w:r>
        <w:rPr>
          <w:rFonts w:cs="Times New Roman"/>
          <w:sz w:val="22"/>
          <w:szCs w:val="22"/>
        </w:rPr>
        <w:t>. Igolkina &amp; Meshcheryakov</w:t>
      </w:r>
    </w:p>
  </w:footnote>
  <w:footnote w:id="25">
    <w:p>
      <w:pPr>
        <w:pStyle w:val="FootnoteText"/>
        <w:bidi w:val="0"/>
        <w:spacing w:lineRule="auto" w:line="240" w:before="0" w:after="0"/>
        <w:jc w:val="left"/>
        <w:rPr/>
      </w:pPr>
      <w:r>
        <w:rPr>
          <w:rStyle w:val="FootnoteCharacters"/>
        </w:rPr>
        <w:footnoteRef/>
      </w:r>
      <w:r>
        <w:rPr>
          <w:rFonts w:cs="Times New Roman"/>
          <w:sz w:val="22"/>
          <w:szCs w:val="22"/>
        </w:rPr>
        <w:t>. Marsh, Wen, &amp; Hau</w:t>
      </w:r>
    </w:p>
  </w:footnote>
  <w:footnote w:id="26">
    <w:p>
      <w:pPr>
        <w:pStyle w:val="FootnoteText"/>
        <w:bidi w:val="0"/>
        <w:spacing w:lineRule="auto" w:line="240" w:before="0" w:after="0"/>
        <w:jc w:val="left"/>
        <w:rPr/>
      </w:pPr>
      <w:r>
        <w:rPr>
          <w:rStyle w:val="FootnoteCharacters"/>
        </w:rPr>
        <w:footnoteRef/>
      </w:r>
      <w:r>
        <w:rPr>
          <w:rFonts w:cs="Times New Roman"/>
          <w:sz w:val="22"/>
          <w:szCs w:val="22"/>
        </w:rPr>
        <w:t>. Little, Bovaird, &amp; Widaman</w:t>
      </w:r>
    </w:p>
  </w:footnote>
  <w:footnote w:id="27">
    <w:p>
      <w:pPr>
        <w:pStyle w:val="FootnoteText"/>
        <w:bidi w:val="0"/>
        <w:spacing w:lineRule="auto" w:line="240" w:before="0" w:after="0"/>
        <w:jc w:val="left"/>
        <w:rPr/>
      </w:pPr>
      <w:r>
        <w:rPr>
          <w:rStyle w:val="FootnoteCharacters"/>
        </w:rPr>
        <w:footnoteRef/>
      </w:r>
      <w:r>
        <w:rPr>
          <w:rFonts w:cs="Times New Roman"/>
          <w:sz w:val="22"/>
          <w:szCs w:val="22"/>
        </w:rPr>
        <w:t>. Preacher &amp; Hayes</w:t>
      </w:r>
    </w:p>
  </w:footnote>
  <w:footnote w:id="28">
    <w:p>
      <w:pPr>
        <w:pStyle w:val="FootnoteText"/>
        <w:bidi w:val="0"/>
        <w:spacing w:lineRule="auto" w:line="240" w:before="0" w:after="0"/>
        <w:jc w:val="left"/>
        <w:rPr/>
      </w:pPr>
      <w:r>
        <w:rPr>
          <w:rStyle w:val="FootnoteCharacters"/>
        </w:rPr>
        <w:footnoteRef/>
      </w:r>
      <w:r>
        <w:rPr>
          <w:rFonts w:cs="Times New Roman"/>
          <w:sz w:val="22"/>
          <w:szCs w:val="22"/>
        </w:rPr>
        <w:t>. Cheung &amp; Rensvold</w:t>
      </w:r>
    </w:p>
  </w:footnote>
  <w:footnote w:id="29">
    <w:p>
      <w:pPr>
        <w:pStyle w:val="FootnoteText"/>
        <w:bidi w:val="0"/>
        <w:spacing w:lineRule="auto" w:line="240" w:before="0" w:after="0"/>
        <w:jc w:val="left"/>
        <w:rPr/>
      </w:pPr>
      <w:r>
        <w:rPr>
          <w:rStyle w:val="FootnoteCharacters"/>
        </w:rPr>
        <w:footnoteRef/>
      </w:r>
      <w:r>
        <w:rPr>
          <w:rFonts w:cs="Times New Roman"/>
          <w:sz w:val="22"/>
          <w:szCs w:val="22"/>
        </w:rPr>
        <w:t>. Chen</w:t>
      </w:r>
    </w:p>
  </w:footnote>
  <w:footnote w:id="30">
    <w:p>
      <w:pPr>
        <w:pStyle w:val="FootnoteText"/>
        <w:bidi w:val="0"/>
        <w:spacing w:lineRule="auto" w:line="240" w:before="0" w:after="0"/>
        <w:jc w:val="left"/>
        <w:rPr/>
      </w:pPr>
      <w:r>
        <w:rPr>
          <w:rStyle w:val="FootnoteCharacters"/>
        </w:rPr>
        <w:footnoteRef/>
      </w:r>
      <w:r>
        <w:rPr>
          <w:rFonts w:cs="Times New Roman"/>
          <w:sz w:val="22"/>
          <w:szCs w:val="22"/>
        </w:rPr>
        <w:t>. Spurk et al.</w:t>
      </w:r>
    </w:p>
  </w:footnote>
  <w:footnote w:id="31">
    <w:p>
      <w:pPr>
        <w:pStyle w:val="FootnoteText"/>
        <w:bidi w:val="0"/>
        <w:spacing w:lineRule="auto" w:line="240" w:before="0" w:after="0"/>
        <w:jc w:val="left"/>
        <w:rPr/>
      </w:pPr>
      <w:r>
        <w:rPr>
          <w:rStyle w:val="FootnoteCharacters"/>
        </w:rPr>
        <w:footnoteRef/>
      </w:r>
      <w:r>
        <w:rPr>
          <w:rFonts w:cs="Times New Roman"/>
          <w:sz w:val="22"/>
          <w:szCs w:val="22"/>
        </w:rPr>
        <w:t>. Hu &amp; Bentler</w:t>
      </w:r>
    </w:p>
  </w:footnote>
  <w:footnote w:id="32">
    <w:p>
      <w:pPr>
        <w:pStyle w:val="FootnoteText"/>
        <w:bidi w:val="0"/>
        <w:spacing w:lineRule="auto" w:line="240" w:before="0" w:after="0"/>
        <w:jc w:val="left"/>
        <w:rPr/>
      </w:pPr>
      <w:r>
        <w:rPr>
          <w:rStyle w:val="FootnoteCharacters"/>
        </w:rPr>
        <w:footnoteRef/>
      </w:r>
      <w:r>
        <w:rPr>
          <w:rFonts w:cs="Times New Roman"/>
          <w:sz w:val="22"/>
          <w:szCs w:val="22"/>
        </w:rPr>
        <w:t>. Fornell &amp; Larcker</w:t>
      </w:r>
    </w:p>
  </w:footnote>
  <w:footnote w:id="33">
    <w:p>
      <w:pPr>
        <w:pStyle w:val="FootnoteText"/>
        <w:bidi w:val="0"/>
        <w:spacing w:lineRule="auto" w:line="240" w:before="0" w:after="0"/>
        <w:jc w:val="left"/>
        <w:rPr/>
      </w:pPr>
      <w:r>
        <w:rPr>
          <w:rStyle w:val="FootnoteCharacters"/>
        </w:rPr>
        <w:footnoteRef/>
      </w:r>
      <w:r>
        <w:rPr>
          <w:rFonts w:cs="Times New Roman"/>
          <w:sz w:val="22"/>
          <w:szCs w:val="22"/>
        </w:rPr>
        <w:t>. Henseler, Ringle, &amp; Sarstedt</w:t>
      </w:r>
    </w:p>
  </w:footnote>
</w:footnotes>
</file>

<file path=word/settings.xml><?xml version="1.0" encoding="utf-8"?>
<w:settings xmlns:w="http://schemas.openxmlformats.org/wordprocessingml/2006/main">
  <w:view w:val="print"/>
  <w:zoom w:percent="100"/>
  <w:defaultTabStop w:val="720"/>
  <w:autoHyphenation w:val="true"/>
  <w:footnotePr>
    <w:numFmt w:val="decimal"/>
    <w:footnote w:id="0"/>
    <w:footnote w:id="1"/>
  </w:footnotePr>
  <w:compat>
    <w:compatSetting w:name="compatibilityMode" w:uri="http://schemas.microsoft.com/office/word" w:val="15"/>
  </w:compat>
  <w:themeFontLang w:val="en-US" w:eastAsia="" w:bidi="fa-IR"/>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WenQuanYi Zen Hei" w:cs="B Nazanin"/>
        <w:sz w:val="26"/>
        <w:szCs w:val="26"/>
        <w:lang w:val="en-US" w:eastAsia="zh-CN" w:bidi="fa-IR"/>
      </w:rPr>
    </w:rPrDefault>
    <w:pPrDefault>
      <w:pPr>
        <w:suppressAutoHyphens w:val="true"/>
      </w:pPr>
    </w:pPrDefault>
  </w:docDefaults>
  <w:style w:type="paragraph" w:styleId="Normal" w:default="1">
    <w:name w:val="Normal"/>
    <w:qFormat/>
    <w:pPr>
      <w:widowControl/>
      <w:bidi w:val="1"/>
      <w:spacing w:before="0" w:after="0"/>
      <w:jc w:val="left"/>
    </w:pPr>
    <w:rPr>
      <w:rFonts w:ascii="Times New Roman" w:hAnsi="Times New Roman" w:eastAsia="WenQuanYi Zen Hei" w:cs="B Nazanin"/>
      <w:color w:val="auto"/>
      <w:kern w:val="0"/>
      <w:sz w:val="26"/>
      <w:szCs w:val="26"/>
      <w:lang w:val="en-US" w:eastAsia="zh-CN" w:bidi="fa-IR"/>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pPr>
      <w:spacing w:lineRule="auto" w:line="240" w:before="0" w:after="0"/>
    </w:pPr>
    <w:rPr>
      <w:sz w:val="18"/>
      <w:szCs w:val="1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notes" Target="footnotes.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fa-IR</dc:language>
  <cp:lastModifiedBy/>
  <cp:revision>0</cp:revision>
  <dc:subject/>
  <dc:title>Article</dc:title>
</cp:coreProperties>
</file>