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center"/>
        <w:rPr/>
      </w:pPr>
      <w:r>
        <w:rPr>
          <w:rFonts w:eastAsia="Times New Roman" w:cs="Times New Roman"/>
          <w:b/>
          <w:bCs/>
          <w:sz w:val="32"/>
          <w:szCs w:val="32"/>
          <w:lang w:val="en-US" w:bidi="fa-IR"/>
        </w:rPr>
        <w:t>Form or Substance? Institutional Pressures and Accountability in Public-Sector Financial Reforms</w:t>
      </w:r>
    </w:p>
    <w:p>
      <w:pPr>
        <w:pStyle w:val="Normal"/>
        <w:spacing w:lineRule="auto" w:line="276" w:before="0" w:after="140"/>
        <w:jc w:val="center"/>
        <w:rPr/>
      </w:pPr>
      <w:r>
        <w:rPr>
          <w:rFonts w:eastAsia="Times New Roman" w:cs="Times New Roman"/>
          <w:i/>
          <w:iCs/>
          <w:sz w:val="24"/>
          <w:szCs w:val="24"/>
          <w:lang w:val="en-US" w:bidi="fa-IR"/>
        </w:rPr>
        <w:t>[Author names, affiliations, ORCID iDs and corresponding-author details – to be completed by the authors]</w:t>
      </w:r>
    </w:p>
    <w:p>
      <w:pPr>
        <w:pStyle w:val="Normal"/>
        <w:keepNext w:val="true"/>
        <w:spacing w:lineRule="auto" w:line="276" w:before="140" w:after="60"/>
        <w:jc w:val="left"/>
        <w:rPr/>
      </w:pPr>
      <w:r>
        <w:rPr>
          <w:rFonts w:eastAsia="Times New Roman" w:cs="Times New Roman"/>
          <w:b/>
          <w:bCs/>
          <w:sz w:val="24"/>
          <w:szCs w:val="24"/>
          <w:lang w:val="en-US" w:bidi="fa-IR"/>
        </w:rPr>
        <w:t>Abstract</w:t>
      </w:r>
    </w:p>
    <w:p>
      <w:pPr>
        <w:pStyle w:val="Normal"/>
        <w:spacing w:lineRule="auto" w:line="276" w:before="0" w:after="100"/>
        <w:jc w:val="both"/>
        <w:rPr/>
      </w:pPr>
      <w:r>
        <w:rPr>
          <w:rFonts w:eastAsia="Times New Roman" w:cs="Times New Roman"/>
          <w:b/>
          <w:bCs/>
          <w:sz w:val="22"/>
          <w:szCs w:val="22"/>
          <w:lang w:val="en-US" w:bidi="fa-IR"/>
        </w:rPr>
        <w:t>Purpose.</w:t>
      </w:r>
      <w:r>
        <w:rPr>
          <w:rFonts w:eastAsia="Times New Roman" w:cs="Times New Roman"/>
          <w:sz w:val="22"/>
          <w:szCs w:val="22"/>
          <w:lang w:val="en-US" w:bidi="fa-IR"/>
        </w:rPr>
        <w:t xml:space="preserve"> Governments mandate accrual accounting and performance-based budgeting, yet adoption on paper often fails to change decisions. This study asks how coercive, normative and mimetic pressures push executive agencies towards substantive implementation or symbolic compliance, how these responses affect financial accountability through the usefulness of reported information, and whether the maturity of the financial information system conditions the process. </w:t>
      </w:r>
      <w:r>
        <w:rPr>
          <w:rFonts w:eastAsia="Times New Roman" w:cs="Times New Roman"/>
          <w:b/>
          <w:bCs/>
          <w:sz w:val="22"/>
          <w:szCs w:val="22"/>
          <w:lang w:val="en-US" w:bidi="fa-IR"/>
        </w:rPr>
        <w:t>Design/methodology/approach.</w:t>
      </w:r>
      <w:r>
        <w:rPr>
          <w:rFonts w:eastAsia="Times New Roman" w:cs="Times New Roman"/>
          <w:sz w:val="22"/>
          <w:szCs w:val="22"/>
          <w:lang w:val="en-US" w:bidi="fa-IR"/>
        </w:rPr>
        <w:t xml:space="preserve"> A survey of 336 financial managers, comptrollers, budget experts and accountants in executive agencies was analysed with covariance-based structural equation modelling in which every item loads only on its own latent variable (no composites), latent interaction terms, and 2,000-draw bootstrap estimates of conditional indirect effects. </w:t>
      </w:r>
      <w:r>
        <w:rPr>
          <w:rFonts w:eastAsia="Times New Roman" w:cs="Times New Roman"/>
          <w:b/>
          <w:bCs/>
          <w:sz w:val="22"/>
          <w:szCs w:val="22"/>
          <w:lang w:val="en-US" w:bidi="fa-IR"/>
        </w:rPr>
        <w:t>Findings.</w:t>
      </w:r>
      <w:r>
        <w:rPr>
          <w:rFonts w:eastAsia="Times New Roman" w:cs="Times New Roman"/>
          <w:sz w:val="22"/>
          <w:szCs w:val="22"/>
          <w:lang w:val="en-US" w:bidi="fa-IR"/>
        </w:rPr>
        <w:t xml:space="preserve"> Coercive pressure raised both substantive implementation (β = 0.32) and symbolic compliance (β = 0.38); normative pressure raised the former (β = 0.37) and lowered the latter (β = −0.22); mimetic pressure raised symbolic compliance only (β = 0.33). Substantive implementation increased, and symbolic compliance reduced, both the usefulness of information and accountability, and usefulness mediated part of these effects. Maturity amplified the usefulness payoff of substantive implementation and dampened the translation of coercion into symbolic compliance. The net effect of coercion was close to zero because its constructive and ceremonial routes offset one another, while normative pressure had a clear positive net effect. </w:t>
      </w:r>
      <w:r>
        <w:rPr>
          <w:rFonts w:eastAsia="Times New Roman" w:cs="Times New Roman"/>
          <w:b/>
          <w:bCs/>
          <w:sz w:val="22"/>
          <w:szCs w:val="22"/>
          <w:lang w:val="en-US" w:bidi="fa-IR"/>
        </w:rPr>
        <w:t>Originality/value.</w:t>
      </w:r>
      <w:r>
        <w:rPr>
          <w:rFonts w:eastAsia="Times New Roman" w:cs="Times New Roman"/>
          <w:sz w:val="22"/>
          <w:szCs w:val="22"/>
          <w:lang w:val="en-US" w:bidi="fa-IR"/>
        </w:rPr>
        <w:t xml:space="preserve"> The study separates substantive from symbolic responses to the same pressures and shows when mandates translate into accountability. </w:t>
      </w:r>
      <w:r>
        <w:rPr>
          <w:rFonts w:eastAsia="Times New Roman" w:cs="Times New Roman"/>
          <w:b/>
          <w:bCs/>
          <w:sz w:val="22"/>
          <w:szCs w:val="22"/>
          <w:lang w:val="en-US" w:bidi="fa-IR"/>
        </w:rPr>
        <w:t>Practical implications.</w:t>
      </w:r>
      <w:r>
        <w:rPr>
          <w:rFonts w:eastAsia="Times New Roman" w:cs="Times New Roman"/>
          <w:sz w:val="22"/>
          <w:szCs w:val="22"/>
          <w:lang w:val="en-US" w:bidi="fa-IR"/>
        </w:rPr>
        <w:t xml:space="preserve"> Reform agencies should supplement mandates with professional norms, monitor use rather than submission of reports, and invest in integrated, auditable systems.</w:t>
      </w:r>
    </w:p>
    <w:p>
      <w:pPr>
        <w:pStyle w:val="Normal"/>
        <w:spacing w:lineRule="auto" w:line="276" w:before="0" w:after="40"/>
        <w:jc w:val="both"/>
        <w:rPr/>
      </w:pPr>
      <w:r>
        <w:rPr>
          <w:rFonts w:eastAsia="Times New Roman" w:cs="Times New Roman"/>
          <w:b/>
          <w:bCs/>
          <w:sz w:val="22"/>
          <w:szCs w:val="22"/>
          <w:lang w:val="en-US" w:bidi="fa-IR"/>
        </w:rPr>
        <w:t>Keywords:</w:t>
      </w:r>
      <w:r>
        <w:rPr>
          <w:rFonts w:eastAsia="Times New Roman" w:cs="Times New Roman"/>
          <w:sz w:val="22"/>
          <w:szCs w:val="22"/>
          <w:lang w:val="en-US" w:bidi="fa-IR"/>
        </w:rPr>
        <w:t xml:space="preserve"> institutional theory; decoupling; accrual accounting; performance-based budgeting; public-sector accountability; information systems</w:t>
      </w:r>
    </w:p>
    <w:p>
      <w:pPr>
        <w:pStyle w:val="Normal"/>
        <w:spacing w:lineRule="auto" w:line="276" w:before="0" w:after="40"/>
        <w:jc w:val="both"/>
        <w:rPr/>
      </w:pPr>
      <w:r>
        <w:rPr>
          <w:rFonts w:eastAsia="Times New Roman" w:cs="Times New Roman"/>
          <w:b/>
          <w:bCs/>
          <w:sz w:val="22"/>
          <w:szCs w:val="22"/>
          <w:lang w:val="en-US" w:bidi="fa-IR"/>
        </w:rPr>
        <w:t>JEL classification:</w:t>
      </w:r>
      <w:r>
        <w:rPr>
          <w:rFonts w:eastAsia="Times New Roman" w:cs="Times New Roman"/>
          <w:sz w:val="22"/>
          <w:szCs w:val="22"/>
          <w:lang w:val="en-US" w:bidi="fa-IR"/>
        </w:rPr>
        <w:t xml:space="preserve"> M41; M48; H83; D73</w:t>
      </w:r>
    </w:p>
    <w:p>
      <w:pPr>
        <w:pStyle w:val="Normal"/>
        <w:spacing w:lineRule="auto" w:line="276" w:before="0" w:after="120"/>
        <w:jc w:val="both"/>
        <w:rPr/>
      </w:pPr>
      <w:r>
        <w:rPr>
          <w:rFonts w:eastAsia="Times New Roman" w:cs="Times New Roman"/>
          <w:b/>
          <w:bCs/>
          <w:sz w:val="22"/>
          <w:szCs w:val="22"/>
          <w:lang w:val="en-US" w:bidi="fa-IR"/>
        </w:rPr>
        <w:t>Paper type:</w:t>
      </w:r>
      <w:r>
        <w:rPr>
          <w:rFonts w:eastAsia="Times New Roman" w:cs="Times New Roman"/>
          <w:sz w:val="22"/>
          <w:szCs w:val="22"/>
          <w:lang w:val="en-US" w:bidi="fa-IR"/>
        </w:rPr>
        <w:t xml:space="preserve"> Research paper</w:t>
      </w:r>
    </w:p>
    <w:p>
      <w:pPr>
        <w:pStyle w:val="Normal"/>
        <w:keepNext w:val="true"/>
        <w:spacing w:lineRule="auto" w:line="276" w:before="200" w:after="80"/>
        <w:jc w:val="left"/>
        <w:rPr/>
      </w:pPr>
      <w:r>
        <w:rPr>
          <w:rFonts w:eastAsia="Times New Roman" w:cs="Times New Roman"/>
          <w:b/>
          <w:bCs/>
          <w:sz w:val="26"/>
          <w:szCs w:val="26"/>
          <w:lang w:val="en-US" w:bidi="fa-IR"/>
        </w:rPr>
        <w:t>1. Introduction</w:t>
      </w:r>
    </w:p>
    <w:p>
      <w:pPr>
        <w:pStyle w:val="Normal"/>
        <w:spacing w:lineRule="auto" w:line="276" w:before="0" w:after="80"/>
        <w:ind w:firstLine="425"/>
        <w:jc w:val="both"/>
        <w:rPr/>
      </w:pPr>
      <w:r>
        <w:rPr>
          <w:rFonts w:eastAsia="Times New Roman" w:cs="Times New Roman"/>
          <w:sz w:val="24"/>
          <w:szCs w:val="24"/>
          <w:lang w:val="en-US" w:bidi="fa-IR"/>
        </w:rPr>
        <w:t>Over the past four decades, public-sector accounting and budgeting have been reorganised around the idea that governments should manage by information on costs, assets, liabilities and results rather than by cash and appropriations (Hood, 1991; Lapsley, 2009). Accrual accounting, internationally promoted through the International Public Sector Accounting Standards, and performance-based budgeting, which links appropriations to outputs and outcomes, are the two flagship instruments of this agenda (Pollitt &amp; Bouckaert, 2017; Christiaens et al., 2015). Their promise is better decisions and stronger accountability to legislatures, auditors and citizens.</w:t>
      </w:r>
    </w:p>
    <w:p>
      <w:pPr>
        <w:pStyle w:val="Normal"/>
        <w:spacing w:lineRule="auto" w:line="276" w:before="0" w:after="80"/>
        <w:ind w:firstLine="425"/>
        <w:jc w:val="both"/>
        <w:rPr/>
      </w:pPr>
      <w:r>
        <w:rPr>
          <w:rFonts w:eastAsia="Times New Roman" w:cs="Times New Roman"/>
          <w:sz w:val="24"/>
          <w:szCs w:val="24"/>
          <w:lang w:val="en-US" w:bidi="fa-IR"/>
        </w:rPr>
        <w:t>The evidence on delivery is mixed. Cross-country studies show that countries adopt the same standards in markedly different ways (Pina et al., 2009; Christiaens &amp; Reyniers, 2010), and the literature on performance management documents that producing performance information is not the same as using it (Moynihan, 2008; Moynihan &amp; Pandey, 2010; Kroll, 2015). Iran illustrates the gap. Public-sector accounting standards and performance-based budgeting have been introduced through legislation and development plans, but recent Iranian studies report partial implementation, legal and structural obstacles, and weak use of information: Ahmadi et al. (2023) estimate that performance-based budgeting is implemented at roughly 34, 26 and 31 per cent in strategic planning, cost analysis and performance management respectively, and Nourani and Akhlaghi Yazdinejad (2023) identify legal, structural and environmental bottlenecks to implementing public-sector accounting standards. Qualitative models (Pourghaffar et al., 2022; Naroui et al., 2020) map what a good system should contain, but we know little about what drives agencies to implement reforms substantively rather than ceremonially, and what each response costs or yields in accountability.</w:t>
      </w:r>
    </w:p>
    <w:p>
      <w:pPr>
        <w:pStyle w:val="Normal"/>
        <w:spacing w:lineRule="auto" w:line="276" w:before="0" w:after="80"/>
        <w:ind w:firstLine="425"/>
        <w:jc w:val="both"/>
        <w:rPr/>
      </w:pPr>
      <w:r>
        <w:rPr>
          <w:rFonts w:eastAsia="Times New Roman" w:cs="Times New Roman"/>
          <w:sz w:val="24"/>
          <w:szCs w:val="24"/>
          <w:lang w:val="en-US" w:bidi="fa-IR"/>
        </w:rPr>
        <w:t>Institutional theory offers a precise language for this puzzle. Organisations facing coercive, normative and mimetic pressures adopt structures to gain legitimacy (DiMaggio &amp; Powell, 1983), and formal adoption may be decoupled from operations (Meyer &amp; Rowan, 1977; Bromley &amp; Powell, 2012). Yet three gaps remain. First, empirical accounting studies rarely treat substantive implementation and symbolic compliance as two distinct outcomes of the same pressures; they tend to measure “adoption” as a single construct. Second, the mechanism linking implementation to accountability—whether reported information is actually useful to those who decide—has seldom been modelled. Third, the role of the information infrastructure in making ceremonial behaviour visible, and substantive behaviour productive, is under-theorised, despite the emphasis on integrated digital systems in public-management reform (Dunleavy et al., 2006; DeLone &amp; McLean, 2003).</w:t>
      </w:r>
    </w:p>
    <w:p>
      <w:pPr>
        <w:pStyle w:val="Normal"/>
        <w:spacing w:lineRule="auto" w:line="276" w:before="0" w:after="80"/>
        <w:ind w:firstLine="425"/>
        <w:jc w:val="both"/>
        <w:rPr/>
      </w:pPr>
      <w:r>
        <w:rPr>
          <w:rFonts w:eastAsia="Times New Roman" w:cs="Times New Roman"/>
          <w:sz w:val="24"/>
          <w:szCs w:val="24"/>
          <w:lang w:val="en-US" w:bidi="fa-IR"/>
        </w:rPr>
        <w:t>This paper addresses these gaps with a survey of financial and budget staff in Iranian executive agencies. It makes three contributions. (i) It shows that institutional pressure is not a single cause with a single effect: coercion drives both substantive and symbolic responses, normative pressure favours substance, and mimetic pressure breeds form. (ii) It identifies usefulness of reported information as the bridge from implementation to accountability and quantifies the offsetting routes that make the net effect of coercion small. (iii) It demonstrates that information-system maturity conditions both the payoff of substantive implementation and the pull of coercion towards ceremony. Methodologically, the study estimates a fully latent model with latent interactions and bootstrap conditional indirect effects instead of the summed or averaged scale scores that dominate the field.</w:t>
      </w:r>
    </w:p>
    <w:p>
      <w:pPr>
        <w:pStyle w:val="Normal"/>
        <w:spacing w:lineRule="auto" w:line="276" w:before="0" w:after="80"/>
        <w:ind w:firstLine="425"/>
        <w:jc w:val="both"/>
        <w:rPr/>
      </w:pPr>
      <w:r>
        <w:rPr>
          <w:rFonts w:eastAsia="Times New Roman" w:cs="Times New Roman"/>
          <w:sz w:val="24"/>
          <w:szCs w:val="24"/>
          <w:lang w:val="en-US" w:bidi="fa-IR"/>
        </w:rPr>
        <w:t>The remainder of the paper is organised as follows. Section 2 develops the theory and hypotheses; Section 3 describes data, measures and methods; Section 4 reports results, including competing models and robustness checks; Section 5 discusses theoretical, practical and policy implications; Section 6 outlines limitations and future research. Appendices report the full instrument, measurement and structural estimates, and supplementary analyses.</w:t>
      </w:r>
    </w:p>
    <w:p>
      <w:pPr>
        <w:pStyle w:val="Normal"/>
        <w:keepNext w:val="true"/>
        <w:spacing w:lineRule="auto" w:line="276" w:before="200" w:after="80"/>
        <w:jc w:val="left"/>
        <w:rPr/>
      </w:pPr>
      <w:r>
        <w:rPr>
          <w:rFonts w:eastAsia="Times New Roman" w:cs="Times New Roman"/>
          <w:b/>
          <w:bCs/>
          <w:sz w:val="26"/>
          <w:szCs w:val="26"/>
          <w:lang w:val="en-US" w:bidi="fa-IR"/>
        </w:rPr>
        <w:t>2. Theory and hypotheses</w:t>
      </w:r>
    </w:p>
    <w:p>
      <w:pPr>
        <w:pStyle w:val="Normal"/>
        <w:keepNext w:val="true"/>
        <w:spacing w:lineRule="auto" w:line="276" w:before="140" w:after="60"/>
        <w:jc w:val="left"/>
        <w:rPr/>
      </w:pPr>
      <w:r>
        <w:rPr>
          <w:rFonts w:eastAsia="Times New Roman" w:cs="Times New Roman"/>
          <w:b/>
          <w:bCs/>
          <w:sz w:val="24"/>
          <w:szCs w:val="24"/>
          <w:lang w:val="en-US" w:bidi="fa-IR"/>
        </w:rPr>
        <w:t>2.1 Institutional pressures and organisational responses</w:t>
      </w:r>
    </w:p>
    <w:p>
      <w:pPr>
        <w:pStyle w:val="Normal"/>
        <w:spacing w:lineRule="auto" w:line="276" w:before="0" w:after="80"/>
        <w:ind w:firstLine="425"/>
        <w:jc w:val="both"/>
        <w:rPr/>
      </w:pPr>
      <w:r>
        <w:rPr>
          <w:rFonts w:eastAsia="Times New Roman" w:cs="Times New Roman"/>
          <w:sz w:val="24"/>
          <w:szCs w:val="24"/>
          <w:lang w:val="en-US" w:bidi="fa-IR"/>
        </w:rPr>
        <w:t>DiMaggio and Powell (1983) distinguish three mechanisms of institutional isomorphism. Coercive pressure stems from formal and informal pressures exerted by organisations on which an agency depends, and from legal mandates; normative pressure arises from professionalisation, training and occupational networks; mimetic pressure arises when uncertainty leads organisations to imitate peers perceived as legitimate. Scott (2014) links these mechanisms to the regulative, normative and cultural-cognitive pillars of institutions. Empirically the three are correlated but not interchangeable, and research on their effects shows that their consequences differ (Mizruchi &amp; Fein, 1999; Teo et al., 2003).</w:t>
      </w:r>
    </w:p>
    <w:p>
      <w:pPr>
        <w:pStyle w:val="Normal"/>
        <w:spacing w:lineRule="auto" w:line="276" w:before="0" w:after="80"/>
        <w:ind w:firstLine="425"/>
        <w:jc w:val="both"/>
        <w:rPr/>
      </w:pPr>
      <w:r>
        <w:rPr>
          <w:rFonts w:eastAsia="Times New Roman" w:cs="Times New Roman"/>
          <w:sz w:val="24"/>
          <w:szCs w:val="24"/>
          <w:lang w:val="en-US" w:bidi="fa-IR"/>
        </w:rPr>
        <w:t xml:space="preserve">Organisations are not passive recipients. Oliver (1991) describes a repertoire of strategic responses from acquiescence to avoidance, and Kostova and Roth (2002) separate ceremonial adoption—the practice is adopted formally without understanding or commitment—from internalisation, in which employees value and use it. In public accounting, performance measures and accrual statements are particularly prone to ceremonial use because they are visible to superiors, legible as signals of modernisation, and costly to verify (Brignall &amp; Modell, 2000; Modell, 2009). We therefore define two organisational responses. </w:t>
      </w:r>
      <w:r>
        <w:rPr>
          <w:rFonts w:eastAsia="Times New Roman" w:cs="Times New Roman"/>
          <w:b/>
          <w:bCs/>
          <w:sz w:val="24"/>
          <w:szCs w:val="24"/>
          <w:lang w:val="en-US" w:bidi="fa-IR"/>
        </w:rPr>
        <w:t>Substantive implementation</w:t>
      </w:r>
      <w:r>
        <w:rPr>
          <w:rFonts w:eastAsia="Times New Roman" w:cs="Times New Roman"/>
          <w:sz w:val="24"/>
          <w:szCs w:val="24"/>
          <w:lang w:val="en-US" w:bidi="fa-IR"/>
        </w:rPr>
        <w:t xml:space="preserve"> is the use of programme structures, cost information and accrual statements in preparing budgets and in managerial decisions. </w:t>
      </w:r>
      <w:r>
        <w:rPr>
          <w:rFonts w:eastAsia="Times New Roman" w:cs="Times New Roman"/>
          <w:b/>
          <w:bCs/>
          <w:sz w:val="24"/>
          <w:szCs w:val="24"/>
          <w:lang w:val="en-US" w:bidi="fa-IR"/>
        </w:rPr>
        <w:t>Symbolic compliance</w:t>
      </w:r>
      <w:r>
        <w:rPr>
          <w:rFonts w:eastAsia="Times New Roman" w:cs="Times New Roman"/>
          <w:sz w:val="24"/>
          <w:szCs w:val="24"/>
          <w:lang w:val="en-US" w:bidi="fa-IR"/>
        </w:rPr>
        <w:t xml:space="preserve"> is the production of reports and indicators mainly for submission to higher authorities, with indicators that are easy to meet and little effect on resource allocation.</w:t>
      </w:r>
    </w:p>
    <w:p>
      <w:pPr>
        <w:pStyle w:val="Normal"/>
        <w:keepNext w:val="true"/>
        <w:spacing w:lineRule="auto" w:line="276" w:before="140" w:after="60"/>
        <w:jc w:val="left"/>
        <w:rPr/>
      </w:pPr>
      <w:r>
        <w:rPr>
          <w:rFonts w:eastAsia="Times New Roman" w:cs="Times New Roman"/>
          <w:b/>
          <w:bCs/>
          <w:sz w:val="24"/>
          <w:szCs w:val="24"/>
          <w:lang w:val="en-US" w:bidi="fa-IR"/>
        </w:rPr>
        <w:t>2.2 Pressures and responses (H1–H5)</w:t>
      </w:r>
    </w:p>
    <w:p>
      <w:pPr>
        <w:pStyle w:val="Normal"/>
        <w:spacing w:lineRule="auto" w:line="276" w:before="0" w:after="80"/>
        <w:ind w:firstLine="425"/>
        <w:jc w:val="both"/>
        <w:rPr/>
      </w:pPr>
      <w:r>
        <w:rPr>
          <w:rFonts w:eastAsia="Times New Roman" w:cs="Times New Roman"/>
          <w:sz w:val="24"/>
          <w:szCs w:val="24"/>
          <w:lang w:val="en-US" w:bidi="fa-IR"/>
        </w:rPr>
        <w:t>Coercive pressure makes non-adoption costly and behaviour observable. Where legal mandates and oversight are strong, agencies have reasons both to implement and to display implementation (DiMaggio &amp; Powell, 1983; Oliver, 1991). Because mandates do not distinguish between the two, we expect coercion to raise both responses (H1, H2). Normative pressure operates by shaping professional identity: accountants and comptrollers who see accrual information as a mark of professional competence internalise it, which should raise substantive implementation and reduce reliance on ritual (H3, H4) (DiMaggio &amp; Powell, 1983; Greenwood et al., 2011). Mimetic pressure, by contrast, supplies templates; imitation is cheap, copies form rather than function, and is most attractive when the agency lacks the capacity or incentive to internalise. We therefore expect mimetic pressure to raise symbolic compliance (H5) but not to promote substantive implementation, a path we estimate but do not hypothesise.</w:t>
      </w:r>
    </w:p>
    <w:p>
      <w:pPr>
        <w:pStyle w:val="Normal"/>
        <w:spacing w:lineRule="auto" w:line="276" w:before="0" w:after="80"/>
        <w:jc w:val="both"/>
        <w:rPr/>
      </w:pPr>
      <w:r>
        <w:rPr>
          <w:rFonts w:eastAsia="Times New Roman" w:cs="Times New Roman"/>
          <w:b/>
          <w:bCs/>
          <w:sz w:val="24"/>
          <w:szCs w:val="24"/>
          <w:lang w:val="en-US" w:bidi="fa-IR"/>
        </w:rPr>
        <w:t>H1:</w:t>
      </w:r>
      <w:r>
        <w:rPr>
          <w:rFonts w:eastAsia="Times New Roman" w:cs="Times New Roman"/>
          <w:sz w:val="24"/>
          <w:szCs w:val="24"/>
          <w:lang w:val="en-US" w:bidi="fa-IR"/>
        </w:rPr>
        <w:t xml:space="preserve"> Coercive pressure is positively related to substantive implementation.  </w:t>
      </w:r>
      <w:r>
        <w:rPr>
          <w:rFonts w:eastAsia="Times New Roman" w:cs="Times New Roman"/>
          <w:b/>
          <w:bCs/>
          <w:sz w:val="24"/>
          <w:szCs w:val="24"/>
          <w:lang w:val="en-US" w:bidi="fa-IR"/>
        </w:rPr>
        <w:t>H2:</w:t>
      </w:r>
      <w:r>
        <w:rPr>
          <w:rFonts w:eastAsia="Times New Roman" w:cs="Times New Roman"/>
          <w:sz w:val="24"/>
          <w:szCs w:val="24"/>
          <w:lang w:val="en-US" w:bidi="fa-IR"/>
        </w:rPr>
        <w:t xml:space="preserve"> Coercive pressure is positively related to symbolic compliance.  </w:t>
      </w:r>
      <w:r>
        <w:rPr>
          <w:rFonts w:eastAsia="Times New Roman" w:cs="Times New Roman"/>
          <w:b/>
          <w:bCs/>
          <w:sz w:val="24"/>
          <w:szCs w:val="24"/>
          <w:lang w:val="en-US" w:bidi="fa-IR"/>
        </w:rPr>
        <w:t>H3:</w:t>
      </w:r>
      <w:r>
        <w:rPr>
          <w:rFonts w:eastAsia="Times New Roman" w:cs="Times New Roman"/>
          <w:sz w:val="24"/>
          <w:szCs w:val="24"/>
          <w:lang w:val="en-US" w:bidi="fa-IR"/>
        </w:rPr>
        <w:t xml:space="preserve"> Normative pressure is positively related to substantive implementation.  </w:t>
      </w:r>
      <w:r>
        <w:rPr>
          <w:rFonts w:eastAsia="Times New Roman" w:cs="Times New Roman"/>
          <w:b/>
          <w:bCs/>
          <w:sz w:val="24"/>
          <w:szCs w:val="24"/>
          <w:lang w:val="en-US" w:bidi="fa-IR"/>
        </w:rPr>
        <w:t>H4:</w:t>
      </w:r>
      <w:r>
        <w:rPr>
          <w:rFonts w:eastAsia="Times New Roman" w:cs="Times New Roman"/>
          <w:sz w:val="24"/>
          <w:szCs w:val="24"/>
          <w:lang w:val="en-US" w:bidi="fa-IR"/>
        </w:rPr>
        <w:t xml:space="preserve"> Normative pressure is negatively related to symbolic compliance.  </w:t>
      </w:r>
      <w:r>
        <w:rPr>
          <w:rFonts w:eastAsia="Times New Roman" w:cs="Times New Roman"/>
          <w:b/>
          <w:bCs/>
          <w:sz w:val="24"/>
          <w:szCs w:val="24"/>
          <w:lang w:val="en-US" w:bidi="fa-IR"/>
        </w:rPr>
        <w:t>H5:</w:t>
      </w:r>
      <w:r>
        <w:rPr>
          <w:rFonts w:eastAsia="Times New Roman" w:cs="Times New Roman"/>
          <w:sz w:val="24"/>
          <w:szCs w:val="24"/>
          <w:lang w:val="en-US" w:bidi="fa-IR"/>
        </w:rPr>
        <w:t xml:space="preserve"> Mimetic pressure is positively related to symbolic compliance.</w:t>
      </w:r>
    </w:p>
    <w:p>
      <w:pPr>
        <w:pStyle w:val="Normal"/>
        <w:keepNext w:val="true"/>
        <w:spacing w:lineRule="auto" w:line="276" w:before="140" w:after="60"/>
        <w:jc w:val="left"/>
        <w:rPr/>
      </w:pPr>
      <w:r>
        <w:rPr>
          <w:rFonts w:eastAsia="Times New Roman" w:cs="Times New Roman"/>
          <w:b/>
          <w:bCs/>
          <w:sz w:val="24"/>
          <w:szCs w:val="24"/>
          <w:lang w:val="en-US" w:bidi="fa-IR"/>
        </w:rPr>
        <w:t>2.3 From implementation to usefulness and accountability (H6–H10)</w:t>
      </w:r>
    </w:p>
    <w:p>
      <w:pPr>
        <w:pStyle w:val="Normal"/>
        <w:spacing w:lineRule="auto" w:line="276" w:before="0" w:after="80"/>
        <w:ind w:firstLine="425"/>
        <w:jc w:val="both"/>
        <w:rPr/>
      </w:pPr>
      <w:r>
        <w:rPr>
          <w:rFonts w:eastAsia="Times New Roman" w:cs="Times New Roman"/>
          <w:sz w:val="24"/>
          <w:szCs w:val="24"/>
          <w:lang w:val="en-US" w:bidi="fa-IR"/>
        </w:rPr>
        <w:t>Reforms create value only when information is used (Moynihan, 2008; Moynihan &amp; Pandey, 2010). When agencies implement substantively, cost and accrual information enters budget preparation and management meetings and is therefore timely, understandable and relevant; when compliance is symbolic, reports are produced for form, are less trusted internally and are discounted by users (Kroll, 2015; Modell, 2009). We define the usefulness of reported information as the extent to which information is the basis of managerial decisions, is timely and understandable, gives a fuller picture than cash accounting and is reliable for evaluating efficiency and effectiveness. Accountability, following Bovens (2007), is a relationship in which the actor informs, justifies and accepts consequences; it is also a core input to public value (Moore, 1995; Bracci et al., 2015). Substantive implementation should strengthen accountability directly, by making deviations traceable and responsibilities clear, and indirectly, through usefulness; symbolic compliance should weaken it by providing information that cannot be verified or acted upon.</w:t>
      </w:r>
    </w:p>
    <w:p>
      <w:pPr>
        <w:pStyle w:val="Normal"/>
        <w:spacing w:lineRule="auto" w:line="276" w:before="0" w:after="80"/>
        <w:jc w:val="both"/>
        <w:rPr/>
      </w:pPr>
      <w:r>
        <w:rPr>
          <w:rFonts w:eastAsia="Times New Roman" w:cs="Times New Roman"/>
          <w:b/>
          <w:bCs/>
          <w:sz w:val="24"/>
          <w:szCs w:val="24"/>
          <w:lang w:val="en-US" w:bidi="fa-IR"/>
        </w:rPr>
        <w:t>H6:</w:t>
      </w:r>
      <w:r>
        <w:rPr>
          <w:rFonts w:eastAsia="Times New Roman" w:cs="Times New Roman"/>
          <w:sz w:val="24"/>
          <w:szCs w:val="24"/>
          <w:lang w:val="en-US" w:bidi="fa-IR"/>
        </w:rPr>
        <w:t xml:space="preserve"> Substantive implementation is positively related to usefulness of information.  </w:t>
      </w:r>
      <w:r>
        <w:rPr>
          <w:rFonts w:eastAsia="Times New Roman" w:cs="Times New Roman"/>
          <w:b/>
          <w:bCs/>
          <w:sz w:val="24"/>
          <w:szCs w:val="24"/>
          <w:lang w:val="en-US" w:bidi="fa-IR"/>
        </w:rPr>
        <w:t>H7:</w:t>
      </w:r>
      <w:r>
        <w:rPr>
          <w:rFonts w:eastAsia="Times New Roman" w:cs="Times New Roman"/>
          <w:sz w:val="24"/>
          <w:szCs w:val="24"/>
          <w:lang w:val="en-US" w:bidi="fa-IR"/>
        </w:rPr>
        <w:t xml:space="preserve"> Symbolic compliance is negatively related to usefulness of information.  </w:t>
      </w:r>
      <w:r>
        <w:rPr>
          <w:rFonts w:eastAsia="Times New Roman" w:cs="Times New Roman"/>
          <w:b/>
          <w:bCs/>
          <w:sz w:val="24"/>
          <w:szCs w:val="24"/>
          <w:lang w:val="en-US" w:bidi="fa-IR"/>
        </w:rPr>
        <w:t>H8:</w:t>
      </w:r>
      <w:r>
        <w:rPr>
          <w:rFonts w:eastAsia="Times New Roman" w:cs="Times New Roman"/>
          <w:sz w:val="24"/>
          <w:szCs w:val="24"/>
          <w:lang w:val="en-US" w:bidi="fa-IR"/>
        </w:rPr>
        <w:t xml:space="preserve"> Substantive implementation is positively related to financial accountability.  </w:t>
      </w:r>
      <w:r>
        <w:rPr>
          <w:rFonts w:eastAsia="Times New Roman" w:cs="Times New Roman"/>
          <w:b/>
          <w:bCs/>
          <w:sz w:val="24"/>
          <w:szCs w:val="24"/>
          <w:lang w:val="en-US" w:bidi="fa-IR"/>
        </w:rPr>
        <w:t>H9:</w:t>
      </w:r>
      <w:r>
        <w:rPr>
          <w:rFonts w:eastAsia="Times New Roman" w:cs="Times New Roman"/>
          <w:sz w:val="24"/>
          <w:szCs w:val="24"/>
          <w:lang w:val="en-US" w:bidi="fa-IR"/>
        </w:rPr>
        <w:t xml:space="preserve"> Symbolic compliance is negatively related to financial accountability.  </w:t>
      </w:r>
      <w:r>
        <w:rPr>
          <w:rFonts w:eastAsia="Times New Roman" w:cs="Times New Roman"/>
          <w:b/>
          <w:bCs/>
          <w:sz w:val="24"/>
          <w:szCs w:val="24"/>
          <w:lang w:val="en-US" w:bidi="fa-IR"/>
        </w:rPr>
        <w:t>H10:</w:t>
      </w:r>
      <w:r>
        <w:rPr>
          <w:rFonts w:eastAsia="Times New Roman" w:cs="Times New Roman"/>
          <w:sz w:val="24"/>
          <w:szCs w:val="24"/>
          <w:lang w:val="en-US" w:bidi="fa-IR"/>
        </w:rPr>
        <w:t xml:space="preserve"> Usefulness of information is positively related to financial accountability.</w:t>
      </w:r>
    </w:p>
    <w:p>
      <w:pPr>
        <w:pStyle w:val="Normal"/>
        <w:keepNext w:val="true"/>
        <w:spacing w:lineRule="auto" w:line="276" w:before="140" w:after="60"/>
        <w:jc w:val="left"/>
        <w:rPr/>
      </w:pPr>
      <w:r>
        <w:rPr>
          <w:rFonts w:eastAsia="Times New Roman" w:cs="Times New Roman"/>
          <w:b/>
          <w:bCs/>
          <w:sz w:val="24"/>
          <w:szCs w:val="24"/>
          <w:lang w:val="en-US" w:bidi="fa-IR"/>
        </w:rPr>
        <w:t>2.4 The conditioning role of information-system maturity (H11–H12)</w:t>
      </w:r>
    </w:p>
    <w:p>
      <w:pPr>
        <w:pStyle w:val="Normal"/>
        <w:spacing w:lineRule="auto" w:line="276" w:before="0" w:after="80"/>
        <w:ind w:firstLine="425"/>
        <w:jc w:val="both"/>
        <w:rPr/>
      </w:pPr>
      <w:r>
        <w:rPr>
          <w:rFonts w:eastAsia="Times New Roman" w:cs="Times New Roman"/>
          <w:sz w:val="24"/>
          <w:szCs w:val="24"/>
          <w:lang w:val="en-US" w:bidi="fa-IR"/>
        </w:rPr>
        <w:t>Information-systems research holds that the benefits of information depend on system and information quality (DeLone &amp; McLean, 2003), and digital-era governance stresses integration, reintegration of functions and transparency (Dunleavy et al., 2006). We define maturity as the integration, real-time availability and auditability of the agency's financial systems. Maturity should play two roles. First, integrated and timely data allow substantive implementation to deliver usable information; maturity should therefore strengthen the effect of substantive implementation on usefulness (H11). Second, auditable trails and traceable changes raise the cost of reporting that is detached from practice; maturity should therefore weaken the pathway from coercive pressure to symbolic compliance, because mandated reporting becomes verifiable rather than ceremonial (H12).</w:t>
      </w:r>
    </w:p>
    <w:p>
      <w:pPr>
        <w:pStyle w:val="Normal"/>
        <w:spacing w:lineRule="auto" w:line="276" w:before="0" w:after="80"/>
        <w:jc w:val="both"/>
        <w:rPr/>
      </w:pPr>
      <w:r>
        <w:rPr>
          <w:rFonts w:eastAsia="Times New Roman" w:cs="Times New Roman"/>
          <w:b/>
          <w:bCs/>
          <w:sz w:val="24"/>
          <w:szCs w:val="24"/>
          <w:lang w:val="en-US" w:bidi="fa-IR"/>
        </w:rPr>
        <w:t>H11:</w:t>
      </w:r>
      <w:r>
        <w:rPr>
          <w:rFonts w:eastAsia="Times New Roman" w:cs="Times New Roman"/>
          <w:sz w:val="24"/>
          <w:szCs w:val="24"/>
          <w:lang w:val="en-US" w:bidi="fa-IR"/>
        </w:rPr>
        <w:t xml:space="preserve"> Information-system maturity strengthens the positive effect of substantive implementation on usefulness of information.  </w:t>
      </w:r>
      <w:r>
        <w:rPr>
          <w:rFonts w:eastAsia="Times New Roman" w:cs="Times New Roman"/>
          <w:b/>
          <w:bCs/>
          <w:sz w:val="24"/>
          <w:szCs w:val="24"/>
          <w:lang w:val="en-US" w:bidi="fa-IR"/>
        </w:rPr>
        <w:t>H12:</w:t>
      </w:r>
      <w:r>
        <w:rPr>
          <w:rFonts w:eastAsia="Times New Roman" w:cs="Times New Roman"/>
          <w:sz w:val="24"/>
          <w:szCs w:val="24"/>
          <w:lang w:val="en-US" w:bidi="fa-IR"/>
        </w:rPr>
        <w:t xml:space="preserve"> Information-system maturity weakens the positive effect of coercive pressure on symbolic compliance.  </w:t>
      </w:r>
      <w:r>
        <w:rPr>
          <w:rFonts w:eastAsia="Times New Roman" w:cs="Times New Roman"/>
          <w:b/>
          <w:bCs/>
          <w:sz w:val="24"/>
          <w:szCs w:val="24"/>
          <w:lang w:val="en-US" w:bidi="fa-IR"/>
        </w:rPr>
        <w:t>H13 (mediation):</w:t>
      </w:r>
      <w:r>
        <w:rPr>
          <w:rFonts w:eastAsia="Times New Roman" w:cs="Times New Roman"/>
          <w:sz w:val="24"/>
          <w:szCs w:val="24"/>
          <w:lang w:val="en-US" w:bidi="fa-IR"/>
        </w:rPr>
        <w:t xml:space="preserve"> Institutional pressures exert indirect effects on accountability through substantive implementation and symbolic compliance, via usefulness.</w:t>
      </w:r>
    </w:p>
    <w:p>
      <w:pPr>
        <w:pStyle w:val="Normal"/>
        <w:keepNext w:val="true"/>
        <w:jc w:val="center"/>
        <w:rPr/>
      </w:pPr>
      <w:r>
        <w:rPr/>
        <w:drawing>
          <wp:inline distT="0" distB="0" distL="0" distR="0">
            <wp:extent cx="5579745" cy="3105150"/>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5579745" cy="3105150"/>
                    </a:xfrm>
                    <a:prstGeom prst="rect">
                      <a:avLst/>
                    </a:prstGeom>
                  </pic:spPr>
                </pic:pic>
              </a:graphicData>
            </a:graphic>
          </wp:inline>
        </w:drawing>
      </w:r>
    </w:p>
    <w:p>
      <w:pPr>
        <w:pStyle w:val="Normal"/>
        <w:spacing w:lineRule="auto" w:line="276" w:before="40" w:after="160"/>
        <w:jc w:val="left"/>
        <w:rPr/>
      </w:pPr>
      <w:r>
        <w:rPr>
          <w:rFonts w:eastAsia="Times New Roman" w:cs="Times New Roman"/>
          <w:b/>
          <w:bCs/>
          <w:sz w:val="22"/>
          <w:szCs w:val="22"/>
          <w:lang w:val="en-US" w:bidi="fa-IR"/>
        </w:rPr>
        <w:t>Figure 1. Conceptual model. Solid arrows: structural paths; dashed orange arrows: moderation by information-system maturity.</w:t>
      </w:r>
    </w:p>
    <w:p>
      <w:pPr>
        <w:pStyle w:val="Normal"/>
        <w:keepNext w:val="true"/>
        <w:spacing w:lineRule="auto" w:line="276" w:before="200" w:after="80"/>
        <w:jc w:val="left"/>
        <w:rPr/>
      </w:pPr>
      <w:r>
        <w:rPr>
          <w:rFonts w:eastAsia="Times New Roman" w:cs="Times New Roman"/>
          <w:b/>
          <w:bCs/>
          <w:sz w:val="26"/>
          <w:szCs w:val="26"/>
          <w:lang w:val="en-US" w:bidi="fa-IR"/>
        </w:rPr>
        <w:t>3. Data and method</w:t>
      </w:r>
    </w:p>
    <w:p>
      <w:pPr>
        <w:pStyle w:val="Normal"/>
        <w:keepNext w:val="true"/>
        <w:spacing w:lineRule="auto" w:line="276" w:before="140" w:after="60"/>
        <w:jc w:val="left"/>
        <w:rPr/>
      </w:pPr>
      <w:r>
        <w:rPr>
          <w:rFonts w:eastAsia="Times New Roman" w:cs="Times New Roman"/>
          <w:b/>
          <w:bCs/>
          <w:sz w:val="24"/>
          <w:szCs w:val="24"/>
          <w:lang w:val="en-US" w:bidi="fa-IR"/>
        </w:rPr>
        <w:t>3.1 Context, sample and procedure</w:t>
      </w:r>
    </w:p>
    <w:p>
      <w:pPr>
        <w:pStyle w:val="Normal"/>
        <w:spacing w:lineRule="auto" w:line="276" w:before="0" w:after="80"/>
        <w:ind w:firstLine="425"/>
        <w:jc w:val="both"/>
        <w:rPr/>
      </w:pPr>
      <w:r>
        <w:rPr>
          <w:rFonts w:eastAsia="Times New Roman" w:cs="Times New Roman"/>
          <w:sz w:val="24"/>
          <w:szCs w:val="24"/>
          <w:lang w:val="en-US" w:bidi="fa-IR"/>
        </w:rPr>
        <w:t xml:space="preserve">The study population comprises financial managers, comptrollers, budget experts and accountants or internal auditors of executive agencies. The analysed sample has 336 respondents: 35% from ministries and national organisations, 30% from universities and health-care institutions, 18% from municipalities and local bodies and 17% from provincial offices; the mean professional experience is 13.8 years (SD = 7.0) and the mean age 45.3 years (SD = 7.3). </w:t>
      </w:r>
      <w:r>
        <w:rPr>
          <w:rFonts w:eastAsia="Times New Roman" w:cs="Times New Roman"/>
          <w:sz w:val="24"/>
          <w:szCs w:val="24"/>
          <w:highlight w:val="yellow"/>
          <w:lang w:val="en-US" w:bidi="fa-IR"/>
        </w:rPr>
        <w:t>[Sampling procedure, fieldwork period, distribution channel and response rate must be completed from the actual administration.]</w:t>
      </w:r>
      <w:r>
        <w:rPr>
          <w:rFonts w:eastAsia="Times New Roman" w:cs="Times New Roman"/>
          <w:sz w:val="24"/>
          <w:szCs w:val="24"/>
          <w:lang w:val="en-US" w:bidi="fa-IR"/>
        </w:rPr>
        <w:t xml:space="preserve"> Respondents rated the agency in which they work; anonymity was assured and answers are analysed in aggregate.</w:t>
      </w:r>
    </w:p>
    <w:p>
      <w:pPr>
        <w:pStyle w:val="Normal"/>
        <w:spacing w:lineRule="auto" w:line="276" w:before="0" w:after="80"/>
        <w:ind w:firstLine="425"/>
        <w:jc w:val="both"/>
        <w:rPr/>
      </w:pPr>
      <w:r>
        <w:rPr>
          <w:rFonts w:eastAsia="Times New Roman" w:cs="Times New Roman"/>
          <w:sz w:val="24"/>
          <w:szCs w:val="24"/>
          <w:lang w:val="en-US" w:bidi="fa-IR"/>
        </w:rPr>
        <w:t>With 116 free parameters the ratio of observations to parameters is 2.9:1, below the conventional 10:1 rule of thumb. We therefore base the adequacy of the sample on power analysis for covariance-structure models (MacCallum et al., 1996): for the degrees of freedom of the structural model, power to reject close fit (RMSEA = .05) against RMSEA = .08 exceeds .99. Because latent variables with multiple reflective indicators absorb measurement error, and the loadings are high, we regard N = 336 as adequate for the model, but we report DWLS and trimmed-sample estimates as checks.</w:t>
      </w:r>
    </w:p>
    <w:p>
      <w:pPr>
        <w:pStyle w:val="Normal"/>
        <w:keepNext w:val="true"/>
        <w:spacing w:lineRule="auto" w:line="276" w:before="140" w:after="60"/>
        <w:jc w:val="left"/>
        <w:rPr/>
      </w:pPr>
      <w:r>
        <w:rPr>
          <w:rFonts w:eastAsia="Times New Roman" w:cs="Times New Roman"/>
          <w:b/>
          <w:bCs/>
          <w:sz w:val="24"/>
          <w:szCs w:val="24"/>
          <w:lang w:val="en-US" w:bidi="fa-IR"/>
        </w:rPr>
        <w:t>3.2 Measures</w:t>
      </w:r>
    </w:p>
    <w:p>
      <w:pPr>
        <w:pStyle w:val="Normal"/>
        <w:spacing w:lineRule="auto" w:line="276" w:before="0" w:after="80"/>
        <w:ind w:firstLine="425"/>
        <w:jc w:val="both"/>
        <w:rPr/>
      </w:pPr>
      <w:r>
        <w:rPr>
          <w:rFonts w:eastAsia="Times New Roman" w:cs="Times New Roman"/>
          <w:sz w:val="24"/>
          <w:szCs w:val="24"/>
          <w:lang w:val="en-US" w:bidi="fa-IR"/>
        </w:rPr>
        <w:t xml:space="preserve">All constructs are measured with five-point agreement items (Appendix A). Table 1 shows the origin of each scale. The three pressure scales are adapted from the institutional-pressure measures of Teo et al. (2003), re-worded for budgeting and accrual reforms; substantive implementation, symbolic compliance and accountability are researcher-developed from the literature; maturity and usefulness combine adapted and new items. No scale is a published, validated instrument in this exact form, so we provide extensive validity evidence below. Content validity was assessed with the content validity ratio and index (Lawshe, 1975; Polit &amp; Beck, 2006) </w:t>
      </w:r>
      <w:r>
        <w:rPr>
          <w:rFonts w:eastAsia="Times New Roman" w:cs="Times New Roman"/>
          <w:sz w:val="24"/>
          <w:szCs w:val="24"/>
          <w:highlight w:val="yellow"/>
          <w:lang w:val="en-US" w:bidi="fa-IR"/>
        </w:rPr>
        <w:t>[report the number of experts and the actual CVR/CVI values]</w:t>
      </w:r>
      <w:r>
        <w:rPr>
          <w:rFonts w:eastAsia="Times New Roman" w:cs="Times New Roman"/>
          <w:sz w:val="24"/>
          <w:szCs w:val="24"/>
          <w:lang w:val="en-US" w:bidi="fa-IR"/>
        </w:rPr>
        <w:t>. Latent variables are never summed or averaged: every item is an indicator of its own latent variable only.</w:t>
      </w:r>
    </w:p>
    <w:p>
      <w:pPr>
        <w:pStyle w:val="Normal"/>
        <w:keepNext w:val="true"/>
        <w:spacing w:lineRule="auto" w:line="276" w:before="140" w:after="60"/>
        <w:jc w:val="left"/>
        <w:rPr/>
      </w:pPr>
      <w:r>
        <w:rPr>
          <w:rFonts w:eastAsia="Times New Roman" w:cs="Times New Roman"/>
          <w:b/>
          <w:bCs/>
          <w:sz w:val="22"/>
          <w:szCs w:val="22"/>
          <w:lang w:val="en-US" w:bidi="fa-IR"/>
        </w:rPr>
        <w:t>Table 1. Constructs, number of items, origin of the scales and principal sources</w:t>
      </w:r>
    </w:p>
    <w:tbl>
      <w:tblPr>
        <w:tblW w:w="9300" w:type="dxa"/>
        <w:jc w:val="center"/>
        <w:tblInd w:w="0" w:type="dxa"/>
        <w:tblLayout w:type="fixed"/>
        <w:tblCellMar>
          <w:top w:w="0" w:type="dxa"/>
          <w:left w:w="60" w:type="dxa"/>
          <w:bottom w:w="0" w:type="dxa"/>
          <w:right w:w="60" w:type="dxa"/>
        </w:tblCellMar>
      </w:tblPr>
      <w:tblGrid>
        <w:gridCol w:w="2499"/>
        <w:gridCol w:w="600"/>
        <w:gridCol w:w="1700"/>
        <w:gridCol w:w="4500"/>
      </w:tblGrid>
      <w:tr>
        <w:trPr>
          <w:tblHeader w:val="true"/>
        </w:trPr>
        <w:tc>
          <w:tcPr>
            <w:tcW w:w="24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9"/>
                <w:szCs w:val="19"/>
                <w:lang w:val="en-US" w:bidi="fa-IR"/>
              </w:rPr>
              <w:t>Construct</w:t>
            </w:r>
          </w:p>
        </w:tc>
        <w:tc>
          <w:tcPr>
            <w:tcW w:w="6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Items</w:t>
            </w:r>
          </w:p>
        </w:tc>
        <w:tc>
          <w:tcPr>
            <w:tcW w:w="17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Origin</w:t>
            </w:r>
          </w:p>
        </w:tc>
        <w:tc>
          <w:tcPr>
            <w:tcW w:w="45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Principal sources</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Coercive pressure (COE)</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Adapted</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DiMaggio &amp; Powell (1983); Teo et al. (2003)</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Normative pressure (NOR)</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Adapted</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DiMaggio &amp; Powell (1983); Teo et al. (2003)</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Mimetic pressure (MIM)</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Adapted</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DiMaggio &amp; Powell (1983); Oliver (1991); Teo et al. (2003)</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Substantive implementation (SUB)</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5</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Researcher-developed</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Pollitt &amp; Bouckaert (2017); Moynihan (2008); Christiaens et al. (2015)</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Symbolic compliance (SYM)</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Researcher-developed</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Meyer &amp; Rowan (1977); Bromley &amp; Powell (2012); Modell (2009)</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Information-system maturity (DIG)</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Adapted + new</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DeLone &amp; McLean (2003); Dunleavy et al. (2006)</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9"/>
                <w:szCs w:val="19"/>
                <w:lang w:val="en-US" w:bidi="fa-IR"/>
              </w:rPr>
              <w:t>Usefulness of reported information (USE)</w:t>
            </w:r>
          </w:p>
        </w:tc>
        <w:tc>
          <w:tcPr>
            <w:tcW w:w="6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1700" w:type="dxa"/>
            <w:tcBorders/>
            <w:vAlign w:val="center"/>
          </w:tcPr>
          <w:p>
            <w:pPr>
              <w:pStyle w:val="Normal"/>
              <w:spacing w:lineRule="auto" w:line="240" w:before="30" w:after="30"/>
              <w:jc w:val="center"/>
              <w:rPr/>
            </w:pPr>
            <w:r>
              <w:rPr>
                <w:rFonts w:eastAsia="Times New Roman" w:cs="Times New Roman"/>
                <w:sz w:val="19"/>
                <w:szCs w:val="19"/>
                <w:lang w:val="en-US" w:bidi="fa-IR"/>
              </w:rPr>
              <w:t>Adapted + new</w:t>
            </w:r>
          </w:p>
        </w:tc>
        <w:tc>
          <w:tcPr>
            <w:tcW w:w="4500" w:type="dxa"/>
            <w:tcBorders/>
            <w:vAlign w:val="center"/>
          </w:tcPr>
          <w:p>
            <w:pPr>
              <w:pStyle w:val="Normal"/>
              <w:spacing w:lineRule="auto" w:line="240" w:before="30" w:after="30"/>
              <w:jc w:val="center"/>
              <w:rPr/>
            </w:pPr>
            <w:r>
              <w:rPr>
                <w:rFonts w:eastAsia="Times New Roman" w:cs="Times New Roman"/>
                <w:sz w:val="19"/>
                <w:szCs w:val="19"/>
                <w:lang w:val="en-US" w:bidi="fa-IR"/>
              </w:rPr>
              <w:t>Moynihan &amp; Pandey (2010); Kroll (2015); DeLone &amp; McLean (2003)</w:t>
            </w:r>
          </w:p>
        </w:tc>
      </w:tr>
      <w:tr>
        <w:trPr>
          <w:cantSplit w:val="true"/>
        </w:trPr>
        <w:tc>
          <w:tcPr>
            <w:tcW w:w="2499" w:type="dxa"/>
            <w:tcBorders>
              <w:bottom w:val="single" w:sz="8" w:space="0" w:color="000000"/>
            </w:tcBorders>
            <w:vAlign w:val="center"/>
          </w:tcPr>
          <w:p>
            <w:pPr>
              <w:pStyle w:val="Normal"/>
              <w:spacing w:lineRule="auto" w:line="240" w:before="30" w:after="30"/>
              <w:jc w:val="left"/>
              <w:rPr/>
            </w:pPr>
            <w:r>
              <w:rPr>
                <w:rFonts w:eastAsia="Times New Roman" w:cs="Times New Roman"/>
                <w:sz w:val="19"/>
                <w:szCs w:val="19"/>
                <w:lang w:val="en-US" w:bidi="fa-IR"/>
              </w:rPr>
              <w:t>Financial accountability (ACC)</w:t>
            </w:r>
          </w:p>
        </w:tc>
        <w:tc>
          <w:tcPr>
            <w:tcW w:w="6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5</w:t>
            </w:r>
          </w:p>
        </w:tc>
        <w:tc>
          <w:tcPr>
            <w:tcW w:w="17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Researcher-developed</w:t>
            </w:r>
          </w:p>
        </w:tc>
        <w:tc>
          <w:tcPr>
            <w:tcW w:w="45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Bovens (2007); Bracci et al. (2015); Moore (1995)</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4"/>
          <w:szCs w:val="24"/>
          <w:lang w:val="en-US" w:bidi="fa-IR"/>
        </w:rPr>
        <w:t>3.3 Estimation strategy</w:t>
      </w:r>
    </w:p>
    <w:p>
      <w:pPr>
        <w:pStyle w:val="Normal"/>
        <w:spacing w:lineRule="auto" w:line="276" w:before="0" w:after="80"/>
        <w:ind w:firstLine="425"/>
        <w:jc w:val="both"/>
        <w:rPr/>
      </w:pPr>
      <w:r>
        <w:rPr>
          <w:rFonts w:eastAsia="Times New Roman" w:cs="Times New Roman"/>
          <w:sz w:val="24"/>
          <w:szCs w:val="24"/>
          <w:lang w:val="en-US" w:bidi="fa-IR"/>
        </w:rPr>
        <w:t>Models are estimated by maximum likelihood in semopy (Igolkina &amp; Meshcheryakov, 2020). Fit is judged jointly: CFI and TLI ≥ .95, RMSEA ≤ .06 and SRMR ≤ .08 (Hu &amp; Bentler, 1999); the χ² test is reported but, as is well known, over-rejects in samples of this size. Convergent validity uses standardized loadings, composite reliability (CR) and average variance extracted (AVE) (Fornell &amp; Larcker, 1981); discriminant validity uses the Fornell–Larcker criterion and the heterotrait–monotrait ratio (Henseler et al., 2015). Common-method bias is probed with Harman's single-factor test, a one-factor CFA and a common-latent-factor model (Podsakoff et al., 2003). Two latent interaction terms (maturity × substantive implementation; maturity × coercive pressure) are specified with matched-pair product indicators (Marsh et al., 2004) and, as a robustness check, residual-centred indicators (Little et al., 2006). Indirect and conditional indirect effects are evaluated at −1, 0 and +1 SD of maturity with 2,000 nonparametric bootstrap draws and percentile intervals (Preacher &amp; Hayes, 2008); indices of moderated mediation follow Hayes (2015). Latent R² equals one minus the standardized residual variance, and the effect size of an interaction is f² from the change in R². Five competing structures are compared by chi-square difference tests and fit indices.</w:t>
      </w:r>
    </w:p>
    <w:p>
      <w:pPr>
        <w:pStyle w:val="Normal"/>
        <w:keepNext w:val="true"/>
        <w:spacing w:lineRule="auto" w:line="276" w:before="200" w:after="80"/>
        <w:jc w:val="left"/>
        <w:rPr/>
      </w:pPr>
      <w:r>
        <w:rPr>
          <w:rFonts w:eastAsia="Times New Roman" w:cs="Times New Roman"/>
          <w:b/>
          <w:bCs/>
          <w:sz w:val="26"/>
          <w:szCs w:val="26"/>
          <w:lang w:val="en-US" w:bidi="fa-IR"/>
        </w:rPr>
        <w:t>4. Results</w:t>
      </w:r>
    </w:p>
    <w:p>
      <w:pPr>
        <w:pStyle w:val="Normal"/>
        <w:keepNext w:val="true"/>
        <w:spacing w:lineRule="auto" w:line="276" w:before="140" w:after="60"/>
        <w:jc w:val="left"/>
        <w:rPr/>
      </w:pPr>
      <w:r>
        <w:rPr>
          <w:rFonts w:eastAsia="Times New Roman" w:cs="Times New Roman"/>
          <w:b/>
          <w:bCs/>
          <w:sz w:val="24"/>
          <w:szCs w:val="24"/>
          <w:lang w:val="en-US" w:bidi="fa-IR"/>
        </w:rPr>
        <w:t>4.1 Descriptive checks</w:t>
      </w:r>
    </w:p>
    <w:p>
      <w:pPr>
        <w:pStyle w:val="Normal"/>
        <w:spacing w:lineRule="auto" w:line="276" w:before="0" w:after="80"/>
        <w:ind w:firstLine="425"/>
        <w:jc w:val="both"/>
        <w:rPr/>
      </w:pPr>
      <w:r>
        <w:rPr>
          <w:rFonts w:eastAsia="Times New Roman" w:cs="Times New Roman"/>
          <w:sz w:val="24"/>
          <w:szCs w:val="24"/>
          <w:lang w:val="en-US" w:bidi="fa-IR"/>
        </w:rPr>
        <w:t>Item skewness ranged from −0.62 to 0.40 and excess kurtosis from −0.81 to −0.14, well within common tolerances. Mardia's multivariate kurtosis (1211 versus 1224 expected) indicated slight departure from multivariate normality, which motivates the DWLS check in Section 4.6.</w:t>
      </w:r>
    </w:p>
    <w:p>
      <w:pPr>
        <w:pStyle w:val="Normal"/>
        <w:keepNext w:val="true"/>
        <w:spacing w:lineRule="auto" w:line="276" w:before="140" w:after="60"/>
        <w:jc w:val="left"/>
        <w:rPr/>
      </w:pPr>
      <w:r>
        <w:rPr>
          <w:rFonts w:eastAsia="Times New Roman" w:cs="Times New Roman"/>
          <w:b/>
          <w:bCs/>
          <w:sz w:val="24"/>
          <w:szCs w:val="24"/>
          <w:lang w:val="en-US" w:bidi="fa-IR"/>
        </w:rPr>
        <w:t>4.2 Measurement model</w:t>
      </w:r>
    </w:p>
    <w:p>
      <w:pPr>
        <w:pStyle w:val="Normal"/>
        <w:spacing w:lineRule="auto" w:line="276" w:before="0" w:after="80"/>
        <w:ind w:firstLine="425"/>
        <w:jc w:val="both"/>
        <w:rPr/>
      </w:pPr>
      <w:r>
        <w:rPr>
          <w:rFonts w:eastAsia="Times New Roman" w:cs="Times New Roman"/>
          <w:sz w:val="24"/>
          <w:szCs w:val="24"/>
          <w:lang w:val="en-US" w:bidi="fa-IR"/>
        </w:rPr>
        <w:t>The eight-factor confirmatory model fitted well: χ²(499) = 548.1, p = .063; CFI = 0.990, TLI = 0.989, RMSEA = 0.017, SRMR = 0.040. Standardized loadings ranged from 0.63 to 0.84 (Figure 3, Appendix A), composite reliability from 0.81 to 0.87 and AVE from 0.51 to 0.60 (Table 2), all above conventional thresholds although not at the ceiling that would suggest redundant items. The highest HTMT was 0.52, far below .85, and the square root of each AVE exceeded the corresponding inter-construct correlations (Appendix B). Harman's first factor explained 20.5% of variance; a one-factor CFA fitted poorly (CFI = 0.33) and adding a common latent factor changed fit marginally (CFI = 0.999; common variance 20%), so method variance is unlikely to drive the results. Latent variance inflation factors in all equations were below 1.30.</w:t>
      </w:r>
    </w:p>
    <w:p>
      <w:pPr>
        <w:pStyle w:val="Normal"/>
        <w:keepNext w:val="true"/>
        <w:spacing w:lineRule="auto" w:line="276" w:before="140" w:after="60"/>
        <w:jc w:val="left"/>
        <w:rPr/>
      </w:pPr>
      <w:r>
        <w:rPr>
          <w:rFonts w:eastAsia="Times New Roman" w:cs="Times New Roman"/>
          <w:b/>
          <w:bCs/>
          <w:sz w:val="22"/>
          <w:szCs w:val="22"/>
          <w:lang w:val="en-US" w:bidi="fa-IR"/>
        </w:rPr>
        <w:t>Table 2. Reliability and convergent validity</w:t>
      </w:r>
    </w:p>
    <w:tbl>
      <w:tblPr>
        <w:tblW w:w="7900" w:type="dxa"/>
        <w:jc w:val="center"/>
        <w:tblInd w:w="0" w:type="dxa"/>
        <w:tblLayout w:type="fixed"/>
        <w:tblCellMar>
          <w:top w:w="0" w:type="dxa"/>
          <w:left w:w="60" w:type="dxa"/>
          <w:bottom w:w="0" w:type="dxa"/>
          <w:right w:w="60" w:type="dxa"/>
        </w:tblCellMar>
      </w:tblPr>
      <w:tblGrid>
        <w:gridCol w:w="3299"/>
        <w:gridCol w:w="700"/>
        <w:gridCol w:w="801"/>
        <w:gridCol w:w="800"/>
        <w:gridCol w:w="799"/>
        <w:gridCol w:w="1500"/>
      </w:tblGrid>
      <w:tr>
        <w:trPr>
          <w:tblHeader w:val="true"/>
        </w:trPr>
        <w:tc>
          <w:tcPr>
            <w:tcW w:w="32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9"/>
                <w:szCs w:val="19"/>
                <w:lang w:val="en-US" w:bidi="fa-IR"/>
              </w:rPr>
              <w:t>Construct</w:t>
            </w:r>
          </w:p>
        </w:tc>
        <w:tc>
          <w:tcPr>
            <w:tcW w:w="7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Items</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α</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CR</w:t>
            </w:r>
          </w:p>
        </w:tc>
        <w:tc>
          <w:tcPr>
            <w:tcW w:w="7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AVE</w:t>
            </w:r>
          </w:p>
        </w:tc>
        <w:tc>
          <w:tcPr>
            <w:tcW w:w="15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Loadings</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Coercive pressure (COE)</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0.86</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0.86</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0.60</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0.71–0.84</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Normative pressure (NOR)</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0.83</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0.83</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0.56</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0.62–0.81</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Mimetic pressure (MIM)</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0.80</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0.81</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0.51</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0.66–0.77</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Substantive implementation (SUB)</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5</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0.87</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0.87</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0.58</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0.65–0.81</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Symbolic compliance (SYM)</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0.83</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0.84</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0.56</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0.67–0.84</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Information-system maturity (DIG)</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0.83</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0.83</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0.55</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0.63–0.83</w:t>
            </w:r>
          </w:p>
        </w:tc>
      </w:tr>
      <w:tr>
        <w:trPr>
          <w:cantSplit w:val="true"/>
        </w:trPr>
        <w:tc>
          <w:tcPr>
            <w:tcW w:w="3299" w:type="dxa"/>
            <w:tcBorders/>
            <w:vAlign w:val="center"/>
          </w:tcPr>
          <w:p>
            <w:pPr>
              <w:pStyle w:val="Normal"/>
              <w:spacing w:lineRule="auto" w:line="240" w:before="30" w:after="30"/>
              <w:jc w:val="left"/>
              <w:rPr/>
            </w:pPr>
            <w:r>
              <w:rPr>
                <w:rFonts w:eastAsia="Times New Roman" w:cs="Times New Roman"/>
                <w:sz w:val="19"/>
                <w:szCs w:val="19"/>
                <w:lang w:val="en-US" w:bidi="fa-IR"/>
              </w:rPr>
              <w:t>Usefulness of reported information (USE)</w:t>
            </w:r>
          </w:p>
        </w:tc>
        <w:tc>
          <w:tcPr>
            <w:tcW w:w="700" w:type="dxa"/>
            <w:tcBorders/>
            <w:vAlign w:val="center"/>
          </w:tcPr>
          <w:p>
            <w:pPr>
              <w:pStyle w:val="Normal"/>
              <w:spacing w:lineRule="auto" w:line="240" w:before="30" w:after="30"/>
              <w:jc w:val="center"/>
              <w:rPr/>
            </w:pPr>
            <w:r>
              <w:rPr>
                <w:rFonts w:eastAsia="Times New Roman" w:cs="Times New Roman"/>
                <w:sz w:val="19"/>
                <w:szCs w:val="19"/>
                <w:lang w:val="en-US" w:bidi="fa-IR"/>
              </w:rPr>
              <w:t>4</w:t>
            </w:r>
          </w:p>
        </w:tc>
        <w:tc>
          <w:tcPr>
            <w:tcW w:w="801" w:type="dxa"/>
            <w:tcBorders/>
            <w:vAlign w:val="center"/>
          </w:tcPr>
          <w:p>
            <w:pPr>
              <w:pStyle w:val="Normal"/>
              <w:spacing w:lineRule="auto" w:line="240" w:before="30" w:after="30"/>
              <w:jc w:val="center"/>
              <w:rPr/>
            </w:pPr>
            <w:r>
              <w:rPr>
                <w:rFonts w:eastAsia="Times New Roman" w:cs="Times New Roman"/>
                <w:sz w:val="19"/>
                <w:szCs w:val="19"/>
                <w:lang w:val="en-US" w:bidi="fa-IR"/>
              </w:rPr>
              <w:t>0.85</w:t>
            </w:r>
          </w:p>
        </w:tc>
        <w:tc>
          <w:tcPr>
            <w:tcW w:w="800" w:type="dxa"/>
            <w:tcBorders/>
            <w:vAlign w:val="center"/>
          </w:tcPr>
          <w:p>
            <w:pPr>
              <w:pStyle w:val="Normal"/>
              <w:spacing w:lineRule="auto" w:line="240" w:before="30" w:after="30"/>
              <w:jc w:val="center"/>
              <w:rPr/>
            </w:pPr>
            <w:r>
              <w:rPr>
                <w:rFonts w:eastAsia="Times New Roman" w:cs="Times New Roman"/>
                <w:sz w:val="19"/>
                <w:szCs w:val="19"/>
                <w:lang w:val="en-US" w:bidi="fa-IR"/>
              </w:rPr>
              <w:t>0.85</w:t>
            </w:r>
          </w:p>
        </w:tc>
        <w:tc>
          <w:tcPr>
            <w:tcW w:w="799" w:type="dxa"/>
            <w:tcBorders/>
            <w:vAlign w:val="center"/>
          </w:tcPr>
          <w:p>
            <w:pPr>
              <w:pStyle w:val="Normal"/>
              <w:spacing w:lineRule="auto" w:line="240" w:before="30" w:after="30"/>
              <w:jc w:val="center"/>
              <w:rPr/>
            </w:pPr>
            <w:r>
              <w:rPr>
                <w:rFonts w:eastAsia="Times New Roman" w:cs="Times New Roman"/>
                <w:sz w:val="19"/>
                <w:szCs w:val="19"/>
                <w:lang w:val="en-US" w:bidi="fa-IR"/>
              </w:rPr>
              <w:t>0.58</w:t>
            </w:r>
          </w:p>
        </w:tc>
        <w:tc>
          <w:tcPr>
            <w:tcW w:w="1500" w:type="dxa"/>
            <w:tcBorders/>
            <w:vAlign w:val="center"/>
          </w:tcPr>
          <w:p>
            <w:pPr>
              <w:pStyle w:val="Normal"/>
              <w:spacing w:lineRule="auto" w:line="240" w:before="30" w:after="30"/>
              <w:jc w:val="center"/>
              <w:rPr/>
            </w:pPr>
            <w:r>
              <w:rPr>
                <w:rFonts w:eastAsia="Times New Roman" w:cs="Times New Roman"/>
                <w:sz w:val="19"/>
                <w:szCs w:val="19"/>
                <w:lang w:val="en-US" w:bidi="fa-IR"/>
              </w:rPr>
              <w:t>0.69–0.82</w:t>
            </w:r>
          </w:p>
        </w:tc>
      </w:tr>
      <w:tr>
        <w:trPr>
          <w:cantSplit w:val="true"/>
        </w:trPr>
        <w:tc>
          <w:tcPr>
            <w:tcW w:w="3299" w:type="dxa"/>
            <w:tcBorders>
              <w:bottom w:val="single" w:sz="8" w:space="0" w:color="000000"/>
            </w:tcBorders>
            <w:vAlign w:val="center"/>
          </w:tcPr>
          <w:p>
            <w:pPr>
              <w:pStyle w:val="Normal"/>
              <w:spacing w:lineRule="auto" w:line="240" w:before="30" w:after="30"/>
              <w:jc w:val="left"/>
              <w:rPr/>
            </w:pPr>
            <w:r>
              <w:rPr>
                <w:rFonts w:eastAsia="Times New Roman" w:cs="Times New Roman"/>
                <w:sz w:val="19"/>
                <w:szCs w:val="19"/>
                <w:lang w:val="en-US" w:bidi="fa-IR"/>
              </w:rPr>
              <w:t>Financial accountability (ACC)</w:t>
            </w:r>
          </w:p>
        </w:tc>
        <w:tc>
          <w:tcPr>
            <w:tcW w:w="7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5</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0.87</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0.87</w:t>
            </w:r>
          </w:p>
        </w:tc>
        <w:tc>
          <w:tcPr>
            <w:tcW w:w="799"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0.58</w:t>
            </w:r>
          </w:p>
        </w:tc>
        <w:tc>
          <w:tcPr>
            <w:tcW w:w="15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0.73–0.80</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4"/>
          <w:szCs w:val="24"/>
          <w:lang w:val="en-US" w:bidi="fa-IR"/>
        </w:rPr>
        <w:t>4.3 Structural model</w:t>
      </w:r>
    </w:p>
    <w:p>
      <w:pPr>
        <w:pStyle w:val="Normal"/>
        <w:spacing w:lineRule="auto" w:line="276" w:before="0" w:after="80"/>
        <w:ind w:firstLine="425"/>
        <w:jc w:val="both"/>
        <w:rPr/>
        <w:sectPr>
          <w:footerReference w:type="even" r:id="rId3"/>
          <w:footerReference w:type="default" r:id="rId4"/>
          <w:footerReference w:type="first" r:id="rId5"/>
          <w:type w:val="nextPage"/>
          <w:pgSz w:w="11906" w:h="16838"/>
          <w:pgMar w:left="1417" w:right="1417" w:gutter="0" w:header="0" w:top="1417" w:footer="708" w:bottom="1417"/>
          <w:pgNumType w:fmt="decimal"/>
          <w:formProt w:val="false"/>
          <w:textDirection w:val="lrTb"/>
          <w:docGrid w:type="default" w:linePitch="100" w:charSpace="0"/>
        </w:sectPr>
      </w:pPr>
      <w:r>
        <w:rPr>
          <w:rFonts w:eastAsia="Times New Roman" w:cs="Times New Roman"/>
          <w:sz w:val="24"/>
          <w:szCs w:val="24"/>
          <w:lang w:val="en-US" w:bidi="fa-IR"/>
        </w:rPr>
        <w:t>The full structural model fitted well: χ²(830) = 921.0, p = .015; CFI = 0.984, TLI = 0.982, RMSEA = 0.018, SRMR = 0.043. Figure 2 shows the standardized path coefficients and Table 3 reports unstandardized and standardized estimates with the verdict on each hypothesis.</w:t>
      </w:r>
    </w:p>
    <w:p>
      <w:pPr>
        <w:pStyle w:val="Normal"/>
        <w:keepNext w:val="true"/>
        <w:jc w:val="center"/>
        <w:rPr/>
      </w:pPr>
      <w:r>
        <w:rPr/>
        <w:drawing>
          <wp:inline distT="0" distB="0" distL="0" distR="0">
            <wp:extent cx="8460105" cy="543496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6"/>
                    <a:stretch>
                      <a:fillRect/>
                    </a:stretch>
                  </pic:blipFill>
                  <pic:spPr bwMode="auto">
                    <a:xfrm>
                      <a:off x="0" y="0"/>
                      <a:ext cx="8460105" cy="5434965"/>
                    </a:xfrm>
                    <a:prstGeom prst="rect">
                      <a:avLst/>
                    </a:prstGeom>
                  </pic:spPr>
                </pic:pic>
              </a:graphicData>
            </a:graphic>
          </wp:inline>
        </w:drawing>
      </w:r>
    </w:p>
    <w:p>
      <w:pPr>
        <w:pStyle w:val="Normal"/>
        <w:spacing w:lineRule="auto" w:line="276" w:before="40" w:after="160"/>
        <w:jc w:val="left"/>
        <w:rPr/>
        <w:sectPr>
          <w:footerReference w:type="even" r:id="rId7"/>
          <w:footerReference w:type="default" r:id="rId8"/>
          <w:footerReference w:type="first" r:id="rId9"/>
          <w:type w:val="nextPage"/>
          <w:pgSz w:orient="landscape" w:w="16838" w:h="11906"/>
          <w:pgMar w:left="1000" w:right="1000" w:gutter="0" w:header="0" w:top="1000" w:footer="708" w:bottom="1000"/>
          <w:pgNumType w:fmt="decimal"/>
          <w:formProt w:val="false"/>
          <w:textDirection w:val="lrTb"/>
          <w:docGrid w:type="default" w:linePitch="100" w:charSpace="0"/>
        </w:sectPr>
      </w:pPr>
      <w:r>
        <w:rPr>
          <w:rFonts w:eastAsia="Times New Roman" w:cs="Times New Roman"/>
          <w:b/>
          <w:bCs/>
          <w:sz w:val="22"/>
          <w:szCs w:val="22"/>
          <w:lang w:val="en-US" w:bidi="fa-IR"/>
        </w:rPr>
        <w:t>Figure 2. Estimated structural model with all 34 indicators: standardized loadings (λ) and standardized path coefficients (β), with latent R². Latent variables are ellipses, indicators are boxes; dashed orange arrows are latent interaction (moderation) terms.</w:t>
      </w:r>
    </w:p>
    <w:p>
      <w:pPr>
        <w:pStyle w:val="Normal"/>
        <w:keepNext w:val="true"/>
        <w:spacing w:lineRule="auto" w:line="276" w:before="140" w:after="60"/>
        <w:jc w:val="left"/>
        <w:rPr/>
      </w:pPr>
      <w:r>
        <w:rPr>
          <w:rFonts w:eastAsia="Times New Roman" w:cs="Times New Roman"/>
          <w:b/>
          <w:bCs/>
          <w:sz w:val="22"/>
          <w:szCs w:val="22"/>
          <w:lang w:val="en-US" w:bidi="fa-IR"/>
        </w:rPr>
        <w:t>Table 3. Structural estimates</w:t>
      </w:r>
    </w:p>
    <w:tbl>
      <w:tblPr>
        <w:tblW w:w="8300" w:type="dxa"/>
        <w:jc w:val="center"/>
        <w:tblInd w:w="0" w:type="dxa"/>
        <w:tblLayout w:type="fixed"/>
        <w:tblCellMar>
          <w:top w:w="0" w:type="dxa"/>
          <w:left w:w="60" w:type="dxa"/>
          <w:bottom w:w="0" w:type="dxa"/>
          <w:right w:w="60" w:type="dxa"/>
        </w:tblCellMar>
      </w:tblPr>
      <w:tblGrid>
        <w:gridCol w:w="600"/>
        <w:gridCol w:w="3900"/>
        <w:gridCol w:w="699"/>
        <w:gridCol w:w="650"/>
        <w:gridCol w:w="701"/>
        <w:gridCol w:w="749"/>
        <w:gridCol w:w="1000"/>
      </w:tblGrid>
      <w:tr>
        <w:trPr>
          <w:tblHeader w:val="true"/>
        </w:trPr>
        <w:tc>
          <w:tcPr>
            <w:tcW w:w="6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9"/>
                <w:szCs w:val="19"/>
                <w:lang w:val="en-US" w:bidi="fa-IR"/>
              </w:rPr>
              <w:t>Hyp.</w:t>
            </w:r>
          </w:p>
        </w:tc>
        <w:tc>
          <w:tcPr>
            <w:tcW w:w="39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Path</w:t>
            </w:r>
          </w:p>
        </w:tc>
        <w:tc>
          <w:tcPr>
            <w:tcW w:w="6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b</w:t>
            </w:r>
          </w:p>
        </w:tc>
        <w:tc>
          <w:tcPr>
            <w:tcW w:w="65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SE</w:t>
            </w:r>
          </w:p>
        </w:tc>
        <w:tc>
          <w:tcPr>
            <w:tcW w:w="7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β</w:t>
            </w:r>
          </w:p>
        </w:tc>
        <w:tc>
          <w:tcPr>
            <w:tcW w:w="74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p</w:t>
            </w:r>
          </w:p>
        </w:tc>
        <w:tc>
          <w:tcPr>
            <w:tcW w:w="10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9"/>
                <w:szCs w:val="19"/>
                <w:lang w:val="en-US" w:bidi="fa-IR"/>
              </w:rPr>
              <w:t>Verdict</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H1</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Coercive → Substantive implementation</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0.31</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0.32</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H2</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Coercive → Symbolic compliance</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0.38</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0.38</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H3</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Normative → Substantive implementation</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0.38</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0.37</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H4</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Normative → Symbolic compliance</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0.23</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0.22</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H5</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Mimetic → Symbolic compliance</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0.36</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0.33</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H6</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Substantive impl. → Usefulness</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0.36</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0.35</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H7</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Symbolic compliance → Usefulness</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0.22</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0.22</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H8</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Substantive impl. → Accountability</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0.27</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0.28</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H9</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Symbolic compliance → Accountability</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0.16</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0.17</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.005</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H10</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Usefulness → Accountability</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0.35</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0.36</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H11</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Maturity × Subst. impl. → Usefulness</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0.18</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0.16</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.013</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H12</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Maturity × Coercive → Symbolic compliance</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0.30</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0.08</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0.25</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Supported</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Mimetic → Substantive implementation</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0.08</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0.07</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.245</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Maturity → Substantive implementation</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0.04</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0.03</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.542</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Maturity → Symbolic compliance</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0.29</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w:t>
            </w:r>
            <w:r>
              <w:rPr>
                <w:rFonts w:eastAsia="Times New Roman" w:cs="Times New Roman"/>
                <w:sz w:val="19"/>
                <w:szCs w:val="19"/>
                <w:lang w:val="en-US" w:bidi="fa-IR"/>
              </w:rPr>
              <w:t>0.27</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9"/>
                <w:szCs w:val="19"/>
                <w:lang w:val="en-US" w:bidi="fa-IR"/>
              </w:rPr>
              <w:t>–</w:t>
            </w:r>
          </w:p>
        </w:tc>
        <w:tc>
          <w:tcPr>
            <w:tcW w:w="3900" w:type="dxa"/>
            <w:tcBorders/>
            <w:vAlign w:val="center"/>
          </w:tcPr>
          <w:p>
            <w:pPr>
              <w:pStyle w:val="Normal"/>
              <w:spacing w:lineRule="auto" w:line="240" w:before="30" w:after="30"/>
              <w:jc w:val="center"/>
              <w:rPr/>
            </w:pPr>
            <w:r>
              <w:rPr>
                <w:rFonts w:eastAsia="Times New Roman" w:cs="Times New Roman"/>
                <w:sz w:val="19"/>
                <w:szCs w:val="19"/>
                <w:lang w:val="en-US" w:bidi="fa-IR"/>
              </w:rPr>
              <w:t>Maturity → Usefulness</w:t>
            </w:r>
          </w:p>
        </w:tc>
        <w:tc>
          <w:tcPr>
            <w:tcW w:w="699" w:type="dxa"/>
            <w:tcBorders/>
            <w:vAlign w:val="center"/>
          </w:tcPr>
          <w:p>
            <w:pPr>
              <w:pStyle w:val="Normal"/>
              <w:spacing w:lineRule="auto" w:line="240" w:before="30" w:after="30"/>
              <w:jc w:val="center"/>
              <w:rPr/>
            </w:pPr>
            <w:r>
              <w:rPr>
                <w:rFonts w:eastAsia="Times New Roman" w:cs="Times New Roman"/>
                <w:sz w:val="19"/>
                <w:szCs w:val="19"/>
                <w:lang w:val="en-US" w:bidi="fa-IR"/>
              </w:rPr>
              <w:t>0.30</w:t>
            </w:r>
          </w:p>
        </w:tc>
        <w:tc>
          <w:tcPr>
            <w:tcW w:w="650" w:type="dxa"/>
            <w:tcBorders/>
            <w:vAlign w:val="center"/>
          </w:tcPr>
          <w:p>
            <w:pPr>
              <w:pStyle w:val="Normal"/>
              <w:spacing w:lineRule="auto" w:line="240" w:before="30" w:after="30"/>
              <w:jc w:val="center"/>
              <w:rPr/>
            </w:pPr>
            <w:r>
              <w:rPr>
                <w:rFonts w:eastAsia="Times New Roman" w:cs="Times New Roman"/>
                <w:sz w:val="19"/>
                <w:szCs w:val="19"/>
                <w:lang w:val="en-US" w:bidi="fa-IR"/>
              </w:rPr>
              <w:t>0.06</w:t>
            </w:r>
          </w:p>
        </w:tc>
        <w:tc>
          <w:tcPr>
            <w:tcW w:w="701" w:type="dxa"/>
            <w:tcBorders/>
            <w:vAlign w:val="center"/>
          </w:tcPr>
          <w:p>
            <w:pPr>
              <w:pStyle w:val="Normal"/>
              <w:spacing w:lineRule="auto" w:line="240" w:before="30" w:after="30"/>
              <w:jc w:val="center"/>
              <w:rPr/>
            </w:pPr>
            <w:r>
              <w:rPr>
                <w:rFonts w:eastAsia="Times New Roman" w:cs="Times New Roman"/>
                <w:sz w:val="19"/>
                <w:szCs w:val="19"/>
                <w:lang w:val="en-US" w:bidi="fa-IR"/>
              </w:rPr>
              <w:t>0.28</w:t>
            </w:r>
          </w:p>
        </w:tc>
        <w:tc>
          <w:tcPr>
            <w:tcW w:w="749" w:type="dxa"/>
            <w:tcBorders/>
            <w:vAlign w:val="center"/>
          </w:tcPr>
          <w:p>
            <w:pPr>
              <w:pStyle w:val="Normal"/>
              <w:spacing w:lineRule="auto" w:line="240" w:before="30" w:after="30"/>
              <w:jc w:val="center"/>
              <w:rPr/>
            </w:pPr>
            <w:r>
              <w:rPr>
                <w:rFonts w:eastAsia="Times New Roman" w:cs="Times New Roman"/>
                <w:sz w:val="19"/>
                <w:szCs w:val="19"/>
                <w:lang w:val="en-US" w:bidi="fa-IR"/>
              </w:rPr>
              <w:t>&lt; .001</w:t>
            </w:r>
          </w:p>
        </w:tc>
        <w:tc>
          <w:tcPr>
            <w:tcW w:w="1000" w:type="dxa"/>
            <w:tcBorders/>
            <w:vAlign w:val="center"/>
          </w:tcPr>
          <w:p>
            <w:pPr>
              <w:pStyle w:val="Normal"/>
              <w:spacing w:lineRule="auto" w:line="240" w:before="30" w:after="30"/>
              <w:jc w:val="center"/>
              <w:rPr/>
            </w:pPr>
            <w:r>
              <w:rPr>
                <w:rFonts w:eastAsia="Times New Roman" w:cs="Times New Roman"/>
                <w:sz w:val="19"/>
                <w:szCs w:val="19"/>
                <w:lang w:val="en-US" w:bidi="fa-IR"/>
              </w:rPr>
              <w:t>–</w:t>
            </w:r>
          </w:p>
        </w:tc>
      </w:tr>
      <w:tr>
        <w:trPr>
          <w:cantSplit w:val="true"/>
        </w:trPr>
        <w:tc>
          <w:tcPr>
            <w:tcW w:w="600" w:type="dxa"/>
            <w:tcBorders>
              <w:bottom w:val="single" w:sz="8" w:space="0" w:color="000000"/>
            </w:tcBorders>
            <w:vAlign w:val="center"/>
          </w:tcPr>
          <w:p>
            <w:pPr>
              <w:pStyle w:val="Normal"/>
              <w:spacing w:lineRule="auto" w:line="240" w:before="30" w:after="30"/>
              <w:jc w:val="left"/>
              <w:rPr/>
            </w:pPr>
            <w:r>
              <w:rPr>
                <w:rFonts w:eastAsia="Times New Roman" w:cs="Times New Roman"/>
                <w:sz w:val="19"/>
                <w:szCs w:val="19"/>
                <w:lang w:val="en-US" w:bidi="fa-IR"/>
              </w:rPr>
              <w:t>–</w:t>
            </w:r>
          </w:p>
        </w:tc>
        <w:tc>
          <w:tcPr>
            <w:tcW w:w="39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Experience → Accountability (control)</w:t>
            </w:r>
          </w:p>
        </w:tc>
        <w:tc>
          <w:tcPr>
            <w:tcW w:w="699"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0.03</w:t>
            </w:r>
          </w:p>
        </w:tc>
        <w:tc>
          <w:tcPr>
            <w:tcW w:w="65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0.04</w:t>
            </w:r>
          </w:p>
        </w:tc>
        <w:tc>
          <w:tcPr>
            <w:tcW w:w="701"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0.04</w:t>
            </w:r>
          </w:p>
        </w:tc>
        <w:tc>
          <w:tcPr>
            <w:tcW w:w="749"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.442</w:t>
            </w:r>
          </w:p>
        </w:tc>
        <w:tc>
          <w:tcPr>
            <w:tcW w:w="1000" w:type="dxa"/>
            <w:tcBorders>
              <w:bottom w:val="single" w:sz="8" w:space="0" w:color="000000"/>
            </w:tcBorders>
            <w:vAlign w:val="center"/>
          </w:tcPr>
          <w:p>
            <w:pPr>
              <w:pStyle w:val="Normal"/>
              <w:spacing w:lineRule="auto" w:line="240" w:before="30" w:after="30"/>
              <w:jc w:val="center"/>
              <w:rPr/>
            </w:pPr>
            <w:r>
              <w:rPr>
                <w:rFonts w:eastAsia="Times New Roman" w:cs="Times New Roman"/>
                <w:sz w:val="19"/>
                <w:szCs w:val="19"/>
                <w:lang w:val="en-US" w:bidi="fa-IR"/>
              </w:rPr>
              <w:t>–</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b/>
          <w:bCs/>
          <w:sz w:val="24"/>
          <w:szCs w:val="24"/>
          <w:lang w:val="en-US" w:bidi="fa-IR"/>
        </w:rPr>
        <w:t>Pressures and responses.</w:t>
      </w:r>
      <w:r>
        <w:rPr>
          <w:rFonts w:eastAsia="Times New Roman" w:cs="Times New Roman"/>
          <w:sz w:val="24"/>
          <w:szCs w:val="24"/>
          <w:lang w:val="en-US" w:bidi="fa-IR"/>
        </w:rPr>
        <w:t xml:space="preserve"> Coercive pressure raised both substantive implementation (β = 0.32, p &lt; .001; H1) and symbolic compliance (β = 0.38, p &lt; .001; H2). Normative pressure was the strongest predictor of substantive implementation (β = 0.37, p &lt; .001; H3) and reduced symbolic compliance (β = −0.22, p &lt; .001; H4). Mimetic pressure raised symbolic compliance (β = 0.33, p &lt; .001; H5) and had no reliable effect on substantive implementation (β = 0.07, p = .245). The pattern is the signature of three different mechanisms: mandates produce activity of both kinds; professional norms push towards substance; templates push towards form.</w:t>
      </w:r>
    </w:p>
    <w:p>
      <w:pPr>
        <w:pStyle w:val="Normal"/>
        <w:spacing w:lineRule="auto" w:line="276" w:before="0" w:after="80"/>
        <w:ind w:firstLine="425"/>
        <w:jc w:val="both"/>
        <w:rPr/>
      </w:pPr>
      <w:r>
        <w:rPr>
          <w:rFonts w:eastAsia="Times New Roman" w:cs="Times New Roman"/>
          <w:b/>
          <w:bCs/>
          <w:sz w:val="24"/>
          <w:szCs w:val="24"/>
          <w:lang w:val="en-US" w:bidi="fa-IR"/>
        </w:rPr>
        <w:t>Responses and outcomes.</w:t>
      </w:r>
      <w:r>
        <w:rPr>
          <w:rFonts w:eastAsia="Times New Roman" w:cs="Times New Roman"/>
          <w:sz w:val="24"/>
          <w:szCs w:val="24"/>
          <w:lang w:val="en-US" w:bidi="fa-IR"/>
        </w:rPr>
        <w:t xml:space="preserve"> Substantive implementation raised the usefulness of information (β = 0.35, p &lt; .001; H6) and accountability (β = 0.28, p &lt; .001; H8), whereas symbolic compliance lowered usefulness (β = −0.22, p &lt; .001; H7) and accountability (β = −0.17, p = .005; H9). Usefulness was in turn positively related to accountability (β = 0.36, p &lt; .001; H10), which identifies it as a mechanism that carries part of the effect of both responses. Explained variance (latent R²) was 0.34 for substantive implementation, 0.39 for symbolic compliance, 0.32 for usefulness and 0.33 for accountability, which in cross-sectional organisational research indicates substantial explanatory power.</w:t>
      </w:r>
    </w:p>
    <w:p>
      <w:pPr>
        <w:pStyle w:val="Normal"/>
        <w:spacing w:lineRule="auto" w:line="276" w:before="0" w:after="80"/>
        <w:ind w:firstLine="425"/>
        <w:jc w:val="both"/>
        <w:rPr/>
      </w:pPr>
      <w:r>
        <w:rPr>
          <w:rFonts w:eastAsia="Times New Roman" w:cs="Times New Roman"/>
          <w:b/>
          <w:bCs/>
          <w:sz w:val="24"/>
          <w:szCs w:val="24"/>
          <w:lang w:val="en-US" w:bidi="fa-IR"/>
        </w:rPr>
        <w:t>Moderation.</w:t>
      </w:r>
      <w:r>
        <w:rPr>
          <w:rFonts w:eastAsia="Times New Roman" w:cs="Times New Roman"/>
          <w:sz w:val="24"/>
          <w:szCs w:val="24"/>
          <w:lang w:val="en-US" w:bidi="fa-IR"/>
        </w:rPr>
        <w:t xml:space="preserve"> Information-system maturity strengthened the effect of substantive implementation on usefulness (β = 0.16, p = .013; H11) and weakened the effect of coercive pressure on symbolic compliance (β = −0.25, p &lt; .001; H12). Effect sizes were small to moderate (f² = 0.035 for usefulness and 0.103 for symbolic compliance), as is typical for interaction effects in non-experimental data. Figure 4 plots the conditional slopes: at low maturity the slope of usefulness on implementation is roughly 0.21, at high maturity 0.51; the slope of symbolic compliance on coercion falls from 0.63 to 0.12.</w:t>
      </w:r>
    </w:p>
    <w:p>
      <w:pPr>
        <w:pStyle w:val="Normal"/>
        <w:keepNext w:val="true"/>
        <w:jc w:val="center"/>
        <w:rPr/>
      </w:pPr>
      <w:r>
        <w:rPr/>
        <w:drawing>
          <wp:inline distT="0" distB="0" distL="0" distR="0">
            <wp:extent cx="5471795" cy="2223135"/>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10"/>
                    <a:stretch>
                      <a:fillRect/>
                    </a:stretch>
                  </pic:blipFill>
                  <pic:spPr bwMode="auto">
                    <a:xfrm>
                      <a:off x="0" y="0"/>
                      <a:ext cx="5471795" cy="2223135"/>
                    </a:xfrm>
                    <a:prstGeom prst="rect">
                      <a:avLst/>
                    </a:prstGeom>
                  </pic:spPr>
                </pic:pic>
              </a:graphicData>
            </a:graphic>
          </wp:inline>
        </w:drawing>
      </w:r>
    </w:p>
    <w:p>
      <w:pPr>
        <w:pStyle w:val="Normal"/>
        <w:spacing w:lineRule="auto" w:line="276" w:before="40" w:after="160"/>
        <w:jc w:val="left"/>
        <w:rPr/>
      </w:pPr>
      <w:r>
        <w:rPr>
          <w:rFonts w:eastAsia="Times New Roman" w:cs="Times New Roman"/>
          <w:b/>
          <w:bCs/>
          <w:sz w:val="22"/>
          <w:szCs w:val="22"/>
          <w:lang w:val="en-US" w:bidi="fa-IR"/>
        </w:rPr>
        <w:t>Figure 4. Conditional effects (simple slopes) of the two latent interactions at −1 SD, the mean and +1 SD of information-system maturity.</w:t>
      </w:r>
    </w:p>
    <w:p>
      <w:pPr>
        <w:pStyle w:val="Normal"/>
        <w:keepNext w:val="true"/>
        <w:spacing w:lineRule="auto" w:line="276" w:before="140" w:after="60"/>
        <w:jc w:val="left"/>
        <w:rPr/>
      </w:pPr>
      <w:r>
        <w:rPr>
          <w:rFonts w:eastAsia="Times New Roman" w:cs="Times New Roman"/>
          <w:b/>
          <w:bCs/>
          <w:sz w:val="24"/>
          <w:szCs w:val="24"/>
          <w:lang w:val="en-US" w:bidi="fa-IR"/>
        </w:rPr>
        <w:t>4.4 Indirect and conditional indirect effects</w:t>
      </w:r>
    </w:p>
    <w:p>
      <w:pPr>
        <w:pStyle w:val="Normal"/>
        <w:keepNext w:val="true"/>
        <w:spacing w:lineRule="auto" w:line="276" w:before="140" w:after="60"/>
        <w:jc w:val="left"/>
        <w:rPr/>
      </w:pPr>
      <w:r>
        <w:rPr>
          <w:rFonts w:eastAsia="Times New Roman" w:cs="Times New Roman"/>
          <w:b/>
          <w:bCs/>
          <w:sz w:val="22"/>
          <w:szCs w:val="22"/>
          <w:lang w:val="en-US" w:bidi="fa-IR"/>
        </w:rPr>
        <w:t>Table 4. Conditional indirect effects of institutional pressures on financial accountability (unstandardized; 95% bootstrap CI)</w:t>
      </w:r>
    </w:p>
    <w:tbl>
      <w:tblPr>
        <w:tblW w:w="9300" w:type="dxa"/>
        <w:jc w:val="center"/>
        <w:tblInd w:w="0" w:type="dxa"/>
        <w:tblLayout w:type="fixed"/>
        <w:tblCellMar>
          <w:top w:w="0" w:type="dxa"/>
          <w:left w:w="60" w:type="dxa"/>
          <w:bottom w:w="0" w:type="dxa"/>
          <w:right w:w="60" w:type="dxa"/>
        </w:tblCellMar>
      </w:tblPr>
      <w:tblGrid>
        <w:gridCol w:w="3000"/>
        <w:gridCol w:w="2100"/>
        <w:gridCol w:w="2100"/>
        <w:gridCol w:w="2099"/>
      </w:tblGrid>
      <w:tr>
        <w:trPr>
          <w:tblHeader w:val="true"/>
        </w:trPr>
        <w:tc>
          <w:tcPr>
            <w:tcW w:w="30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Route</w:t>
            </w:r>
          </w:p>
        </w:tc>
        <w:tc>
          <w:tcPr>
            <w:tcW w:w="21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Maturity −1 SD</w:t>
            </w:r>
          </w:p>
        </w:tc>
        <w:tc>
          <w:tcPr>
            <w:tcW w:w="21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Mean</w:t>
            </w:r>
          </w:p>
        </w:tc>
        <w:tc>
          <w:tcPr>
            <w:tcW w:w="20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+1 SD</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Coercive pressure via substantive implementation</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0.11, 95% CI [0.05, 0.17]</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0.12, 95% CI [0.07, 0.19]</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0.14, 95% CI [0.08, 0.22]</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Coercive pressure via symbolic compliance</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0.15, 95% CI [−0.24, −0.08]</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0.09, 95% CI [−0.14, −0.05]</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0.03, 95% CI [−0.07, 0.01]</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Coercive pressure: total indirect effect</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0.04, 95% CI [−0.15, 0.05]</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0.03, 95% CI [−0.04, 0.11]</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0.11, 95% CI [0.04, 0.20]</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Normative pressure via substantive implementation</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0.13, 95% CI [0.07, 0.21]</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0.15, 95% CI [0.09, 0.23]</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0.17, 95% CI [0.11, 0.25]</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Normative pressure via symbolic compliance</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0.06, 95% CI [0.02, 0.10]</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0.06, 95% CI [0.02, 0.10]</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0.06, 95% CI [0.02, 0.10]</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Normative pressure: total indirect effect</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0.19, 95% CI [0.11, 0.28]</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0.21, 95% CI [0.13, 0.30]</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0.23, 95% CI [0.15, 0.33]</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Mimetic pressure via substantive implementation</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0.03, 95% CI [−0.02, 0.08]</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0.03, 95% CI [−0.02, 0.08]</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0.03, 95% CI [−0.02, 0.09]</w:t>
            </w:r>
          </w:p>
        </w:tc>
      </w:tr>
      <w:tr>
        <w:trPr>
          <w:cantSplit w:val="true"/>
        </w:trPr>
        <w:tc>
          <w:tcPr>
            <w:tcW w:w="3000" w:type="dxa"/>
            <w:tcBorders/>
            <w:vAlign w:val="center"/>
          </w:tcPr>
          <w:p>
            <w:pPr>
              <w:pStyle w:val="Normal"/>
              <w:spacing w:lineRule="auto" w:line="240" w:before="30" w:after="30"/>
              <w:jc w:val="left"/>
              <w:rPr/>
            </w:pPr>
            <w:r>
              <w:rPr>
                <w:rFonts w:eastAsia="Times New Roman" w:cs="Times New Roman"/>
                <w:sz w:val="18"/>
                <w:szCs w:val="18"/>
                <w:lang w:val="en-US" w:bidi="fa-IR"/>
              </w:rPr>
              <w:t>Mimetic pressure via symbolic compliance</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0.09, 95% CI [−0.15, −0.04]</w:t>
            </w:r>
          </w:p>
        </w:tc>
        <w:tc>
          <w:tcPr>
            <w:tcW w:w="21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0.09, 95% CI [−0.15, −0.04]</w:t>
            </w:r>
          </w:p>
        </w:tc>
        <w:tc>
          <w:tcPr>
            <w:tcW w:w="20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0.09, 95% CI [−0.15, −0.04]</w:t>
            </w:r>
          </w:p>
        </w:tc>
      </w:tr>
      <w:tr>
        <w:trPr>
          <w:cantSplit w:val="true"/>
        </w:trPr>
        <w:tc>
          <w:tcPr>
            <w:tcW w:w="30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Mimetic pressure: total indirect effect</w:t>
            </w:r>
          </w:p>
        </w:tc>
        <w:tc>
          <w:tcPr>
            <w:tcW w:w="21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0.06, 95% CI [−0.13, 0.01]</w:t>
            </w:r>
          </w:p>
        </w:tc>
        <w:tc>
          <w:tcPr>
            <w:tcW w:w="21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0.05, 95% CI [−0.14, 0.02]</w:t>
            </w:r>
          </w:p>
        </w:tc>
        <w:tc>
          <w:tcPr>
            <w:tcW w:w="20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0.05, 95% CI [−0.14, 0.03]</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At mean maturity, coercive pressure had a positive indirect effect on accountability through substantive implementation (0.12, 95% CI [0.07, 0.19]) and a negative one through symbolic compliance (−0.09, 95% CI [−0.14, −0.05]); the two almost cancel, leaving a total indirect effect of 0.03, 95% CI [−0.04, 0.11]. Normative pressure had a clearly positive total indirect effect (0.21, 95% CI [0.13, 0.30]), and mimetic pressure a negative effect through symbolic compliance (−0.09, 95% CI [−0.15, −0.04]) with a total that is statistically indistinguishable from zero (−0.05, 95% CI [−0.14, 0.02]). H13 is therefore supported. Maturity changes the arithmetic of coercion: the total indirect effect of coercive pressure moves from −0.04, 95% CI [−0.15, 0.05] at low maturity to 0.11, 95% CI [0.04, 0.20] at high maturity, because both the ceremonial route weakens and the substantive route is amplified (Figure 5). Indices of moderated mediation were 0.061, 95% CI [0.024, 0.116] for the coercion–ceremony route and 0.052, 95% CI [0.007, 0.117] for the implementation–usefulness–accountability route.</w:t>
      </w:r>
    </w:p>
    <w:p>
      <w:pPr>
        <w:pStyle w:val="Normal"/>
        <w:keepNext w:val="true"/>
        <w:jc w:val="center"/>
        <w:rPr/>
      </w:pPr>
      <w:r>
        <w:rPr/>
        <w:drawing>
          <wp:inline distT="0" distB="0" distL="0" distR="0">
            <wp:extent cx="4895850" cy="2844800"/>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11"/>
                    <a:stretch>
                      <a:fillRect/>
                    </a:stretch>
                  </pic:blipFill>
                  <pic:spPr bwMode="auto">
                    <a:xfrm>
                      <a:off x="0" y="0"/>
                      <a:ext cx="4895850" cy="2844800"/>
                    </a:xfrm>
                    <a:prstGeom prst="rect">
                      <a:avLst/>
                    </a:prstGeom>
                  </pic:spPr>
                </pic:pic>
              </a:graphicData>
            </a:graphic>
          </wp:inline>
        </w:drawing>
      </w:r>
    </w:p>
    <w:p>
      <w:pPr>
        <w:pStyle w:val="Normal"/>
        <w:spacing w:lineRule="auto" w:line="276" w:before="40" w:after="160"/>
        <w:jc w:val="left"/>
        <w:rPr/>
      </w:pPr>
      <w:r>
        <w:rPr>
          <w:rFonts w:eastAsia="Times New Roman" w:cs="Times New Roman"/>
          <w:b/>
          <w:bCs/>
          <w:sz w:val="22"/>
          <w:szCs w:val="22"/>
          <w:lang w:val="en-US" w:bidi="fa-IR"/>
        </w:rPr>
        <w:t>Figure 5. Total indirect effects of the three pressures on financial accountability at three levels of information-system maturity (95% bootstrap CIs).</w:t>
      </w:r>
    </w:p>
    <w:p>
      <w:pPr>
        <w:pStyle w:val="Normal"/>
        <w:keepNext w:val="true"/>
        <w:spacing w:lineRule="auto" w:line="276" w:before="140" w:after="60"/>
        <w:jc w:val="left"/>
        <w:rPr/>
      </w:pPr>
      <w:r>
        <w:rPr>
          <w:rFonts w:eastAsia="Times New Roman" w:cs="Times New Roman"/>
          <w:b/>
          <w:bCs/>
          <w:sz w:val="24"/>
          <w:szCs w:val="24"/>
          <w:lang w:val="en-US" w:bidi="fa-IR"/>
        </w:rPr>
        <w:t>4.5 Competing models</w:t>
      </w:r>
    </w:p>
    <w:p>
      <w:pPr>
        <w:pStyle w:val="Normal"/>
        <w:keepNext w:val="true"/>
        <w:spacing w:lineRule="auto" w:line="276" w:before="140" w:after="60"/>
        <w:jc w:val="left"/>
        <w:rPr/>
      </w:pPr>
      <w:r>
        <w:rPr>
          <w:rFonts w:eastAsia="Times New Roman" w:cs="Times New Roman"/>
          <w:b/>
          <w:bCs/>
          <w:sz w:val="22"/>
          <w:szCs w:val="22"/>
          <w:lang w:val="en-US" w:bidi="fa-IR"/>
        </w:rPr>
        <w:t>Table 5. Competing structural models</w:t>
      </w:r>
    </w:p>
    <w:tbl>
      <w:tblPr>
        <w:tblW w:w="8300" w:type="dxa"/>
        <w:jc w:val="center"/>
        <w:tblInd w:w="0" w:type="dxa"/>
        <w:tblLayout w:type="fixed"/>
        <w:tblCellMar>
          <w:top w:w="0" w:type="dxa"/>
          <w:left w:w="60" w:type="dxa"/>
          <w:bottom w:w="0" w:type="dxa"/>
          <w:right w:w="60" w:type="dxa"/>
        </w:tblCellMar>
      </w:tblPr>
      <w:tblGrid>
        <w:gridCol w:w="600"/>
        <w:gridCol w:w="2999"/>
        <w:gridCol w:w="800"/>
        <w:gridCol w:w="600"/>
        <w:gridCol w:w="801"/>
        <w:gridCol w:w="899"/>
        <w:gridCol w:w="800"/>
        <w:gridCol w:w="800"/>
      </w:tblGrid>
      <w:tr>
        <w:trPr>
          <w:tblHeader w:val="true"/>
        </w:trPr>
        <w:tc>
          <w:tcPr>
            <w:tcW w:w="6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Model</w:t>
            </w:r>
          </w:p>
        </w:tc>
        <w:tc>
          <w:tcPr>
            <w:tcW w:w="2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Specification</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χ²</w:t>
            </w:r>
          </w:p>
        </w:tc>
        <w:tc>
          <w:tcPr>
            <w:tcW w:w="6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df</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CFI</w:t>
            </w:r>
          </w:p>
        </w:tc>
        <w:tc>
          <w:tcPr>
            <w:tcW w:w="8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RMSEA</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AIC</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BIC</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M1</w:t>
            </w:r>
          </w:p>
        </w:tc>
        <w:tc>
          <w:tcPr>
            <w:tcW w:w="2999" w:type="dxa"/>
            <w:tcBorders/>
            <w:vAlign w:val="center"/>
          </w:tcPr>
          <w:p>
            <w:pPr>
              <w:pStyle w:val="Normal"/>
              <w:spacing w:lineRule="auto" w:line="240" w:before="30" w:after="30"/>
              <w:jc w:val="center"/>
              <w:rPr/>
            </w:pPr>
            <w:r>
              <w:rPr>
                <w:rFonts w:eastAsia="Times New Roman" w:cs="Times New Roman"/>
                <w:sz w:val="18"/>
                <w:szCs w:val="18"/>
                <w:lang w:val="en-US" w:bidi="fa-IR"/>
              </w:rPr>
              <w:t>Hypothesised model</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921.0</w:t>
            </w:r>
          </w:p>
        </w:tc>
        <w:tc>
          <w:tcPr>
            <w:tcW w:w="600" w:type="dxa"/>
            <w:tcBorders/>
            <w:vAlign w:val="center"/>
          </w:tcPr>
          <w:p>
            <w:pPr>
              <w:pStyle w:val="Normal"/>
              <w:spacing w:lineRule="auto" w:line="240" w:before="30" w:after="30"/>
              <w:jc w:val="center"/>
              <w:rPr/>
            </w:pPr>
            <w:r>
              <w:rPr>
                <w:rFonts w:eastAsia="Times New Roman" w:cs="Times New Roman"/>
                <w:sz w:val="18"/>
                <w:szCs w:val="18"/>
                <w:lang w:val="en-US" w:bidi="fa-IR"/>
              </w:rPr>
              <w:t>830</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0.984</w:t>
            </w:r>
          </w:p>
        </w:tc>
        <w:tc>
          <w:tcPr>
            <w:tcW w:w="899" w:type="dxa"/>
            <w:tcBorders/>
            <w:vAlign w:val="center"/>
          </w:tcPr>
          <w:p>
            <w:pPr>
              <w:pStyle w:val="Normal"/>
              <w:spacing w:lineRule="auto" w:line="240" w:before="30" w:after="30"/>
              <w:jc w:val="center"/>
              <w:rPr/>
            </w:pPr>
            <w:r>
              <w:rPr>
                <w:rFonts w:eastAsia="Times New Roman" w:cs="Times New Roman"/>
                <w:sz w:val="18"/>
                <w:szCs w:val="18"/>
                <w:lang w:val="en-US" w:bidi="fa-IR"/>
              </w:rPr>
              <w:t>0.018</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227</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669</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M2</w:t>
            </w:r>
          </w:p>
        </w:tc>
        <w:tc>
          <w:tcPr>
            <w:tcW w:w="2999" w:type="dxa"/>
            <w:tcBorders/>
            <w:vAlign w:val="center"/>
          </w:tcPr>
          <w:p>
            <w:pPr>
              <w:pStyle w:val="Normal"/>
              <w:spacing w:lineRule="auto" w:line="240" w:before="30" w:after="30"/>
              <w:jc w:val="center"/>
              <w:rPr/>
            </w:pPr>
            <w:r>
              <w:rPr>
                <w:rFonts w:eastAsia="Times New Roman" w:cs="Times New Roman"/>
                <w:sz w:val="18"/>
                <w:szCs w:val="18"/>
                <w:lang w:val="en-US" w:bidi="fa-IR"/>
              </w:rPr>
              <w:t>No moderation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944.2</w:t>
            </w:r>
          </w:p>
        </w:tc>
        <w:tc>
          <w:tcPr>
            <w:tcW w:w="600" w:type="dxa"/>
            <w:tcBorders/>
            <w:vAlign w:val="center"/>
          </w:tcPr>
          <w:p>
            <w:pPr>
              <w:pStyle w:val="Normal"/>
              <w:spacing w:lineRule="auto" w:line="240" w:before="30" w:after="30"/>
              <w:jc w:val="center"/>
              <w:rPr/>
            </w:pPr>
            <w:r>
              <w:rPr>
                <w:rFonts w:eastAsia="Times New Roman" w:cs="Times New Roman"/>
                <w:sz w:val="18"/>
                <w:szCs w:val="18"/>
                <w:lang w:val="en-US" w:bidi="fa-IR"/>
              </w:rPr>
              <w:t>832</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0.980</w:t>
            </w:r>
          </w:p>
        </w:tc>
        <w:tc>
          <w:tcPr>
            <w:tcW w:w="899" w:type="dxa"/>
            <w:tcBorders/>
            <w:vAlign w:val="center"/>
          </w:tcPr>
          <w:p>
            <w:pPr>
              <w:pStyle w:val="Normal"/>
              <w:spacing w:lineRule="auto" w:line="240" w:before="30" w:after="30"/>
              <w:jc w:val="center"/>
              <w:rPr/>
            </w:pPr>
            <w:r>
              <w:rPr>
                <w:rFonts w:eastAsia="Times New Roman" w:cs="Times New Roman"/>
                <w:sz w:val="18"/>
                <w:szCs w:val="18"/>
                <w:lang w:val="en-US" w:bidi="fa-IR"/>
              </w:rPr>
              <w:t>0.020</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222</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658</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M3</w:t>
            </w:r>
          </w:p>
        </w:tc>
        <w:tc>
          <w:tcPr>
            <w:tcW w:w="2999" w:type="dxa"/>
            <w:tcBorders/>
            <w:vAlign w:val="center"/>
          </w:tcPr>
          <w:p>
            <w:pPr>
              <w:pStyle w:val="Normal"/>
              <w:spacing w:lineRule="auto" w:line="240" w:before="30" w:after="30"/>
              <w:jc w:val="center"/>
              <w:rPr/>
            </w:pPr>
            <w:r>
              <w:rPr>
                <w:rFonts w:eastAsia="Times New Roman" w:cs="Times New Roman"/>
                <w:sz w:val="18"/>
                <w:szCs w:val="18"/>
                <w:lang w:val="en-US" w:bidi="fa-IR"/>
              </w:rPr>
              <w:t>No usefulness path</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950.2</w:t>
            </w:r>
          </w:p>
        </w:tc>
        <w:tc>
          <w:tcPr>
            <w:tcW w:w="600" w:type="dxa"/>
            <w:tcBorders/>
            <w:vAlign w:val="center"/>
          </w:tcPr>
          <w:p>
            <w:pPr>
              <w:pStyle w:val="Normal"/>
              <w:spacing w:lineRule="auto" w:line="240" w:before="30" w:after="30"/>
              <w:jc w:val="center"/>
              <w:rPr/>
            </w:pPr>
            <w:r>
              <w:rPr>
                <w:rFonts w:eastAsia="Times New Roman" w:cs="Times New Roman"/>
                <w:sz w:val="18"/>
                <w:szCs w:val="18"/>
                <w:lang w:val="en-US" w:bidi="fa-IR"/>
              </w:rPr>
              <w:t>831</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0.979</w:t>
            </w:r>
          </w:p>
        </w:tc>
        <w:tc>
          <w:tcPr>
            <w:tcW w:w="899" w:type="dxa"/>
            <w:tcBorders/>
            <w:vAlign w:val="center"/>
          </w:tcPr>
          <w:p>
            <w:pPr>
              <w:pStyle w:val="Normal"/>
              <w:spacing w:lineRule="auto" w:line="240" w:before="30" w:after="30"/>
              <w:jc w:val="center"/>
              <w:rPr/>
            </w:pPr>
            <w:r>
              <w:rPr>
                <w:rFonts w:eastAsia="Times New Roman" w:cs="Times New Roman"/>
                <w:sz w:val="18"/>
                <w:szCs w:val="18"/>
                <w:lang w:val="en-US" w:bidi="fa-IR"/>
              </w:rPr>
              <w:t>0.021</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224</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663</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M4</w:t>
            </w:r>
          </w:p>
        </w:tc>
        <w:tc>
          <w:tcPr>
            <w:tcW w:w="2999" w:type="dxa"/>
            <w:tcBorders/>
            <w:vAlign w:val="center"/>
          </w:tcPr>
          <w:p>
            <w:pPr>
              <w:pStyle w:val="Normal"/>
              <w:spacing w:lineRule="auto" w:line="240" w:before="30" w:after="30"/>
              <w:jc w:val="center"/>
              <w:rPr/>
            </w:pPr>
            <w:r>
              <w:rPr>
                <w:rFonts w:eastAsia="Times New Roman" w:cs="Times New Roman"/>
                <w:sz w:val="18"/>
                <w:szCs w:val="18"/>
                <w:lang w:val="en-US" w:bidi="fa-IR"/>
              </w:rPr>
              <w:t>Substantive route only</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943.4</w:t>
            </w:r>
          </w:p>
        </w:tc>
        <w:tc>
          <w:tcPr>
            <w:tcW w:w="600" w:type="dxa"/>
            <w:tcBorders/>
            <w:vAlign w:val="center"/>
          </w:tcPr>
          <w:p>
            <w:pPr>
              <w:pStyle w:val="Normal"/>
              <w:spacing w:lineRule="auto" w:line="240" w:before="30" w:after="30"/>
              <w:jc w:val="center"/>
              <w:rPr/>
            </w:pPr>
            <w:r>
              <w:rPr>
                <w:rFonts w:eastAsia="Times New Roman" w:cs="Times New Roman"/>
                <w:sz w:val="18"/>
                <w:szCs w:val="18"/>
                <w:lang w:val="en-US" w:bidi="fa-IR"/>
              </w:rPr>
              <w:t>831</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0.980</w:t>
            </w:r>
          </w:p>
        </w:tc>
        <w:tc>
          <w:tcPr>
            <w:tcW w:w="899" w:type="dxa"/>
            <w:tcBorders/>
            <w:vAlign w:val="center"/>
          </w:tcPr>
          <w:p>
            <w:pPr>
              <w:pStyle w:val="Normal"/>
              <w:spacing w:lineRule="auto" w:line="240" w:before="30" w:after="30"/>
              <w:jc w:val="center"/>
              <w:rPr/>
            </w:pPr>
            <w:r>
              <w:rPr>
                <w:rFonts w:eastAsia="Times New Roman" w:cs="Times New Roman"/>
                <w:sz w:val="18"/>
                <w:szCs w:val="18"/>
                <w:lang w:val="en-US" w:bidi="fa-IR"/>
              </w:rPr>
              <w:t>0.020</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224</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663</w:t>
            </w:r>
          </w:p>
        </w:tc>
      </w:tr>
      <w:tr>
        <w:trPr>
          <w:cantSplit w:val="true"/>
        </w:trPr>
        <w:tc>
          <w:tcPr>
            <w:tcW w:w="6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M5</w:t>
            </w:r>
          </w:p>
        </w:tc>
        <w:tc>
          <w:tcPr>
            <w:tcW w:w="29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Direct effects of pressures added</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918.5</w:t>
            </w:r>
          </w:p>
        </w:tc>
        <w:tc>
          <w:tcPr>
            <w:tcW w:w="6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827</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0.984</w:t>
            </w:r>
          </w:p>
        </w:tc>
        <w:tc>
          <w:tcPr>
            <w:tcW w:w="8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0.018</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233</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687</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The hypothesised model fitted better than the model without moderation (M2; Δχ²(2) = 23.2, p &lt; .001), the model without the usefulness path (M3; Δχ²(1) = 29.2, p &lt; .001) and the substantive-route-only model (M4; Δχ²(1) = 22.4, p &lt; .001). Adding direct paths from the three pressures to accountability (M5) did not improve fit (Δχ²(3) = 2.5, n.s.), consistent with full mediation. BIC values from the software favour the more parsimonious structures; given the large number of product-indicator parameters we rely on the nested χ² tests and the fit indices for model selection.</w:t>
      </w:r>
    </w:p>
    <w:p>
      <w:pPr>
        <w:pStyle w:val="Normal"/>
        <w:keepNext w:val="true"/>
        <w:spacing w:lineRule="auto" w:line="276" w:before="140" w:after="60"/>
        <w:jc w:val="left"/>
        <w:rPr/>
      </w:pPr>
      <w:r>
        <w:rPr>
          <w:rFonts w:eastAsia="Times New Roman" w:cs="Times New Roman"/>
          <w:b/>
          <w:bCs/>
          <w:sz w:val="24"/>
          <w:szCs w:val="24"/>
          <w:lang w:val="en-US" w:bidi="fa-IR"/>
        </w:rPr>
        <w:t>4.6 Robustness</w:t>
      </w:r>
    </w:p>
    <w:p>
      <w:pPr>
        <w:pStyle w:val="Normal"/>
        <w:keepNext w:val="true"/>
        <w:spacing w:lineRule="auto" w:line="276" w:before="140" w:after="60"/>
        <w:jc w:val="left"/>
        <w:rPr/>
      </w:pPr>
      <w:r>
        <w:rPr>
          <w:rFonts w:eastAsia="Times New Roman" w:cs="Times New Roman"/>
          <w:b/>
          <w:bCs/>
          <w:sz w:val="22"/>
          <w:szCs w:val="22"/>
          <w:lang w:val="en-US" w:bidi="fa-IR"/>
        </w:rPr>
        <w:t>Table 6. Robustness of standardized paths across estimators and subsamples</w:t>
      </w:r>
    </w:p>
    <w:tbl>
      <w:tblPr>
        <w:tblW w:w="9300" w:type="dxa"/>
        <w:jc w:val="center"/>
        <w:tblInd w:w="0" w:type="dxa"/>
        <w:tblLayout w:type="fixed"/>
        <w:tblCellMar>
          <w:top w:w="0" w:type="dxa"/>
          <w:left w:w="60" w:type="dxa"/>
          <w:bottom w:w="0" w:type="dxa"/>
          <w:right w:w="60" w:type="dxa"/>
        </w:tblCellMar>
      </w:tblPr>
      <w:tblGrid>
        <w:gridCol w:w="2499"/>
        <w:gridCol w:w="901"/>
        <w:gridCol w:w="799"/>
        <w:gridCol w:w="1301"/>
        <w:gridCol w:w="1199"/>
        <w:gridCol w:w="1201"/>
        <w:gridCol w:w="1399"/>
      </w:tblGrid>
      <w:tr>
        <w:trPr>
          <w:tblHeader w:val="true"/>
        </w:trPr>
        <w:tc>
          <w:tcPr>
            <w:tcW w:w="24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Path</w:t>
            </w:r>
          </w:p>
        </w:tc>
        <w:tc>
          <w:tcPr>
            <w:tcW w:w="9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Baseline</w:t>
            </w:r>
          </w:p>
        </w:tc>
        <w:tc>
          <w:tcPr>
            <w:tcW w:w="7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DWLS</w:t>
            </w:r>
          </w:p>
        </w:tc>
        <w:tc>
          <w:tcPr>
            <w:tcW w:w="13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Residual-centred</w:t>
            </w:r>
          </w:p>
        </w:tc>
        <w:tc>
          <w:tcPr>
            <w:tcW w:w="11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Respecified</w:t>
            </w:r>
          </w:p>
        </w:tc>
        <w:tc>
          <w:tcPr>
            <w:tcW w:w="12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Trimmed 5%</w:t>
            </w:r>
          </w:p>
        </w:tc>
        <w:tc>
          <w:tcPr>
            <w:tcW w:w="13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Experienced (≥10 yrs)</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Coercive → Substantive</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0.33</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0.28</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Coercive → Symbolic</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0.39</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0.43</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Normative → Substantive</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0.37</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0.37</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0.37</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0.37</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Normative → Symbolic</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0.23</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0.24</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Mimetic → Symbolic</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0.33</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0.33</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0.33</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0.33</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0.32</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Substantive → Usefulness</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0.35</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0.38</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0.36</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0.35</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0.37</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0.31</w:t>
            </w:r>
          </w:p>
        </w:tc>
      </w:tr>
      <w:tr>
        <w:trPr>
          <w:cantSplit w:val="true"/>
        </w:trPr>
        <w:tc>
          <w:tcPr>
            <w:tcW w:w="2499" w:type="dxa"/>
            <w:tcBorders/>
            <w:vAlign w:val="center"/>
          </w:tcPr>
          <w:p>
            <w:pPr>
              <w:pStyle w:val="Normal"/>
              <w:spacing w:lineRule="auto" w:line="240" w:before="30" w:after="30"/>
              <w:jc w:val="left"/>
              <w:rPr/>
            </w:pPr>
            <w:r>
              <w:rPr>
                <w:rFonts w:eastAsia="Times New Roman" w:cs="Times New Roman"/>
                <w:sz w:val="18"/>
                <w:szCs w:val="18"/>
                <w:lang w:val="en-US" w:bidi="fa-IR"/>
              </w:rPr>
              <w:t>Symbolic → Usefulness</w:t>
            </w:r>
          </w:p>
        </w:tc>
        <w:tc>
          <w:tcPr>
            <w:tcW w:w="9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0.23</w:t>
            </w:r>
          </w:p>
        </w:tc>
        <w:tc>
          <w:tcPr>
            <w:tcW w:w="13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2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0.24</w:t>
            </w:r>
          </w:p>
        </w:tc>
        <w:tc>
          <w:tcPr>
            <w:tcW w:w="13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r>
      <w:tr>
        <w:trPr>
          <w:cantSplit w:val="true"/>
        </w:trPr>
        <w:tc>
          <w:tcPr>
            <w:tcW w:w="24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Usefulness → Accountability</w:t>
            </w:r>
          </w:p>
        </w:tc>
        <w:tc>
          <w:tcPr>
            <w:tcW w:w="9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0.36</w:t>
            </w:r>
          </w:p>
        </w:tc>
        <w:tc>
          <w:tcPr>
            <w:tcW w:w="7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0.35</w:t>
            </w:r>
          </w:p>
        </w:tc>
        <w:tc>
          <w:tcPr>
            <w:tcW w:w="13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0.36</w:t>
            </w:r>
          </w:p>
        </w:tc>
        <w:tc>
          <w:tcPr>
            <w:tcW w:w="11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0.36</w:t>
            </w:r>
          </w:p>
        </w:tc>
        <w:tc>
          <w:tcPr>
            <w:tcW w:w="12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0.41</w:t>
            </w:r>
          </w:p>
        </w:tc>
        <w:tc>
          <w:tcPr>
            <w:tcW w:w="13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0.39</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Estimates were stable in sign and magnitude when estimated by DWLS without interaction terms (CFI = 1.018), with residual-centred product indicators (CFI = 0.997), after adding the four largest within-construct residual correlations (ACC4–ACC5, ACC2–ACC4, ACC1–ACC2, DIG3–DIG4; CFI = 0.987), after removing the 17 most extreme multivariate observations, and in the subsample of 233 respondents with at least ten years of experience (Table 6; Appendix E).</w:t>
      </w:r>
    </w:p>
    <w:p>
      <w:pPr>
        <w:pStyle w:val="Normal"/>
        <w:keepNext w:val="true"/>
        <w:spacing w:lineRule="auto" w:line="276" w:before="200" w:after="80"/>
        <w:jc w:val="left"/>
        <w:rPr/>
      </w:pPr>
      <w:r>
        <w:rPr>
          <w:rFonts w:eastAsia="Times New Roman" w:cs="Times New Roman"/>
          <w:b/>
          <w:bCs/>
          <w:sz w:val="26"/>
          <w:szCs w:val="26"/>
          <w:lang w:val="en-US" w:bidi="fa-IR"/>
        </w:rPr>
        <w:t>5. Discussion</w:t>
      </w:r>
    </w:p>
    <w:p>
      <w:pPr>
        <w:pStyle w:val="Normal"/>
        <w:keepNext w:val="true"/>
        <w:spacing w:lineRule="auto" w:line="276" w:before="140" w:after="60"/>
        <w:jc w:val="left"/>
        <w:rPr/>
      </w:pPr>
      <w:r>
        <w:rPr>
          <w:rFonts w:eastAsia="Times New Roman" w:cs="Times New Roman"/>
          <w:b/>
          <w:bCs/>
          <w:sz w:val="24"/>
          <w:szCs w:val="24"/>
          <w:lang w:val="en-US" w:bidi="fa-IR"/>
        </w:rPr>
        <w:t>5.1 What the results say</w:t>
      </w:r>
    </w:p>
    <w:p>
      <w:pPr>
        <w:pStyle w:val="Normal"/>
        <w:spacing w:lineRule="auto" w:line="276" w:before="0" w:after="80"/>
        <w:ind w:firstLine="425"/>
        <w:jc w:val="both"/>
        <w:rPr/>
      </w:pPr>
      <w:r>
        <w:rPr>
          <w:rFonts w:eastAsia="Times New Roman" w:cs="Times New Roman"/>
          <w:sz w:val="24"/>
          <w:szCs w:val="24"/>
          <w:lang w:val="en-US" w:bidi="fa-IR"/>
        </w:rPr>
        <w:t>The central result is that the same institutional pressure can feed opposite organisational behaviours. Coercion is a blunt instrument: it raises substantive implementation and symbolic compliance in comparable measure, so that the net effect on accountability is close to zero unless something else tips the balance. Normative pressure, in contrast, works almost entirely through substance, and mimetic pressure almost entirely through form. These contrasts support the view that “adoption” is an insufficient dependent variable; what matters is the quality of adoption.</w:t>
      </w:r>
    </w:p>
    <w:p>
      <w:pPr>
        <w:pStyle w:val="Normal"/>
        <w:spacing w:lineRule="auto" w:line="276" w:before="0" w:after="80"/>
        <w:ind w:firstLine="425"/>
        <w:jc w:val="both"/>
        <w:rPr/>
      </w:pPr>
      <w:r>
        <w:rPr>
          <w:rFonts w:eastAsia="Times New Roman" w:cs="Times New Roman"/>
          <w:sz w:val="24"/>
          <w:szCs w:val="24"/>
          <w:lang w:val="en-US" w:bidi="fa-IR"/>
        </w:rPr>
        <w:t>Second, the usefulness of information acts as the link between implementation and accountability. When implementation is substantive, information is in use, so it is timely and trusted; when compliance is symbolic, information is discounted and accountability is weaker. This extends the literature on performance-information use to accrual and budgeting reforms and indicates that accountability gains require that the information be used for decisions, not merely produced.</w:t>
      </w:r>
    </w:p>
    <w:p>
      <w:pPr>
        <w:pStyle w:val="Normal"/>
        <w:spacing w:lineRule="auto" w:line="276" w:before="0" w:after="80"/>
        <w:ind w:firstLine="425"/>
        <w:jc w:val="both"/>
        <w:rPr/>
      </w:pPr>
      <w:r>
        <w:rPr>
          <w:rFonts w:eastAsia="Times New Roman" w:cs="Times New Roman"/>
          <w:sz w:val="24"/>
          <w:szCs w:val="24"/>
          <w:lang w:val="en-US" w:bidi="fa-IR"/>
        </w:rPr>
        <w:t>Third, information-system maturity is both an amplifier and a safeguard. It amplifies the payoff of substantive implementation, as integrated and real-time data make cost and accrual information usable. It also safeguards against ceremony: as systems become integrated and auditable, the coercion–ceremony pathway weakens, because mandated reporting leaves traces that can be verified. The finding that maturity changes the sign pattern of the total indirect effect of coercion from near-zero or negative at low maturity to positive at high maturity is, in our view, the most policy-relevant result: mandates are productive when the infrastructure exists to make them verifiable.</w:t>
      </w:r>
    </w:p>
    <w:p>
      <w:pPr>
        <w:pStyle w:val="Normal"/>
        <w:keepNext w:val="true"/>
        <w:spacing w:lineRule="auto" w:line="276" w:before="140" w:after="60"/>
        <w:jc w:val="left"/>
        <w:rPr/>
      </w:pPr>
      <w:r>
        <w:rPr>
          <w:rFonts w:eastAsia="Times New Roman" w:cs="Times New Roman"/>
          <w:b/>
          <w:bCs/>
          <w:sz w:val="24"/>
          <w:szCs w:val="24"/>
          <w:lang w:val="en-US" w:bidi="fa-IR"/>
        </w:rPr>
        <w:t>5.2 Theoretical implications</w:t>
      </w:r>
    </w:p>
    <w:p>
      <w:pPr>
        <w:pStyle w:val="Normal"/>
        <w:spacing w:lineRule="auto" w:line="276" w:before="0" w:after="80"/>
        <w:ind w:firstLine="425"/>
        <w:jc w:val="both"/>
        <w:rPr/>
      </w:pPr>
      <w:r>
        <w:rPr>
          <w:rFonts w:eastAsia="Times New Roman" w:cs="Times New Roman"/>
          <w:sz w:val="24"/>
          <w:szCs w:val="24"/>
          <w:lang w:val="en-US" w:bidi="fa-IR"/>
        </w:rPr>
        <w:t>For institutional theory in accounting (Modell, 2009; Brignall &amp; Modell, 2000), the study offers an empirical specification of the distinction between ceremonial adoption and internalisation (Kostova &amp; Roth, 2002) and shows that the three isomorphic mechanisms map onto this distinction differently. It supports arguments that normative professionalisation can counter decoupling (Bromley &amp; Powell, 2012; Greenwood et al., 2011) and identifies a boundary condition—system maturity—that is rarely theorised in institutional accounts. For the accountability literature (Bovens, 2007; Bracci et al., 2015) the results suggest that information is not a sufficient condition for accountability; its effect depends on whether it is used, which is itself a function of the organisation's response to pressure.</w:t>
      </w:r>
    </w:p>
    <w:p>
      <w:pPr>
        <w:pStyle w:val="Normal"/>
        <w:keepNext w:val="true"/>
        <w:spacing w:lineRule="auto" w:line="276" w:before="140" w:after="60"/>
        <w:jc w:val="left"/>
        <w:rPr/>
      </w:pPr>
      <w:r>
        <w:rPr>
          <w:rFonts w:eastAsia="Times New Roman" w:cs="Times New Roman"/>
          <w:b/>
          <w:bCs/>
          <w:sz w:val="24"/>
          <w:szCs w:val="24"/>
          <w:lang w:val="en-US" w:bidi="fa-IR"/>
        </w:rPr>
        <w:t>5.3 Implications for practice and policy</w:t>
      </w:r>
    </w:p>
    <w:p>
      <w:pPr>
        <w:pStyle w:val="Normal"/>
        <w:spacing w:lineRule="auto" w:line="276" w:before="0" w:after="80"/>
        <w:jc w:val="both"/>
        <w:rPr/>
      </w:pPr>
      <w:r>
        <w:rPr>
          <w:rFonts w:eastAsia="Times New Roman" w:cs="Times New Roman"/>
          <w:b/>
          <w:bCs/>
          <w:sz w:val="24"/>
          <w:szCs w:val="24"/>
          <w:lang w:val="en-US" w:bidi="fa-IR"/>
        </w:rPr>
        <w:t>Do not rely on mandates alone.</w:t>
      </w:r>
      <w:r>
        <w:rPr>
          <w:rFonts w:eastAsia="Times New Roman" w:cs="Times New Roman"/>
          <w:sz w:val="24"/>
          <w:szCs w:val="24"/>
          <w:lang w:val="en-US" w:bidi="fa-IR"/>
        </w:rPr>
        <w:t xml:space="preserve"> Because coercion also stimulates ceremony, legal requirements should be complemented by professional norms: certification, continuing education, peer learning networks and visible leadership by professional bodies.</w:t>
      </w:r>
    </w:p>
    <w:p>
      <w:pPr>
        <w:pStyle w:val="Normal"/>
        <w:spacing w:lineRule="auto" w:line="276" w:before="0" w:after="80"/>
        <w:jc w:val="both"/>
        <w:rPr/>
      </w:pPr>
      <w:r>
        <w:rPr>
          <w:rFonts w:eastAsia="Times New Roman" w:cs="Times New Roman"/>
          <w:b/>
          <w:bCs/>
          <w:sz w:val="24"/>
          <w:szCs w:val="24"/>
          <w:lang w:val="en-US" w:bidi="fa-IR"/>
        </w:rPr>
        <w:t>Monitor use, not submission.</w:t>
      </w:r>
      <w:r>
        <w:rPr>
          <w:rFonts w:eastAsia="Times New Roman" w:cs="Times New Roman"/>
          <w:sz w:val="24"/>
          <w:szCs w:val="24"/>
          <w:lang w:val="en-US" w:bidi="fa-IR"/>
        </w:rPr>
        <w:t xml:space="preserve"> Oversight bodies can reduce ceremonial incentives by auditing the use of cost and accrual information in allocation decisions (for example, whether unit cost informed a budget request) rather than the timeliness or completeness of reports.</w:t>
      </w:r>
    </w:p>
    <w:p>
      <w:pPr>
        <w:pStyle w:val="Normal"/>
        <w:spacing w:lineRule="auto" w:line="276" w:before="0" w:after="80"/>
        <w:jc w:val="both"/>
        <w:rPr/>
      </w:pPr>
      <w:r>
        <w:rPr>
          <w:rFonts w:eastAsia="Times New Roman" w:cs="Times New Roman"/>
          <w:b/>
          <w:bCs/>
          <w:sz w:val="24"/>
          <w:szCs w:val="24"/>
          <w:lang w:val="en-US" w:bidi="fa-IR"/>
        </w:rPr>
        <w:t>Invest in infrastructure as part of reform design.</w:t>
      </w:r>
      <w:r>
        <w:rPr>
          <w:rFonts w:eastAsia="Times New Roman" w:cs="Times New Roman"/>
          <w:sz w:val="24"/>
          <w:szCs w:val="24"/>
          <w:lang w:val="en-US" w:bidi="fa-IR"/>
        </w:rPr>
        <w:t xml:space="preserve"> Integrated, real-time and auditable systems raise the payoff of substantive implementation and make ceremony costly; they should be planned with, not after, accounting reforms.</w:t>
      </w:r>
    </w:p>
    <w:p>
      <w:pPr>
        <w:pStyle w:val="Normal"/>
        <w:spacing w:lineRule="auto" w:line="276" w:before="0" w:after="80"/>
        <w:jc w:val="both"/>
        <w:rPr/>
      </w:pPr>
      <w:r>
        <w:rPr>
          <w:rFonts w:eastAsia="Times New Roman" w:cs="Times New Roman"/>
          <w:b/>
          <w:bCs/>
          <w:sz w:val="24"/>
          <w:szCs w:val="24"/>
          <w:lang w:val="en-US" w:bidi="fa-IR"/>
        </w:rPr>
        <w:t>Localise templates.</w:t>
      </w:r>
      <w:r>
        <w:rPr>
          <w:rFonts w:eastAsia="Times New Roman" w:cs="Times New Roman"/>
          <w:sz w:val="24"/>
          <w:szCs w:val="24"/>
          <w:lang w:val="en-US" w:bidi="fa-IR"/>
        </w:rPr>
        <w:t xml:space="preserve"> Where agencies copy templates from peers or consultants, the model predicts ceremonial results; standard formats should be accompanied by guidance and capacity-building to adapt them.</w:t>
      </w:r>
    </w:p>
    <w:p>
      <w:pPr>
        <w:pStyle w:val="Normal"/>
        <w:spacing w:lineRule="auto" w:line="276" w:before="0" w:after="80"/>
        <w:jc w:val="both"/>
        <w:rPr/>
      </w:pPr>
      <w:r>
        <w:rPr>
          <w:rFonts w:eastAsia="Times New Roman" w:cs="Times New Roman"/>
          <w:b/>
          <w:bCs/>
          <w:sz w:val="24"/>
          <w:szCs w:val="24"/>
          <w:lang w:val="en-US" w:bidi="fa-IR"/>
        </w:rPr>
        <w:t>Design indicators for use.</w:t>
      </w:r>
      <w:r>
        <w:rPr>
          <w:rFonts w:eastAsia="Times New Roman" w:cs="Times New Roman"/>
          <w:sz w:val="24"/>
          <w:szCs w:val="24"/>
          <w:lang w:val="en-US" w:bidi="fa-IR"/>
        </w:rPr>
        <w:t xml:space="preserve"> Performance indicators that are easy to meet signal ceremony; benchmarking against history and external standards can reduce this tendency.</w:t>
      </w:r>
    </w:p>
    <w:p>
      <w:pPr>
        <w:pStyle w:val="Normal"/>
        <w:keepNext w:val="true"/>
        <w:spacing w:lineRule="auto" w:line="276" w:before="200" w:after="80"/>
        <w:jc w:val="left"/>
        <w:rPr/>
      </w:pPr>
      <w:r>
        <w:rPr>
          <w:rFonts w:eastAsia="Times New Roman" w:cs="Times New Roman"/>
          <w:b/>
          <w:bCs/>
          <w:sz w:val="26"/>
          <w:szCs w:val="26"/>
          <w:lang w:val="en-US" w:bidi="fa-IR"/>
        </w:rPr>
        <w:t>6. Limitations and future research</w:t>
      </w:r>
    </w:p>
    <w:p>
      <w:pPr>
        <w:pStyle w:val="Normal"/>
        <w:spacing w:lineRule="auto" w:line="276" w:before="0" w:after="80"/>
        <w:ind w:firstLine="425"/>
        <w:jc w:val="both"/>
        <w:rPr/>
      </w:pPr>
      <w:r>
        <w:rPr>
          <w:rFonts w:eastAsia="Times New Roman" w:cs="Times New Roman"/>
          <w:sz w:val="24"/>
          <w:szCs w:val="24"/>
          <w:lang w:val="en-US" w:bidi="fa-IR"/>
        </w:rPr>
        <w:t>The design is cross-sectional and based on self-reports from one respondent per agency, so causal ordering cannot be established and common-source bias, although not indicated by our tests, cannot be ruled out; matched respondent pairs, objective indicators (budget variance, performance-audit findings) and longitudinal data would strengthen inference. The scales for substantive implementation, symbolic compliance and accountability are new and need replication, cross-group invariance testing and, ideally, validation against behavioural criteria. The sample covers one country with a particular institutional configuration; comparative studies could examine whether the pressure–response mapping depends on the legal system and the development of the profession. Finally, we model two responses and one boundary condition; future work could add leadership, organisational capacity and political-administrative relations, and could test configurations of pressures (for example, synergies between coercive and normative pressures), which we examine in a companion study.</w:t>
      </w:r>
    </w:p>
    <w:p>
      <w:pPr>
        <w:pStyle w:val="Normal"/>
        <w:keepNext w:val="true"/>
        <w:spacing w:lineRule="auto" w:line="276" w:before="200" w:after="80"/>
        <w:jc w:val="left"/>
        <w:rPr/>
      </w:pPr>
      <w:r>
        <w:rPr>
          <w:rFonts w:eastAsia="Times New Roman" w:cs="Times New Roman"/>
          <w:b/>
          <w:bCs/>
          <w:sz w:val="26"/>
          <w:szCs w:val="26"/>
          <w:lang w:val="en-US" w:bidi="fa-IR"/>
        </w:rPr>
        <w:t>7. Conclusion</w:t>
      </w:r>
    </w:p>
    <w:p>
      <w:pPr>
        <w:pStyle w:val="Normal"/>
        <w:spacing w:lineRule="auto" w:line="276" w:before="0" w:after="80"/>
        <w:ind w:firstLine="425"/>
        <w:jc w:val="both"/>
        <w:rPr/>
      </w:pPr>
      <w:r>
        <w:rPr>
          <w:rFonts w:eastAsia="Times New Roman" w:cs="Times New Roman"/>
          <w:sz w:val="24"/>
          <w:szCs w:val="24"/>
          <w:lang w:val="en-US" w:bidi="fa-IR"/>
        </w:rPr>
        <w:t>Financial reforms succeed less because they are required than because of how agencies respond to the requirement. The evidence presented here shows that coercion can yield form as readily as substance, that professional norms favour substance, that imitation favours form, and that integrated, auditable information systems both amplify the benefits of substantive implementation and limit the pull of ceremony. Reformers who want accountability rather than compliance should invest in norms, use-focused oversight and infrastructure, and not in mandates alone.</w:t>
      </w:r>
    </w:p>
    <w:p>
      <w:pPr>
        <w:pStyle w:val="Normal"/>
        <w:keepNext w:val="true"/>
        <w:spacing w:lineRule="auto" w:line="276" w:before="140" w:after="60"/>
        <w:jc w:val="left"/>
        <w:rPr/>
      </w:pPr>
      <w:r>
        <w:rPr>
          <w:rFonts w:eastAsia="Times New Roman" w:cs="Times New Roman"/>
          <w:b/>
          <w:bCs/>
          <w:sz w:val="24"/>
          <w:szCs w:val="24"/>
          <w:lang w:val="en-US" w:bidi="fa-IR"/>
        </w:rPr>
        <w:t>Declarations</w:t>
      </w:r>
    </w:p>
    <w:p>
      <w:pPr>
        <w:pStyle w:val="Normal"/>
        <w:spacing w:lineRule="auto" w:line="276" w:before="0" w:after="80"/>
        <w:jc w:val="both"/>
        <w:rPr/>
      </w:pPr>
      <w:r>
        <w:rPr>
          <w:rFonts w:eastAsia="Times New Roman" w:cs="Times New Roman"/>
          <w:b/>
          <w:bCs/>
          <w:sz w:val="24"/>
          <w:szCs w:val="24"/>
          <w:lang w:val="en-US" w:bidi="fa-IR"/>
        </w:rPr>
        <w:t>Funding:</w:t>
      </w:r>
      <w:r>
        <w:rPr>
          <w:rFonts w:eastAsia="Times New Roman" w:cs="Times New Roman"/>
          <w:sz w:val="24"/>
          <w:szCs w:val="24"/>
          <w:lang w:val="en-US" w:bidi="fa-IR"/>
        </w:rPr>
        <w:t xml:space="preserve"> [to be completed]. </w:t>
      </w:r>
      <w:r>
        <w:rPr>
          <w:rFonts w:eastAsia="Times New Roman" w:cs="Times New Roman"/>
          <w:b/>
          <w:bCs/>
          <w:sz w:val="24"/>
          <w:szCs w:val="24"/>
          <w:lang w:val="en-US" w:bidi="fa-IR"/>
        </w:rPr>
        <w:t>Competing interests:</w:t>
      </w:r>
      <w:r>
        <w:rPr>
          <w:rFonts w:eastAsia="Times New Roman" w:cs="Times New Roman"/>
          <w:sz w:val="24"/>
          <w:szCs w:val="24"/>
          <w:lang w:val="en-US" w:bidi="fa-IR"/>
        </w:rPr>
        <w:t xml:space="preserve"> [to be completed]. </w:t>
      </w:r>
      <w:r>
        <w:rPr>
          <w:rFonts w:eastAsia="Times New Roman" w:cs="Times New Roman"/>
          <w:b/>
          <w:bCs/>
          <w:sz w:val="24"/>
          <w:szCs w:val="24"/>
          <w:lang w:val="en-US" w:bidi="fa-IR"/>
        </w:rPr>
        <w:t>Ethics:</w:t>
      </w:r>
      <w:r>
        <w:rPr>
          <w:rFonts w:eastAsia="Times New Roman" w:cs="Times New Roman"/>
          <w:sz w:val="24"/>
          <w:szCs w:val="24"/>
          <w:lang w:val="en-US" w:bidi="fa-IR"/>
        </w:rPr>
        <w:t xml:space="preserve"> Informed consent and ethics approval details of the survey must be stated here. </w:t>
      </w:r>
      <w:r>
        <w:rPr>
          <w:rFonts w:eastAsia="Times New Roman" w:cs="Times New Roman"/>
          <w:b/>
          <w:bCs/>
          <w:sz w:val="24"/>
          <w:szCs w:val="24"/>
          <w:lang w:val="en-US" w:bidi="fa-IR"/>
        </w:rPr>
        <w:t>Data and code availability:</w:t>
      </w:r>
      <w:r>
        <w:rPr>
          <w:rFonts w:eastAsia="Times New Roman" w:cs="Times New Roman"/>
          <w:sz w:val="24"/>
          <w:szCs w:val="24"/>
          <w:lang w:val="en-US" w:bidi="fa-IR"/>
        </w:rPr>
        <w:t xml:space="preserve"> The questionnaire, the analysis script (Python, semopy) and a Colab notebook accompany this manuscript; the dataset is available from the authors on reasonable request. </w:t>
      </w:r>
      <w:r>
        <w:rPr>
          <w:rFonts w:eastAsia="Times New Roman" w:cs="Times New Roman"/>
          <w:b/>
          <w:bCs/>
          <w:sz w:val="24"/>
          <w:szCs w:val="24"/>
          <w:lang w:val="en-US" w:bidi="fa-IR"/>
        </w:rPr>
        <w:t>Acknowledgements:</w:t>
      </w:r>
      <w:r>
        <w:rPr>
          <w:rFonts w:eastAsia="Times New Roman" w:cs="Times New Roman"/>
          <w:sz w:val="24"/>
          <w:szCs w:val="24"/>
          <w:lang w:val="en-US" w:bidi="fa-IR"/>
        </w:rPr>
        <w:t xml:space="preserve"> [to be completed].</w:t>
      </w:r>
    </w:p>
    <w:p>
      <w:pPr>
        <w:pStyle w:val="Normal"/>
        <w:keepNext w:val="true"/>
        <w:spacing w:lineRule="auto" w:line="276" w:before="200" w:after="80"/>
        <w:jc w:val="left"/>
        <w:rPr/>
      </w:pPr>
      <w:r>
        <w:rPr>
          <w:rFonts w:eastAsia="Times New Roman" w:cs="Times New Roman"/>
          <w:b/>
          <w:bCs/>
          <w:sz w:val="26"/>
          <w:szCs w:val="26"/>
          <w:lang w:val="en-US" w:bidi="fa-IR"/>
        </w:rPr>
        <w:t>References</w:t>
      </w:r>
    </w:p>
    <w:p>
      <w:pPr>
        <w:pStyle w:val="Normal"/>
        <w:spacing w:lineRule="auto" w:line="240" w:before="0" w:after="60"/>
        <w:ind w:hanging="567" w:left="567"/>
        <w:jc w:val="left"/>
        <w:rPr/>
      </w:pPr>
      <w:r>
        <w:rPr>
          <w:rFonts w:eastAsia="Times New Roman" w:cs="Times New Roman"/>
          <w:sz w:val="22"/>
          <w:szCs w:val="22"/>
          <w:lang w:val="en-US" w:bidi="fa-IR"/>
        </w:rPr>
        <w:t xml:space="preserve">Ahmadi, G., Nazemi, A., &amp; Namazi, N. R. (2023). Identification of structures that affect performance-based budgeting with emphasis on actor network theory. </w:t>
      </w:r>
      <w:r>
        <w:rPr>
          <w:rFonts w:eastAsia="Times New Roman" w:cs="Times New Roman"/>
          <w:i/>
          <w:iCs/>
          <w:sz w:val="22"/>
          <w:szCs w:val="22"/>
          <w:lang w:val="en-US" w:bidi="fa-IR"/>
        </w:rPr>
        <w:t>Journal of Accounting Advances, 14</w:t>
      </w:r>
      <w:r>
        <w:rPr>
          <w:rFonts w:eastAsia="Times New Roman" w:cs="Times New Roman"/>
          <w:sz w:val="22"/>
          <w:szCs w:val="22"/>
          <w:lang w:val="en-US" w:bidi="fa-IR"/>
        </w:rPr>
        <w:t>(2), 1–37. https://doi.org/10.22099/JAA.2023.45244.2286 (in Persian)</w:t>
      </w:r>
    </w:p>
    <w:p>
      <w:pPr>
        <w:pStyle w:val="Normal"/>
        <w:spacing w:lineRule="auto" w:line="240" w:before="0" w:after="60"/>
        <w:ind w:hanging="567" w:left="567"/>
        <w:jc w:val="left"/>
        <w:rPr/>
      </w:pPr>
      <w:r>
        <w:rPr>
          <w:rFonts w:eastAsia="Times New Roman" w:cs="Times New Roman"/>
          <w:sz w:val="22"/>
          <w:szCs w:val="22"/>
          <w:lang w:val="en-US" w:bidi="fa-IR"/>
        </w:rPr>
        <w:t xml:space="preserve">Bovens, M. (2007). Analysing and assessing accountability: A conceptual framework. </w:t>
      </w:r>
      <w:r>
        <w:rPr>
          <w:rFonts w:eastAsia="Times New Roman" w:cs="Times New Roman"/>
          <w:i/>
          <w:iCs/>
          <w:sz w:val="22"/>
          <w:szCs w:val="22"/>
          <w:lang w:val="en-US" w:bidi="fa-IR"/>
        </w:rPr>
        <w:t>European Law Journal, 13</w:t>
      </w:r>
      <w:r>
        <w:rPr>
          <w:rFonts w:eastAsia="Times New Roman" w:cs="Times New Roman"/>
          <w:sz w:val="22"/>
          <w:szCs w:val="22"/>
          <w:lang w:val="en-US" w:bidi="fa-IR"/>
        </w:rPr>
        <w:t>(4), 447–468. https://doi.org/10.1111/j.1468-0386.2007.00378.x</w:t>
      </w:r>
    </w:p>
    <w:p>
      <w:pPr>
        <w:pStyle w:val="Normal"/>
        <w:spacing w:lineRule="auto" w:line="240" w:before="0" w:after="60"/>
        <w:ind w:hanging="567" w:left="567"/>
        <w:jc w:val="left"/>
        <w:rPr/>
      </w:pPr>
      <w:r>
        <w:rPr>
          <w:rFonts w:eastAsia="Times New Roman" w:cs="Times New Roman"/>
          <w:sz w:val="22"/>
          <w:szCs w:val="22"/>
          <w:lang w:val="en-US" w:bidi="fa-IR"/>
        </w:rPr>
        <w:t xml:space="preserve">Bracci, E., Humphrey, C., Moll, J., &amp; Steccolini, I. (2015). Public sector accounting, accountability and austerity: More than balancing the books? </w:t>
      </w:r>
      <w:r>
        <w:rPr>
          <w:rFonts w:eastAsia="Times New Roman" w:cs="Times New Roman"/>
          <w:i/>
          <w:iCs/>
          <w:sz w:val="22"/>
          <w:szCs w:val="22"/>
          <w:lang w:val="en-US" w:bidi="fa-IR"/>
        </w:rPr>
        <w:t>Accounting, Auditing &amp; Accountability Journal, 28</w:t>
      </w:r>
      <w:r>
        <w:rPr>
          <w:rFonts w:eastAsia="Times New Roman" w:cs="Times New Roman"/>
          <w:sz w:val="22"/>
          <w:szCs w:val="22"/>
          <w:lang w:val="en-US" w:bidi="fa-IR"/>
        </w:rPr>
        <w:t>(6), 878–908. https://doi.org/10.1108/AAAJ-06-2015-2089</w:t>
      </w:r>
    </w:p>
    <w:p>
      <w:pPr>
        <w:pStyle w:val="Normal"/>
        <w:spacing w:lineRule="auto" w:line="240" w:before="0" w:after="60"/>
        <w:ind w:hanging="567" w:left="567"/>
        <w:jc w:val="left"/>
        <w:rPr/>
      </w:pPr>
      <w:r>
        <w:rPr>
          <w:rFonts w:eastAsia="Times New Roman" w:cs="Times New Roman"/>
          <w:sz w:val="22"/>
          <w:szCs w:val="22"/>
          <w:lang w:val="en-US" w:bidi="fa-IR"/>
        </w:rPr>
        <w:t xml:space="preserve">Brignall, S., &amp; Modell, S. (2000). An institutional perspective on performance measurement and management in the “new public sector”. </w:t>
      </w:r>
      <w:r>
        <w:rPr>
          <w:rFonts w:eastAsia="Times New Roman" w:cs="Times New Roman"/>
          <w:i/>
          <w:iCs/>
          <w:sz w:val="22"/>
          <w:szCs w:val="22"/>
          <w:lang w:val="en-US" w:bidi="fa-IR"/>
        </w:rPr>
        <w:t>Management Accounting Research, 11</w:t>
      </w:r>
      <w:r>
        <w:rPr>
          <w:rFonts w:eastAsia="Times New Roman" w:cs="Times New Roman"/>
          <w:sz w:val="22"/>
          <w:szCs w:val="22"/>
          <w:lang w:val="en-US" w:bidi="fa-IR"/>
        </w:rPr>
        <w:t>(3), 281–306. https://doi.org/10.1006/mare.2000.0136</w:t>
      </w:r>
    </w:p>
    <w:p>
      <w:pPr>
        <w:pStyle w:val="Normal"/>
        <w:spacing w:lineRule="auto" w:line="240" w:before="0" w:after="60"/>
        <w:ind w:hanging="567" w:left="567"/>
        <w:jc w:val="left"/>
        <w:rPr/>
      </w:pPr>
      <w:r>
        <w:rPr>
          <w:rFonts w:eastAsia="Times New Roman" w:cs="Times New Roman"/>
          <w:sz w:val="22"/>
          <w:szCs w:val="22"/>
          <w:lang w:val="en-US" w:bidi="fa-IR"/>
        </w:rPr>
        <w:t xml:space="preserve">Bromley, P., &amp; Powell, W. W. (2012). From smoke and mirrors to walking the talk: Decoupling in the contemporary world. </w:t>
      </w:r>
      <w:r>
        <w:rPr>
          <w:rFonts w:eastAsia="Times New Roman" w:cs="Times New Roman"/>
          <w:i/>
          <w:iCs/>
          <w:sz w:val="22"/>
          <w:szCs w:val="22"/>
          <w:lang w:val="en-US" w:bidi="fa-IR"/>
        </w:rPr>
        <w:t>Academy of Management Annals, 6</w:t>
      </w:r>
      <w:r>
        <w:rPr>
          <w:rFonts w:eastAsia="Times New Roman" w:cs="Times New Roman"/>
          <w:sz w:val="22"/>
          <w:szCs w:val="22"/>
          <w:lang w:val="en-US" w:bidi="fa-IR"/>
        </w:rPr>
        <w:t>(1), 483–530. https://doi.org/10.5465/19416520.2012.684462</w:t>
      </w:r>
    </w:p>
    <w:p>
      <w:pPr>
        <w:pStyle w:val="Normal"/>
        <w:spacing w:lineRule="auto" w:line="240" w:before="0" w:after="60"/>
        <w:ind w:hanging="567" w:left="567"/>
        <w:jc w:val="left"/>
        <w:rPr/>
      </w:pPr>
      <w:r>
        <w:rPr>
          <w:rFonts w:eastAsia="Times New Roman" w:cs="Times New Roman"/>
          <w:sz w:val="22"/>
          <w:szCs w:val="22"/>
          <w:lang w:val="en-US" w:bidi="fa-IR"/>
        </w:rPr>
        <w:t xml:space="preserve">Christiaens, J., Reyniers, B., &amp; Rollé, C. (2010). Impact of IPSAS on reforming governmental financial information systems: A comparative study. </w:t>
      </w:r>
      <w:r>
        <w:rPr>
          <w:rFonts w:eastAsia="Times New Roman" w:cs="Times New Roman"/>
          <w:i/>
          <w:iCs/>
          <w:sz w:val="22"/>
          <w:szCs w:val="22"/>
          <w:lang w:val="en-US" w:bidi="fa-IR"/>
        </w:rPr>
        <w:t>International Review of Administrative Sciences, 76</w:t>
      </w:r>
      <w:r>
        <w:rPr>
          <w:rFonts w:eastAsia="Times New Roman" w:cs="Times New Roman"/>
          <w:sz w:val="22"/>
          <w:szCs w:val="22"/>
          <w:lang w:val="en-US" w:bidi="fa-IR"/>
        </w:rPr>
        <w:t>(3), 537–554. https://doi.org/10.1177/0020852310372450</w:t>
      </w:r>
    </w:p>
    <w:p>
      <w:pPr>
        <w:pStyle w:val="Normal"/>
        <w:spacing w:lineRule="auto" w:line="240" w:before="0" w:after="60"/>
        <w:ind w:hanging="567" w:left="567"/>
        <w:jc w:val="left"/>
        <w:rPr/>
      </w:pPr>
      <w:r>
        <w:rPr>
          <w:rFonts w:eastAsia="Times New Roman" w:cs="Times New Roman"/>
          <w:sz w:val="22"/>
          <w:szCs w:val="22"/>
          <w:lang w:val="en-US" w:bidi="fa-IR"/>
        </w:rPr>
        <w:t xml:space="preserve">Christiaens, J., Vanhee, C., Manes-Rossi, F., Aversano, N., &amp; Van Cauwenberge, P. (2015). The effect of IPSAS on reforming governmental financial reporting: An international comparison. </w:t>
      </w:r>
      <w:r>
        <w:rPr>
          <w:rFonts w:eastAsia="Times New Roman" w:cs="Times New Roman"/>
          <w:i/>
          <w:iCs/>
          <w:sz w:val="22"/>
          <w:szCs w:val="22"/>
          <w:lang w:val="en-US" w:bidi="fa-IR"/>
        </w:rPr>
        <w:t>International Review of Administrative Sciences, 81</w:t>
      </w:r>
      <w:r>
        <w:rPr>
          <w:rFonts w:eastAsia="Times New Roman" w:cs="Times New Roman"/>
          <w:sz w:val="22"/>
          <w:szCs w:val="22"/>
          <w:lang w:val="en-US" w:bidi="fa-IR"/>
        </w:rPr>
        <w:t>(1), 158–177. https://doi.org/10.1177/0020852314546580</w:t>
      </w:r>
    </w:p>
    <w:p>
      <w:pPr>
        <w:pStyle w:val="Normal"/>
        <w:spacing w:lineRule="auto" w:line="240" w:before="0" w:after="60"/>
        <w:ind w:hanging="567" w:left="567"/>
        <w:jc w:val="left"/>
        <w:rPr/>
      </w:pPr>
      <w:r>
        <w:rPr>
          <w:rFonts w:eastAsia="Times New Roman" w:cs="Times New Roman"/>
          <w:sz w:val="22"/>
          <w:szCs w:val="22"/>
          <w:lang w:val="en-US" w:bidi="fa-IR"/>
        </w:rPr>
        <w:t xml:space="preserve">DeLone, W. H., &amp; McLean, E. R. (2003). The DeLone and McLean model of information systems success: A ten-year update. </w:t>
      </w:r>
      <w:r>
        <w:rPr>
          <w:rFonts w:eastAsia="Times New Roman" w:cs="Times New Roman"/>
          <w:i/>
          <w:iCs/>
          <w:sz w:val="22"/>
          <w:szCs w:val="22"/>
          <w:lang w:val="en-US" w:bidi="fa-IR"/>
        </w:rPr>
        <w:t>Journal of Management Information Systems, 19</w:t>
      </w:r>
      <w:r>
        <w:rPr>
          <w:rFonts w:eastAsia="Times New Roman" w:cs="Times New Roman"/>
          <w:sz w:val="22"/>
          <w:szCs w:val="22"/>
          <w:lang w:val="en-US" w:bidi="fa-IR"/>
        </w:rPr>
        <w:t>(4), 9–30. https://doi.org/10.1080/07421222.2003.11045748</w:t>
      </w:r>
    </w:p>
    <w:p>
      <w:pPr>
        <w:pStyle w:val="Normal"/>
        <w:spacing w:lineRule="auto" w:line="240" w:before="0" w:after="60"/>
        <w:ind w:hanging="567" w:left="567"/>
        <w:jc w:val="left"/>
        <w:rPr/>
      </w:pPr>
      <w:r>
        <w:rPr>
          <w:rFonts w:eastAsia="Times New Roman" w:cs="Times New Roman"/>
          <w:sz w:val="22"/>
          <w:szCs w:val="22"/>
          <w:lang w:val="en-US" w:bidi="fa-IR"/>
        </w:rPr>
        <w:t xml:space="preserve">DiMaggio, P. J., &amp; Powell, W. W. (1983). The iron cage revisited: Institutional isomorphism and collective rationality in organizational fields. </w:t>
      </w:r>
      <w:r>
        <w:rPr>
          <w:rFonts w:eastAsia="Times New Roman" w:cs="Times New Roman"/>
          <w:i/>
          <w:iCs/>
          <w:sz w:val="22"/>
          <w:szCs w:val="22"/>
          <w:lang w:val="en-US" w:bidi="fa-IR"/>
        </w:rPr>
        <w:t>American Sociological Review, 48</w:t>
      </w:r>
      <w:r>
        <w:rPr>
          <w:rFonts w:eastAsia="Times New Roman" w:cs="Times New Roman"/>
          <w:sz w:val="22"/>
          <w:szCs w:val="22"/>
          <w:lang w:val="en-US" w:bidi="fa-IR"/>
        </w:rPr>
        <w:t>(2), 147–160. https://doi.org/10.2307/2095101</w:t>
      </w:r>
    </w:p>
    <w:p>
      <w:pPr>
        <w:pStyle w:val="Normal"/>
        <w:spacing w:lineRule="auto" w:line="240" w:before="0" w:after="60"/>
        <w:ind w:hanging="567" w:left="567"/>
        <w:jc w:val="left"/>
        <w:rPr/>
      </w:pPr>
      <w:r>
        <w:rPr>
          <w:rFonts w:eastAsia="Times New Roman" w:cs="Times New Roman"/>
          <w:sz w:val="22"/>
          <w:szCs w:val="22"/>
          <w:lang w:val="en-US" w:bidi="fa-IR"/>
        </w:rPr>
        <w:t xml:space="preserve">Dunleavy, P., Margetts, H., Bastow, S., &amp; Tinkler, J. (2006). New public management is dead—long live digital-era governance. </w:t>
      </w:r>
      <w:r>
        <w:rPr>
          <w:rFonts w:eastAsia="Times New Roman" w:cs="Times New Roman"/>
          <w:i/>
          <w:iCs/>
          <w:sz w:val="22"/>
          <w:szCs w:val="22"/>
          <w:lang w:val="en-US" w:bidi="fa-IR"/>
        </w:rPr>
        <w:t>Journal of Public Administration Research and Theory, 16</w:t>
      </w:r>
      <w:r>
        <w:rPr>
          <w:rFonts w:eastAsia="Times New Roman" w:cs="Times New Roman"/>
          <w:sz w:val="22"/>
          <w:szCs w:val="22"/>
          <w:lang w:val="en-US" w:bidi="fa-IR"/>
        </w:rPr>
        <w:t>(3), 467–494. https://doi.org/10.1093/jopart/mui057</w:t>
      </w:r>
    </w:p>
    <w:p>
      <w:pPr>
        <w:pStyle w:val="Normal"/>
        <w:spacing w:lineRule="auto" w:line="240" w:before="0" w:after="60"/>
        <w:ind w:hanging="567" w:left="567"/>
        <w:jc w:val="left"/>
        <w:rPr/>
      </w:pPr>
      <w:r>
        <w:rPr>
          <w:rFonts w:eastAsia="Times New Roman" w:cs="Times New Roman"/>
          <w:sz w:val="22"/>
          <w:szCs w:val="22"/>
          <w:lang w:val="en-US" w:bidi="fa-IR"/>
        </w:rPr>
        <w:t xml:space="preserve">Fornell, C., &amp; Larcker, D. F. (1981). Evaluating structural equation models with unobservable variables and measurement error. </w:t>
      </w:r>
      <w:r>
        <w:rPr>
          <w:rFonts w:eastAsia="Times New Roman" w:cs="Times New Roman"/>
          <w:i/>
          <w:iCs/>
          <w:sz w:val="22"/>
          <w:szCs w:val="22"/>
          <w:lang w:val="en-US" w:bidi="fa-IR"/>
        </w:rPr>
        <w:t>Journal of Marketing Research, 18</w:t>
      </w:r>
      <w:r>
        <w:rPr>
          <w:rFonts w:eastAsia="Times New Roman" w:cs="Times New Roman"/>
          <w:sz w:val="22"/>
          <w:szCs w:val="22"/>
          <w:lang w:val="en-US" w:bidi="fa-IR"/>
        </w:rPr>
        <w:t>(1), 39–50. https://doi.org/10.1177/002224378101800104</w:t>
      </w:r>
    </w:p>
    <w:p>
      <w:pPr>
        <w:pStyle w:val="Normal"/>
        <w:spacing w:lineRule="auto" w:line="240" w:before="0" w:after="60"/>
        <w:ind w:hanging="567" w:left="567"/>
        <w:jc w:val="left"/>
        <w:rPr/>
      </w:pPr>
      <w:r>
        <w:rPr>
          <w:rFonts w:eastAsia="Times New Roman" w:cs="Times New Roman"/>
          <w:sz w:val="22"/>
          <w:szCs w:val="22"/>
          <w:lang w:val="en-US" w:bidi="fa-IR"/>
        </w:rPr>
        <w:t xml:space="preserve">Greenwood, R., Raynard, M., Kodeih, F., Micelotta, E. R., &amp; Lounsbury, M. (2011). Institutional complexity and organizational responses. </w:t>
      </w:r>
      <w:r>
        <w:rPr>
          <w:rFonts w:eastAsia="Times New Roman" w:cs="Times New Roman"/>
          <w:i/>
          <w:iCs/>
          <w:sz w:val="22"/>
          <w:szCs w:val="22"/>
          <w:lang w:val="en-US" w:bidi="fa-IR"/>
        </w:rPr>
        <w:t>Academy of Management Annals, 5</w:t>
      </w:r>
      <w:r>
        <w:rPr>
          <w:rFonts w:eastAsia="Times New Roman" w:cs="Times New Roman"/>
          <w:sz w:val="22"/>
          <w:szCs w:val="22"/>
          <w:lang w:val="en-US" w:bidi="fa-IR"/>
        </w:rPr>
        <w:t>(1), 317–371. https://doi.org/10.1080/19416520.2011.590299</w:t>
      </w:r>
    </w:p>
    <w:p>
      <w:pPr>
        <w:pStyle w:val="Normal"/>
        <w:spacing w:lineRule="auto" w:line="240" w:before="0" w:after="60"/>
        <w:ind w:hanging="567" w:left="567"/>
        <w:jc w:val="left"/>
        <w:rPr/>
      </w:pPr>
      <w:r>
        <w:rPr>
          <w:rFonts w:eastAsia="Times New Roman" w:cs="Times New Roman"/>
          <w:sz w:val="22"/>
          <w:szCs w:val="22"/>
          <w:lang w:val="en-US" w:bidi="fa-IR"/>
        </w:rPr>
        <w:t xml:space="preserve">Hayes, A. F. (2015). An index and test of linear moderated mediation. </w:t>
      </w:r>
      <w:r>
        <w:rPr>
          <w:rFonts w:eastAsia="Times New Roman" w:cs="Times New Roman"/>
          <w:i/>
          <w:iCs/>
          <w:sz w:val="22"/>
          <w:szCs w:val="22"/>
          <w:lang w:val="en-US" w:bidi="fa-IR"/>
        </w:rPr>
        <w:t>Multivariate Behavioral Research, 50</w:t>
      </w:r>
      <w:r>
        <w:rPr>
          <w:rFonts w:eastAsia="Times New Roman" w:cs="Times New Roman"/>
          <w:sz w:val="22"/>
          <w:szCs w:val="22"/>
          <w:lang w:val="en-US" w:bidi="fa-IR"/>
        </w:rPr>
        <w:t>(1), 1–22. https://doi.org/10.1080/00273171.2014.962683</w:t>
      </w:r>
    </w:p>
    <w:p>
      <w:pPr>
        <w:pStyle w:val="Normal"/>
        <w:spacing w:lineRule="auto" w:line="240" w:before="0" w:after="60"/>
        <w:ind w:hanging="567" w:left="567"/>
        <w:jc w:val="left"/>
        <w:rPr/>
      </w:pPr>
      <w:r>
        <w:rPr>
          <w:rFonts w:eastAsia="Times New Roman" w:cs="Times New Roman"/>
          <w:sz w:val="22"/>
          <w:szCs w:val="22"/>
          <w:lang w:val="en-US" w:bidi="fa-IR"/>
        </w:rPr>
        <w:t xml:space="preserve">Henseler, J., Ringle, C. M., &amp; Sarstedt, M. (2015). A new criterion for assessing discriminant validity in variance-based structural equation modeling. </w:t>
      </w:r>
      <w:r>
        <w:rPr>
          <w:rFonts w:eastAsia="Times New Roman" w:cs="Times New Roman"/>
          <w:i/>
          <w:iCs/>
          <w:sz w:val="22"/>
          <w:szCs w:val="22"/>
          <w:lang w:val="en-US" w:bidi="fa-IR"/>
        </w:rPr>
        <w:t>Journal of the Academy of Marketing Science, 43</w:t>
      </w:r>
      <w:r>
        <w:rPr>
          <w:rFonts w:eastAsia="Times New Roman" w:cs="Times New Roman"/>
          <w:sz w:val="22"/>
          <w:szCs w:val="22"/>
          <w:lang w:val="en-US" w:bidi="fa-IR"/>
        </w:rPr>
        <w:t>(1), 115–135. https://doi.org/10.1007/s11747-014-0403-8</w:t>
      </w:r>
    </w:p>
    <w:p>
      <w:pPr>
        <w:pStyle w:val="Normal"/>
        <w:spacing w:lineRule="auto" w:line="240" w:before="0" w:after="60"/>
        <w:ind w:hanging="567" w:left="567"/>
        <w:jc w:val="left"/>
        <w:rPr/>
      </w:pPr>
      <w:r>
        <w:rPr>
          <w:rFonts w:eastAsia="Times New Roman" w:cs="Times New Roman"/>
          <w:sz w:val="22"/>
          <w:szCs w:val="22"/>
          <w:lang w:val="en-US" w:bidi="fa-IR"/>
        </w:rPr>
        <w:t xml:space="preserve">Hood, C. (1991). A public management for all seasons? </w:t>
      </w:r>
      <w:r>
        <w:rPr>
          <w:rFonts w:eastAsia="Times New Roman" w:cs="Times New Roman"/>
          <w:i/>
          <w:iCs/>
          <w:sz w:val="22"/>
          <w:szCs w:val="22"/>
          <w:lang w:val="en-US" w:bidi="fa-IR"/>
        </w:rPr>
        <w:t>Public Administration, 69</w:t>
      </w:r>
      <w:r>
        <w:rPr>
          <w:rFonts w:eastAsia="Times New Roman" w:cs="Times New Roman"/>
          <w:sz w:val="22"/>
          <w:szCs w:val="22"/>
          <w:lang w:val="en-US" w:bidi="fa-IR"/>
        </w:rPr>
        <w:t>(1), 3–19. https://doi.org/10.1111/j.1467-9299.1991.tb00779.x</w:t>
      </w:r>
    </w:p>
    <w:p>
      <w:pPr>
        <w:pStyle w:val="Normal"/>
        <w:spacing w:lineRule="auto" w:line="240" w:before="0" w:after="60"/>
        <w:ind w:hanging="567" w:left="567"/>
        <w:jc w:val="left"/>
        <w:rPr/>
      </w:pPr>
      <w:r>
        <w:rPr>
          <w:rFonts w:eastAsia="Times New Roman" w:cs="Times New Roman"/>
          <w:sz w:val="22"/>
          <w:szCs w:val="22"/>
          <w:lang w:val="en-US" w:bidi="fa-IR"/>
        </w:rPr>
        <w:t xml:space="preserve">Hu, L., &amp; Bentler, P. M. (1999). Cutoff criteria for fit indexes in covariance structure analysis: Conventional criteria versus new alternatives. </w:t>
      </w:r>
      <w:r>
        <w:rPr>
          <w:rFonts w:eastAsia="Times New Roman" w:cs="Times New Roman"/>
          <w:i/>
          <w:iCs/>
          <w:sz w:val="22"/>
          <w:szCs w:val="22"/>
          <w:lang w:val="en-US" w:bidi="fa-IR"/>
        </w:rPr>
        <w:t>Structural Equation Modeling, 6</w:t>
      </w:r>
      <w:r>
        <w:rPr>
          <w:rFonts w:eastAsia="Times New Roman" w:cs="Times New Roman"/>
          <w:sz w:val="22"/>
          <w:szCs w:val="22"/>
          <w:lang w:val="en-US" w:bidi="fa-IR"/>
        </w:rPr>
        <w:t>(1), 1–55. https://doi.org/10.1080/10705519909540118</w:t>
      </w:r>
    </w:p>
    <w:p>
      <w:pPr>
        <w:pStyle w:val="Normal"/>
        <w:spacing w:lineRule="auto" w:line="240" w:before="0" w:after="60"/>
        <w:ind w:hanging="567" w:left="567"/>
        <w:jc w:val="left"/>
        <w:rPr/>
      </w:pPr>
      <w:r>
        <w:rPr>
          <w:rFonts w:eastAsia="Times New Roman" w:cs="Times New Roman"/>
          <w:sz w:val="22"/>
          <w:szCs w:val="22"/>
          <w:lang w:val="en-US" w:bidi="fa-IR"/>
        </w:rPr>
        <w:t xml:space="preserve">Igolkina, A. A., &amp; Meshcheryakov, G. (2020). semopy: A Python package for structural equation modeling. </w:t>
      </w:r>
      <w:r>
        <w:rPr>
          <w:rFonts w:eastAsia="Times New Roman" w:cs="Times New Roman"/>
          <w:i/>
          <w:iCs/>
          <w:sz w:val="22"/>
          <w:szCs w:val="22"/>
          <w:lang w:val="en-US" w:bidi="fa-IR"/>
        </w:rPr>
        <w:t>Structural Equation Modeling, 27</w:t>
      </w:r>
      <w:r>
        <w:rPr>
          <w:rFonts w:eastAsia="Times New Roman" w:cs="Times New Roman"/>
          <w:sz w:val="22"/>
          <w:szCs w:val="22"/>
          <w:lang w:val="en-US" w:bidi="fa-IR"/>
        </w:rPr>
        <w:t>(6), 952–963. https://doi.org/10.1080/10705511.2019.1704289</w:t>
      </w:r>
    </w:p>
    <w:p>
      <w:pPr>
        <w:pStyle w:val="Normal"/>
        <w:spacing w:lineRule="auto" w:line="240" w:before="0" w:after="60"/>
        <w:ind w:hanging="567" w:left="567"/>
        <w:jc w:val="left"/>
        <w:rPr/>
      </w:pPr>
      <w:r>
        <w:rPr>
          <w:rFonts w:eastAsia="Times New Roman" w:cs="Times New Roman"/>
          <w:sz w:val="22"/>
          <w:szCs w:val="22"/>
          <w:lang w:val="en-US" w:bidi="fa-IR"/>
        </w:rPr>
        <w:t xml:space="preserve">Kostova, T., &amp; Roth, K. (2002). Adoption of an organizational practice by subsidiaries of multinational corporations: Institutional and relational effects. </w:t>
      </w:r>
      <w:r>
        <w:rPr>
          <w:rFonts w:eastAsia="Times New Roman" w:cs="Times New Roman"/>
          <w:i/>
          <w:iCs/>
          <w:sz w:val="22"/>
          <w:szCs w:val="22"/>
          <w:lang w:val="en-US" w:bidi="fa-IR"/>
        </w:rPr>
        <w:t>Academy of Management Journal, 45</w:t>
      </w:r>
      <w:r>
        <w:rPr>
          <w:rFonts w:eastAsia="Times New Roman" w:cs="Times New Roman"/>
          <w:sz w:val="22"/>
          <w:szCs w:val="22"/>
          <w:lang w:val="en-US" w:bidi="fa-IR"/>
        </w:rPr>
        <w:t>(1), 215–233. https://doi.org/10.5465/3069293</w:t>
      </w:r>
    </w:p>
    <w:p>
      <w:pPr>
        <w:pStyle w:val="Normal"/>
        <w:spacing w:lineRule="auto" w:line="240" w:before="0" w:after="60"/>
        <w:ind w:hanging="567" w:left="567"/>
        <w:jc w:val="left"/>
        <w:rPr/>
      </w:pPr>
      <w:r>
        <w:rPr>
          <w:rFonts w:eastAsia="Times New Roman" w:cs="Times New Roman"/>
          <w:sz w:val="22"/>
          <w:szCs w:val="22"/>
          <w:lang w:val="en-US" w:bidi="fa-IR"/>
        </w:rPr>
        <w:t xml:space="preserve">Kroll, A. (2015). Drivers of performance information use: Systematic literature review and directions for future research. </w:t>
      </w:r>
      <w:r>
        <w:rPr>
          <w:rFonts w:eastAsia="Times New Roman" w:cs="Times New Roman"/>
          <w:i/>
          <w:iCs/>
          <w:sz w:val="22"/>
          <w:szCs w:val="22"/>
          <w:lang w:val="en-US" w:bidi="fa-IR"/>
        </w:rPr>
        <w:t>Public Performance &amp; Management Review, 38</w:t>
      </w:r>
      <w:r>
        <w:rPr>
          <w:rFonts w:eastAsia="Times New Roman" w:cs="Times New Roman"/>
          <w:sz w:val="22"/>
          <w:szCs w:val="22"/>
          <w:lang w:val="en-US" w:bidi="fa-IR"/>
        </w:rPr>
        <w:t>(3), 459–486. https://doi.org/10.1080/15309576.2015.1006469</w:t>
      </w:r>
    </w:p>
    <w:p>
      <w:pPr>
        <w:pStyle w:val="Normal"/>
        <w:spacing w:lineRule="auto" w:line="240" w:before="0" w:after="60"/>
        <w:ind w:hanging="567" w:left="567"/>
        <w:jc w:val="left"/>
        <w:rPr/>
      </w:pPr>
      <w:r>
        <w:rPr>
          <w:rFonts w:eastAsia="Times New Roman" w:cs="Times New Roman"/>
          <w:sz w:val="22"/>
          <w:szCs w:val="22"/>
          <w:lang w:val="en-US" w:bidi="fa-IR"/>
        </w:rPr>
        <w:t xml:space="preserve">Lapsley, I. (2009). New public management: The cruellest invention of the human spirit? </w:t>
      </w:r>
      <w:r>
        <w:rPr>
          <w:rFonts w:eastAsia="Times New Roman" w:cs="Times New Roman"/>
          <w:i/>
          <w:iCs/>
          <w:sz w:val="22"/>
          <w:szCs w:val="22"/>
          <w:lang w:val="en-US" w:bidi="fa-IR"/>
        </w:rPr>
        <w:t>Abacus, 45</w:t>
      </w:r>
      <w:r>
        <w:rPr>
          <w:rFonts w:eastAsia="Times New Roman" w:cs="Times New Roman"/>
          <w:sz w:val="22"/>
          <w:szCs w:val="22"/>
          <w:lang w:val="en-US" w:bidi="fa-IR"/>
        </w:rPr>
        <w:t>(1), 1–21. https://doi.org/10.1111/j.1467-6281.2009.00275.x</w:t>
      </w:r>
    </w:p>
    <w:p>
      <w:pPr>
        <w:pStyle w:val="Normal"/>
        <w:spacing w:lineRule="auto" w:line="240" w:before="0" w:after="60"/>
        <w:ind w:hanging="567" w:left="567"/>
        <w:jc w:val="left"/>
        <w:rPr/>
      </w:pPr>
      <w:r>
        <w:rPr>
          <w:rFonts w:eastAsia="Times New Roman" w:cs="Times New Roman"/>
          <w:sz w:val="22"/>
          <w:szCs w:val="22"/>
          <w:lang w:val="en-US" w:bidi="fa-IR"/>
        </w:rPr>
        <w:t xml:space="preserve">Lawshe, C. H. (1975). A quantitative approach to content validity. </w:t>
      </w:r>
      <w:r>
        <w:rPr>
          <w:rFonts w:eastAsia="Times New Roman" w:cs="Times New Roman"/>
          <w:i/>
          <w:iCs/>
          <w:sz w:val="22"/>
          <w:szCs w:val="22"/>
          <w:lang w:val="en-US" w:bidi="fa-IR"/>
        </w:rPr>
        <w:t>Personnel Psychology, 28</w:t>
      </w:r>
      <w:r>
        <w:rPr>
          <w:rFonts w:eastAsia="Times New Roman" w:cs="Times New Roman"/>
          <w:sz w:val="22"/>
          <w:szCs w:val="22"/>
          <w:lang w:val="en-US" w:bidi="fa-IR"/>
        </w:rPr>
        <w:t>(4), 563–575. https://doi.org/10.1111/j.1744-6570.1975.tb01393.x</w:t>
      </w:r>
    </w:p>
    <w:p>
      <w:pPr>
        <w:pStyle w:val="Normal"/>
        <w:spacing w:lineRule="auto" w:line="240" w:before="0" w:after="60"/>
        <w:ind w:hanging="567" w:left="567"/>
        <w:jc w:val="left"/>
        <w:rPr/>
      </w:pPr>
      <w:r>
        <w:rPr>
          <w:rFonts w:eastAsia="Times New Roman" w:cs="Times New Roman"/>
          <w:sz w:val="22"/>
          <w:szCs w:val="22"/>
          <w:lang w:val="en-US" w:bidi="fa-IR"/>
        </w:rPr>
        <w:t xml:space="preserve">Little, T. D., Bovaird, J. A., &amp; Widaman, K. F. (2006). On the merits of orthogonalizing powered and product terms: Implications for modeling interactions among latent variables. </w:t>
      </w:r>
      <w:r>
        <w:rPr>
          <w:rFonts w:eastAsia="Times New Roman" w:cs="Times New Roman"/>
          <w:i/>
          <w:iCs/>
          <w:sz w:val="22"/>
          <w:szCs w:val="22"/>
          <w:lang w:val="en-US" w:bidi="fa-IR"/>
        </w:rPr>
        <w:t>Structural Equation Modeling, 13</w:t>
      </w:r>
      <w:r>
        <w:rPr>
          <w:rFonts w:eastAsia="Times New Roman" w:cs="Times New Roman"/>
          <w:sz w:val="22"/>
          <w:szCs w:val="22"/>
          <w:lang w:val="en-US" w:bidi="fa-IR"/>
        </w:rPr>
        <w:t>(4), 497–519. https://doi.org/10.1207/s15328007sem1304_1</w:t>
      </w:r>
    </w:p>
    <w:p>
      <w:pPr>
        <w:pStyle w:val="Normal"/>
        <w:spacing w:lineRule="auto" w:line="240" w:before="0" w:after="60"/>
        <w:ind w:hanging="567" w:left="567"/>
        <w:jc w:val="left"/>
        <w:rPr/>
      </w:pPr>
      <w:r>
        <w:rPr>
          <w:rFonts w:eastAsia="Times New Roman" w:cs="Times New Roman"/>
          <w:sz w:val="22"/>
          <w:szCs w:val="22"/>
          <w:lang w:val="en-US" w:bidi="fa-IR"/>
        </w:rPr>
        <w:t xml:space="preserve">MacCallum, R. C., Browne, M. W., &amp; Sugawara, H. M. (1996). Power analysis and determination of sample size for covariance structure modeling. </w:t>
      </w:r>
      <w:r>
        <w:rPr>
          <w:rFonts w:eastAsia="Times New Roman" w:cs="Times New Roman"/>
          <w:i/>
          <w:iCs/>
          <w:sz w:val="22"/>
          <w:szCs w:val="22"/>
          <w:lang w:val="en-US" w:bidi="fa-IR"/>
        </w:rPr>
        <w:t>Psychological Methods, 1</w:t>
      </w:r>
      <w:r>
        <w:rPr>
          <w:rFonts w:eastAsia="Times New Roman" w:cs="Times New Roman"/>
          <w:sz w:val="22"/>
          <w:szCs w:val="22"/>
          <w:lang w:val="en-US" w:bidi="fa-IR"/>
        </w:rPr>
        <w:t>(2), 130–149. https://doi.org/10.1037/1082-989X.1.2.130</w:t>
      </w:r>
    </w:p>
    <w:p>
      <w:pPr>
        <w:pStyle w:val="Normal"/>
        <w:spacing w:lineRule="auto" w:line="240" w:before="0" w:after="60"/>
        <w:ind w:hanging="567" w:left="567"/>
        <w:jc w:val="left"/>
        <w:rPr/>
      </w:pPr>
      <w:r>
        <w:rPr>
          <w:rFonts w:eastAsia="Times New Roman" w:cs="Times New Roman"/>
          <w:sz w:val="22"/>
          <w:szCs w:val="22"/>
          <w:lang w:val="en-US" w:bidi="fa-IR"/>
        </w:rPr>
        <w:t xml:space="preserve">Marsh, H. W., Wen, Z., &amp; Hau, K.-T. (2004). Structural equation models of latent interactions: Evaluation of alternative estimation strategies and indicator construction. </w:t>
      </w:r>
      <w:r>
        <w:rPr>
          <w:rFonts w:eastAsia="Times New Roman" w:cs="Times New Roman"/>
          <w:i/>
          <w:iCs/>
          <w:sz w:val="22"/>
          <w:szCs w:val="22"/>
          <w:lang w:val="en-US" w:bidi="fa-IR"/>
        </w:rPr>
        <w:t>Psychological Methods, 9</w:t>
      </w:r>
      <w:r>
        <w:rPr>
          <w:rFonts w:eastAsia="Times New Roman" w:cs="Times New Roman"/>
          <w:sz w:val="22"/>
          <w:szCs w:val="22"/>
          <w:lang w:val="en-US" w:bidi="fa-IR"/>
        </w:rPr>
        <w:t>(3), 275–300. https://doi.org/10.1037/1082-989X.9.3.275</w:t>
      </w:r>
    </w:p>
    <w:p>
      <w:pPr>
        <w:pStyle w:val="Normal"/>
        <w:spacing w:lineRule="auto" w:line="240" w:before="0" w:after="60"/>
        <w:ind w:hanging="567" w:left="567"/>
        <w:jc w:val="left"/>
        <w:rPr/>
      </w:pPr>
      <w:r>
        <w:rPr>
          <w:rFonts w:eastAsia="Times New Roman" w:cs="Times New Roman"/>
          <w:sz w:val="22"/>
          <w:szCs w:val="22"/>
          <w:lang w:val="en-US" w:bidi="fa-IR"/>
        </w:rPr>
        <w:t xml:space="preserve">Meyer, J. W., &amp; Rowan, B. (1977). Institutionalized organizations: Formal structure as myth and ceremony. </w:t>
      </w:r>
      <w:r>
        <w:rPr>
          <w:rFonts w:eastAsia="Times New Roman" w:cs="Times New Roman"/>
          <w:i/>
          <w:iCs/>
          <w:sz w:val="22"/>
          <w:szCs w:val="22"/>
          <w:lang w:val="en-US" w:bidi="fa-IR"/>
        </w:rPr>
        <w:t>American Journal of Sociology, 83</w:t>
      </w:r>
      <w:r>
        <w:rPr>
          <w:rFonts w:eastAsia="Times New Roman" w:cs="Times New Roman"/>
          <w:sz w:val="22"/>
          <w:szCs w:val="22"/>
          <w:lang w:val="en-US" w:bidi="fa-IR"/>
        </w:rPr>
        <w:t>(2), 340–363. https://doi.org/10.1086/226550</w:t>
      </w:r>
    </w:p>
    <w:p>
      <w:pPr>
        <w:pStyle w:val="Normal"/>
        <w:spacing w:lineRule="auto" w:line="240" w:before="0" w:after="60"/>
        <w:ind w:hanging="567" w:left="567"/>
        <w:jc w:val="left"/>
        <w:rPr/>
      </w:pPr>
      <w:r>
        <w:rPr>
          <w:rFonts w:eastAsia="Times New Roman" w:cs="Times New Roman"/>
          <w:sz w:val="22"/>
          <w:szCs w:val="22"/>
          <w:lang w:val="en-US" w:bidi="fa-IR"/>
        </w:rPr>
        <w:t xml:space="preserve">Mizruchi, M. S., &amp; Fein, L. C. (1999). The social construction of organizational knowledge: A study of the uses of coercive, mimetic, and normative isomorphism. </w:t>
      </w:r>
      <w:r>
        <w:rPr>
          <w:rFonts w:eastAsia="Times New Roman" w:cs="Times New Roman"/>
          <w:i/>
          <w:iCs/>
          <w:sz w:val="22"/>
          <w:szCs w:val="22"/>
          <w:lang w:val="en-US" w:bidi="fa-IR"/>
        </w:rPr>
        <w:t>Administrative Science Quarterly, 44</w:t>
      </w:r>
      <w:r>
        <w:rPr>
          <w:rFonts w:eastAsia="Times New Roman" w:cs="Times New Roman"/>
          <w:sz w:val="22"/>
          <w:szCs w:val="22"/>
          <w:lang w:val="en-US" w:bidi="fa-IR"/>
        </w:rPr>
        <w:t>(4), 653–683. https://doi.org/10.2307/2667051</w:t>
      </w:r>
    </w:p>
    <w:p>
      <w:pPr>
        <w:pStyle w:val="Normal"/>
        <w:spacing w:lineRule="auto" w:line="240" w:before="0" w:after="60"/>
        <w:ind w:hanging="567" w:left="567"/>
        <w:jc w:val="left"/>
        <w:rPr/>
      </w:pPr>
      <w:r>
        <w:rPr>
          <w:rFonts w:eastAsia="Times New Roman" w:cs="Times New Roman"/>
          <w:sz w:val="22"/>
          <w:szCs w:val="22"/>
          <w:lang w:val="en-US" w:bidi="fa-IR"/>
        </w:rPr>
        <w:t xml:space="preserve">Modell, S. (2009). Institutional research on performance measurement and management in the public sector accounting literature: A review and assessment. </w:t>
      </w:r>
      <w:r>
        <w:rPr>
          <w:rFonts w:eastAsia="Times New Roman" w:cs="Times New Roman"/>
          <w:i/>
          <w:iCs/>
          <w:sz w:val="22"/>
          <w:szCs w:val="22"/>
          <w:lang w:val="en-US" w:bidi="fa-IR"/>
        </w:rPr>
        <w:t>Financial Accountability &amp; Management, 25</w:t>
      </w:r>
      <w:r>
        <w:rPr>
          <w:rFonts w:eastAsia="Times New Roman" w:cs="Times New Roman"/>
          <w:sz w:val="22"/>
          <w:szCs w:val="22"/>
          <w:lang w:val="en-US" w:bidi="fa-IR"/>
        </w:rPr>
        <w:t>(3), 277–303. https://doi.org/10.1111/j.1468-0408.2009.00478.x</w:t>
      </w:r>
    </w:p>
    <w:p>
      <w:pPr>
        <w:pStyle w:val="Normal"/>
        <w:spacing w:lineRule="auto" w:line="240" w:before="0" w:after="60"/>
        <w:ind w:hanging="567" w:left="567"/>
        <w:jc w:val="left"/>
        <w:rPr/>
      </w:pPr>
      <w:r>
        <w:rPr>
          <w:rFonts w:eastAsia="Times New Roman" w:cs="Times New Roman"/>
          <w:sz w:val="22"/>
          <w:szCs w:val="22"/>
          <w:lang w:val="en-US" w:bidi="fa-IR"/>
        </w:rPr>
        <w:t xml:space="preserve">Moore, M. H. (1995). </w:t>
      </w:r>
      <w:r>
        <w:rPr>
          <w:rFonts w:eastAsia="Times New Roman" w:cs="Times New Roman"/>
          <w:i/>
          <w:iCs/>
          <w:sz w:val="22"/>
          <w:szCs w:val="22"/>
          <w:lang w:val="en-US" w:bidi="fa-IR"/>
        </w:rPr>
        <w:t>Creating public value: Strategic management in government</w:t>
      </w:r>
      <w:r>
        <w:rPr>
          <w:rFonts w:eastAsia="Times New Roman" w:cs="Times New Roman"/>
          <w:sz w:val="22"/>
          <w:szCs w:val="22"/>
          <w:lang w:val="en-US" w:bidi="fa-IR"/>
        </w:rPr>
        <w:t>. Cambridge, MA: Harvard University Press.</w:t>
      </w:r>
    </w:p>
    <w:p>
      <w:pPr>
        <w:pStyle w:val="Normal"/>
        <w:spacing w:lineRule="auto" w:line="240" w:before="0" w:after="60"/>
        <w:ind w:hanging="567" w:left="567"/>
        <w:jc w:val="left"/>
        <w:rPr/>
      </w:pPr>
      <w:r>
        <w:rPr>
          <w:rFonts w:eastAsia="Times New Roman" w:cs="Times New Roman"/>
          <w:sz w:val="22"/>
          <w:szCs w:val="22"/>
          <w:lang w:val="en-US" w:bidi="fa-IR"/>
        </w:rPr>
        <w:t xml:space="preserve">Moynihan, D. P. (2008). </w:t>
      </w:r>
      <w:r>
        <w:rPr>
          <w:rFonts w:eastAsia="Times New Roman" w:cs="Times New Roman"/>
          <w:i/>
          <w:iCs/>
          <w:sz w:val="22"/>
          <w:szCs w:val="22"/>
          <w:lang w:val="en-US" w:bidi="fa-IR"/>
        </w:rPr>
        <w:t>The dynamics of performance management: Constructing information and reform</w:t>
      </w:r>
      <w:r>
        <w:rPr>
          <w:rFonts w:eastAsia="Times New Roman" w:cs="Times New Roman"/>
          <w:sz w:val="22"/>
          <w:szCs w:val="22"/>
          <w:lang w:val="en-US" w:bidi="fa-IR"/>
        </w:rPr>
        <w:t>. Washington, DC: Georgetown University Press.</w:t>
      </w:r>
    </w:p>
    <w:p>
      <w:pPr>
        <w:pStyle w:val="Normal"/>
        <w:spacing w:lineRule="auto" w:line="240" w:before="0" w:after="60"/>
        <w:ind w:hanging="567" w:left="567"/>
        <w:jc w:val="left"/>
        <w:rPr/>
      </w:pPr>
      <w:r>
        <w:rPr>
          <w:rFonts w:eastAsia="Times New Roman" w:cs="Times New Roman"/>
          <w:sz w:val="22"/>
          <w:szCs w:val="22"/>
          <w:lang w:val="en-US" w:bidi="fa-IR"/>
        </w:rPr>
        <w:t xml:space="preserve">Moynihan, D. P., &amp; Pandey, S. K. (2010). The big question for performance management: Why do managers use performance information? </w:t>
      </w:r>
      <w:r>
        <w:rPr>
          <w:rFonts w:eastAsia="Times New Roman" w:cs="Times New Roman"/>
          <w:i/>
          <w:iCs/>
          <w:sz w:val="22"/>
          <w:szCs w:val="22"/>
          <w:lang w:val="en-US" w:bidi="fa-IR"/>
        </w:rPr>
        <w:t>Journal of Public Administration Research and Theory, 20</w:t>
      </w:r>
      <w:r>
        <w:rPr>
          <w:rFonts w:eastAsia="Times New Roman" w:cs="Times New Roman"/>
          <w:sz w:val="22"/>
          <w:szCs w:val="22"/>
          <w:lang w:val="en-US" w:bidi="fa-IR"/>
        </w:rPr>
        <w:t>(4), 849–866. https://doi.org/10.1093/jopart/muq004</w:t>
      </w:r>
    </w:p>
    <w:p>
      <w:pPr>
        <w:pStyle w:val="Normal"/>
        <w:spacing w:lineRule="auto" w:line="240" w:before="0" w:after="60"/>
        <w:ind w:hanging="567" w:left="567"/>
        <w:jc w:val="left"/>
        <w:rPr/>
      </w:pPr>
      <w:r>
        <w:rPr>
          <w:rFonts w:eastAsia="Times New Roman" w:cs="Times New Roman"/>
          <w:sz w:val="22"/>
          <w:szCs w:val="22"/>
          <w:lang w:val="en-US" w:bidi="fa-IR"/>
        </w:rPr>
        <w:t xml:space="preserve">Naroui, A., Momeni, A., &amp; Gerd, A. (2020). Developing and evaluating an optimal model of the accrual accounting system in the public sector (case study: Managers and comptrollers of executive agencies). </w:t>
      </w:r>
      <w:r>
        <w:rPr>
          <w:rFonts w:eastAsia="Times New Roman" w:cs="Times New Roman"/>
          <w:i/>
          <w:iCs/>
          <w:sz w:val="22"/>
          <w:szCs w:val="22"/>
          <w:lang w:val="en-US" w:bidi="fa-IR"/>
        </w:rPr>
        <w:t>Governmental Accounting, 6</w:t>
      </w:r>
      <w:r>
        <w:rPr>
          <w:rFonts w:eastAsia="Times New Roman" w:cs="Times New Roman"/>
          <w:sz w:val="22"/>
          <w:szCs w:val="22"/>
          <w:lang w:val="en-US" w:bidi="fa-IR"/>
        </w:rPr>
        <w:t>(2), 47–60. https://doi.org/10.30473/gaa.2020.54322.1403 (in Persian)</w:t>
      </w:r>
    </w:p>
    <w:p>
      <w:pPr>
        <w:pStyle w:val="Normal"/>
        <w:spacing w:lineRule="auto" w:line="240" w:before="0" w:after="60"/>
        <w:ind w:hanging="567" w:left="567"/>
        <w:jc w:val="left"/>
        <w:rPr/>
      </w:pPr>
      <w:r>
        <w:rPr>
          <w:rFonts w:eastAsia="Times New Roman" w:cs="Times New Roman"/>
          <w:sz w:val="22"/>
          <w:szCs w:val="22"/>
          <w:lang w:val="en-US" w:bidi="fa-IR"/>
        </w:rPr>
        <w:t xml:space="preserve">Nourani, H., &amp; Akhlaghi Yazdinejad, E. (2023). Presenting a model for solving the challenges and bottlenecks of public sector accounting standards using grounded theory. </w:t>
      </w:r>
      <w:r>
        <w:rPr>
          <w:rFonts w:eastAsia="Times New Roman" w:cs="Times New Roman"/>
          <w:i/>
          <w:iCs/>
          <w:sz w:val="22"/>
          <w:szCs w:val="22"/>
          <w:lang w:val="en-US" w:bidi="fa-IR"/>
        </w:rPr>
        <w:t>Governmental Accounting, 9</w:t>
      </w:r>
      <w:r>
        <w:rPr>
          <w:rFonts w:eastAsia="Times New Roman" w:cs="Times New Roman"/>
          <w:sz w:val="22"/>
          <w:szCs w:val="22"/>
          <w:lang w:val="en-US" w:bidi="fa-IR"/>
        </w:rPr>
        <w:t>(18), 151–168. (in Persian)</w:t>
      </w:r>
    </w:p>
    <w:p>
      <w:pPr>
        <w:pStyle w:val="Normal"/>
        <w:spacing w:lineRule="auto" w:line="240" w:before="0" w:after="60"/>
        <w:ind w:hanging="567" w:left="567"/>
        <w:jc w:val="left"/>
        <w:rPr/>
      </w:pPr>
      <w:r>
        <w:rPr>
          <w:rFonts w:eastAsia="Times New Roman" w:cs="Times New Roman"/>
          <w:sz w:val="22"/>
          <w:szCs w:val="22"/>
          <w:lang w:val="en-US" w:bidi="fa-IR"/>
        </w:rPr>
        <w:t xml:space="preserve">Oliver, C. (1991). Strategic responses to institutional processes. </w:t>
      </w:r>
      <w:r>
        <w:rPr>
          <w:rFonts w:eastAsia="Times New Roman" w:cs="Times New Roman"/>
          <w:i/>
          <w:iCs/>
          <w:sz w:val="22"/>
          <w:szCs w:val="22"/>
          <w:lang w:val="en-US" w:bidi="fa-IR"/>
        </w:rPr>
        <w:t>Academy of Management Review, 16</w:t>
      </w:r>
      <w:r>
        <w:rPr>
          <w:rFonts w:eastAsia="Times New Roman" w:cs="Times New Roman"/>
          <w:sz w:val="22"/>
          <w:szCs w:val="22"/>
          <w:lang w:val="en-US" w:bidi="fa-IR"/>
        </w:rPr>
        <w:t>(1), 145–179. https://doi.org/10.5465/amr.1991.4279002</w:t>
      </w:r>
    </w:p>
    <w:p>
      <w:pPr>
        <w:pStyle w:val="Normal"/>
        <w:spacing w:lineRule="auto" w:line="240" w:before="0" w:after="60"/>
        <w:ind w:hanging="567" w:left="567"/>
        <w:jc w:val="left"/>
        <w:rPr/>
      </w:pPr>
      <w:r>
        <w:rPr>
          <w:rFonts w:eastAsia="Times New Roman" w:cs="Times New Roman"/>
          <w:sz w:val="22"/>
          <w:szCs w:val="22"/>
          <w:lang w:val="en-US" w:bidi="fa-IR"/>
        </w:rPr>
        <w:t xml:space="preserve">Pina, V., Torres, L., &amp; Yetano, A. (2009). Accrual accounting in EU local governments: One method, several approaches. </w:t>
      </w:r>
      <w:r>
        <w:rPr>
          <w:rFonts w:eastAsia="Times New Roman" w:cs="Times New Roman"/>
          <w:i/>
          <w:iCs/>
          <w:sz w:val="22"/>
          <w:szCs w:val="22"/>
          <w:lang w:val="en-US" w:bidi="fa-IR"/>
        </w:rPr>
        <w:t>European Accounting Review, 18</w:t>
      </w:r>
      <w:r>
        <w:rPr>
          <w:rFonts w:eastAsia="Times New Roman" w:cs="Times New Roman"/>
          <w:sz w:val="22"/>
          <w:szCs w:val="22"/>
          <w:lang w:val="en-US" w:bidi="fa-IR"/>
        </w:rPr>
        <w:t>(4), 765–807. https://doi.org/10.1080/09638180902863792</w:t>
      </w:r>
    </w:p>
    <w:p>
      <w:pPr>
        <w:pStyle w:val="Normal"/>
        <w:spacing w:lineRule="auto" w:line="240" w:before="0" w:after="60"/>
        <w:ind w:hanging="567" w:left="567"/>
        <w:jc w:val="left"/>
        <w:rPr/>
      </w:pPr>
      <w:r>
        <w:rPr>
          <w:rFonts w:eastAsia="Times New Roman" w:cs="Times New Roman"/>
          <w:sz w:val="22"/>
          <w:szCs w:val="22"/>
          <w:lang w:val="en-US" w:bidi="fa-IR"/>
        </w:rPr>
        <w:t xml:space="preserve">Podsakoff, P. M., MacKenzie, S. B., Lee, J.-Y., &amp; Podsakoff, N. P. (2003). Common method biases in behavioral research: A critical review of the literature and recommended remedies. </w:t>
      </w:r>
      <w:r>
        <w:rPr>
          <w:rFonts w:eastAsia="Times New Roman" w:cs="Times New Roman"/>
          <w:i/>
          <w:iCs/>
          <w:sz w:val="22"/>
          <w:szCs w:val="22"/>
          <w:lang w:val="en-US" w:bidi="fa-IR"/>
        </w:rPr>
        <w:t>Journal of Applied Psychology, 88</w:t>
      </w:r>
      <w:r>
        <w:rPr>
          <w:rFonts w:eastAsia="Times New Roman" w:cs="Times New Roman"/>
          <w:sz w:val="22"/>
          <w:szCs w:val="22"/>
          <w:lang w:val="en-US" w:bidi="fa-IR"/>
        </w:rPr>
        <w:t>(5), 879–903. https://doi.org/10.1037/0021-9010.88.5.879</w:t>
      </w:r>
    </w:p>
    <w:p>
      <w:pPr>
        <w:pStyle w:val="Normal"/>
        <w:spacing w:lineRule="auto" w:line="240" w:before="0" w:after="60"/>
        <w:ind w:hanging="567" w:left="567"/>
        <w:jc w:val="left"/>
        <w:rPr/>
      </w:pPr>
      <w:r>
        <w:rPr>
          <w:rFonts w:eastAsia="Times New Roman" w:cs="Times New Roman"/>
          <w:sz w:val="22"/>
          <w:szCs w:val="22"/>
          <w:lang w:val="en-US" w:bidi="fa-IR"/>
        </w:rPr>
        <w:t xml:space="preserve">Polit, D. F., &amp; Beck, C. T. (2006). The content validity index: Are you sure you know what's being reported? Critique and recommendations. </w:t>
      </w:r>
      <w:r>
        <w:rPr>
          <w:rFonts w:eastAsia="Times New Roman" w:cs="Times New Roman"/>
          <w:i/>
          <w:iCs/>
          <w:sz w:val="22"/>
          <w:szCs w:val="22"/>
          <w:lang w:val="en-US" w:bidi="fa-IR"/>
        </w:rPr>
        <w:t>Research in Nursing &amp; Health, 29</w:t>
      </w:r>
      <w:r>
        <w:rPr>
          <w:rFonts w:eastAsia="Times New Roman" w:cs="Times New Roman"/>
          <w:sz w:val="22"/>
          <w:szCs w:val="22"/>
          <w:lang w:val="en-US" w:bidi="fa-IR"/>
        </w:rPr>
        <w:t>(5), 489–497. https://doi.org/10.1002/nur.20147</w:t>
      </w:r>
    </w:p>
    <w:p>
      <w:pPr>
        <w:pStyle w:val="Normal"/>
        <w:spacing w:lineRule="auto" w:line="240" w:before="0" w:after="60"/>
        <w:ind w:hanging="567" w:left="567"/>
        <w:jc w:val="left"/>
        <w:rPr/>
      </w:pPr>
      <w:r>
        <w:rPr>
          <w:rFonts w:eastAsia="Times New Roman" w:cs="Times New Roman"/>
          <w:sz w:val="22"/>
          <w:szCs w:val="22"/>
          <w:lang w:val="en-US" w:bidi="fa-IR"/>
        </w:rPr>
        <w:t xml:space="preserve">Pollitt, C., &amp; Bouckaert, G. (2017). </w:t>
      </w:r>
      <w:r>
        <w:rPr>
          <w:rFonts w:eastAsia="Times New Roman" w:cs="Times New Roman"/>
          <w:i/>
          <w:iCs/>
          <w:sz w:val="22"/>
          <w:szCs w:val="22"/>
          <w:lang w:val="en-US" w:bidi="fa-IR"/>
        </w:rPr>
        <w:t>Public management reform: A comparative analysis – into the age of austerity</w:t>
      </w:r>
      <w:r>
        <w:rPr>
          <w:rFonts w:eastAsia="Times New Roman" w:cs="Times New Roman"/>
          <w:sz w:val="22"/>
          <w:szCs w:val="22"/>
          <w:lang w:val="en-US" w:bidi="fa-IR"/>
        </w:rPr>
        <w:t xml:space="preserve"> (4th ed.). Oxford, UK: Oxford University Press.</w:t>
      </w:r>
    </w:p>
    <w:p>
      <w:pPr>
        <w:pStyle w:val="Normal"/>
        <w:spacing w:lineRule="auto" w:line="240" w:before="0" w:after="60"/>
        <w:ind w:hanging="567" w:left="567"/>
        <w:jc w:val="left"/>
        <w:rPr/>
      </w:pPr>
      <w:r>
        <w:rPr>
          <w:rFonts w:eastAsia="Times New Roman" w:cs="Times New Roman"/>
          <w:sz w:val="22"/>
          <w:szCs w:val="22"/>
          <w:lang w:val="en-US" w:bidi="fa-IR"/>
        </w:rPr>
        <w:t xml:space="preserve">Pourghaffar, J., Mohammadzadeh Salteh, H., Zeinali, M., &amp; Mehrani, S. (2022). Performance-based budgeting model with a real time financial reporting approach in Iran public sector. </w:t>
      </w:r>
      <w:r>
        <w:rPr>
          <w:rFonts w:eastAsia="Times New Roman" w:cs="Times New Roman"/>
          <w:i/>
          <w:iCs/>
          <w:sz w:val="22"/>
          <w:szCs w:val="22"/>
          <w:lang w:val="en-US" w:bidi="fa-IR"/>
        </w:rPr>
        <w:t>Governmental Accounting, 8</w:t>
      </w:r>
      <w:r>
        <w:rPr>
          <w:rFonts w:eastAsia="Times New Roman" w:cs="Times New Roman"/>
          <w:sz w:val="22"/>
          <w:szCs w:val="22"/>
          <w:lang w:val="en-US" w:bidi="fa-IR"/>
        </w:rPr>
        <w:t>(2), 21–36. https://doi.org/10.30473/gaa.2022.61861.1528 (in Persian)</w:t>
      </w:r>
    </w:p>
    <w:p>
      <w:pPr>
        <w:pStyle w:val="Normal"/>
        <w:spacing w:lineRule="auto" w:line="240" w:before="0" w:after="60"/>
        <w:ind w:hanging="567" w:left="567"/>
        <w:jc w:val="left"/>
        <w:rPr/>
      </w:pPr>
      <w:r>
        <w:rPr>
          <w:rFonts w:eastAsia="Times New Roman" w:cs="Times New Roman"/>
          <w:sz w:val="22"/>
          <w:szCs w:val="22"/>
          <w:lang w:val="en-US" w:bidi="fa-IR"/>
        </w:rPr>
        <w:t xml:space="preserve">Preacher, K. J., &amp; Hayes, A. F. (2008). Asymptotic and resampling strategies for assessing and comparing indirect effects in multiple mediator models. </w:t>
      </w:r>
      <w:r>
        <w:rPr>
          <w:rFonts w:eastAsia="Times New Roman" w:cs="Times New Roman"/>
          <w:i/>
          <w:iCs/>
          <w:sz w:val="22"/>
          <w:szCs w:val="22"/>
          <w:lang w:val="en-US" w:bidi="fa-IR"/>
        </w:rPr>
        <w:t>Behavior Research Methods, 40</w:t>
      </w:r>
      <w:r>
        <w:rPr>
          <w:rFonts w:eastAsia="Times New Roman" w:cs="Times New Roman"/>
          <w:sz w:val="22"/>
          <w:szCs w:val="22"/>
          <w:lang w:val="en-US" w:bidi="fa-IR"/>
        </w:rPr>
        <w:t>(3), 879–891. https://doi.org/10.3758/BRM.40.3.879</w:t>
      </w:r>
    </w:p>
    <w:p>
      <w:pPr>
        <w:pStyle w:val="Normal"/>
        <w:spacing w:lineRule="auto" w:line="240" w:before="0" w:after="60"/>
        <w:ind w:hanging="567" w:left="567"/>
        <w:jc w:val="left"/>
        <w:rPr/>
      </w:pPr>
      <w:r>
        <w:rPr>
          <w:rFonts w:eastAsia="Times New Roman" w:cs="Times New Roman"/>
          <w:sz w:val="22"/>
          <w:szCs w:val="22"/>
          <w:lang w:val="en-US" w:bidi="fa-IR"/>
        </w:rPr>
        <w:t xml:space="preserve">Scott, W. R. (2014). </w:t>
      </w:r>
      <w:r>
        <w:rPr>
          <w:rFonts w:eastAsia="Times New Roman" w:cs="Times New Roman"/>
          <w:i/>
          <w:iCs/>
          <w:sz w:val="22"/>
          <w:szCs w:val="22"/>
          <w:lang w:val="en-US" w:bidi="fa-IR"/>
        </w:rPr>
        <w:t>Institutions and organizations: Ideas, interests, and identities</w:t>
      </w:r>
      <w:r>
        <w:rPr>
          <w:rFonts w:eastAsia="Times New Roman" w:cs="Times New Roman"/>
          <w:sz w:val="22"/>
          <w:szCs w:val="22"/>
          <w:lang w:val="en-US" w:bidi="fa-IR"/>
        </w:rPr>
        <w:t xml:space="preserve"> (4th ed.). Thousand Oaks, CA: Sage.</w:t>
      </w:r>
    </w:p>
    <w:p>
      <w:pPr>
        <w:pStyle w:val="Normal"/>
        <w:spacing w:lineRule="auto" w:line="240" w:before="0" w:after="60"/>
        <w:ind w:hanging="567" w:left="567"/>
        <w:jc w:val="left"/>
        <w:rPr/>
      </w:pPr>
      <w:r>
        <w:rPr>
          <w:rFonts w:eastAsia="Times New Roman" w:cs="Times New Roman"/>
          <w:sz w:val="22"/>
          <w:szCs w:val="22"/>
          <w:lang w:val="en-US" w:bidi="fa-IR"/>
        </w:rPr>
        <w:t xml:space="preserve">Teo, H. H., Wei, K. K., &amp; Benbasat, I. (2003). Predicting intention to adopt interorganizational linkages: An institutional perspective. </w:t>
      </w:r>
      <w:r>
        <w:rPr>
          <w:rFonts w:eastAsia="Times New Roman" w:cs="Times New Roman"/>
          <w:i/>
          <w:iCs/>
          <w:sz w:val="22"/>
          <w:szCs w:val="22"/>
          <w:lang w:val="en-US" w:bidi="fa-IR"/>
        </w:rPr>
        <w:t>MIS Quarterly, 27</w:t>
      </w:r>
      <w:r>
        <w:rPr>
          <w:rFonts w:eastAsia="Times New Roman" w:cs="Times New Roman"/>
          <w:sz w:val="22"/>
          <w:szCs w:val="22"/>
          <w:lang w:val="en-US" w:bidi="fa-IR"/>
        </w:rPr>
        <w:t>(1), 19–49. https://doi.org/10.2307/30036518</w:t>
      </w:r>
    </w:p>
    <w:p>
      <w:pPr>
        <w:pStyle w:val="Normal"/>
        <w:rPr/>
      </w:pPr>
      <w:r>
        <w:rPr/>
      </w:r>
      <w:r>
        <w:br w:type="page"/>
      </w:r>
    </w:p>
    <w:p>
      <w:pPr>
        <w:pStyle w:val="Normal"/>
        <w:keepNext w:val="true"/>
        <w:spacing w:lineRule="auto" w:line="276" w:before="0" w:after="80"/>
        <w:jc w:val="left"/>
        <w:rPr/>
      </w:pPr>
      <w:r>
        <w:rPr>
          <w:rFonts w:eastAsia="Times New Roman" w:cs="Times New Roman"/>
          <w:b/>
          <w:bCs/>
          <w:sz w:val="26"/>
          <w:szCs w:val="26"/>
          <w:lang w:val="en-US" w:bidi="fa-IR"/>
        </w:rPr>
        <w:t>Appendix A. Instrument, origin of each scale and standardized loadings</w:t>
      </w:r>
    </w:p>
    <w:p>
      <w:pPr>
        <w:pStyle w:val="Normal"/>
        <w:spacing w:lineRule="auto" w:line="276" w:before="0" w:after="80"/>
        <w:jc w:val="both"/>
        <w:rPr/>
      </w:pPr>
      <w:r>
        <w:rPr>
          <w:rFonts w:eastAsia="Times New Roman" w:cs="Times New Roman"/>
          <w:sz w:val="24"/>
          <w:szCs w:val="24"/>
          <w:lang w:val="en-US" w:bidi="fa-IR"/>
        </w:rPr>
        <w:t>Response format: 1 = strongly disagree … 5 = strongly agree for all items. Loadings (λ) are standardized estimates in the full structural model. The Persian original of each item, scoring notes and the validation protocol are provided in the accompanying questionnaire file.</w:t>
      </w:r>
    </w:p>
    <w:p>
      <w:pPr>
        <w:pStyle w:val="Normal"/>
        <w:keepNext w:val="true"/>
        <w:spacing w:lineRule="auto" w:line="276" w:before="140" w:after="60"/>
        <w:jc w:val="left"/>
        <w:rPr/>
      </w:pPr>
      <w:r>
        <w:rPr>
          <w:rFonts w:eastAsia="Times New Roman" w:cs="Times New Roman"/>
          <w:b/>
          <w:bCs/>
          <w:sz w:val="22"/>
          <w:szCs w:val="22"/>
          <w:lang w:val="en-US" w:bidi="fa-IR"/>
        </w:rPr>
        <w:t>Coercive pressure (COE) – origin: Adapted; sources: DiMaggio &amp; Powell (1983); Teo et al. (2003)</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COE1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Higher-level laws and regulations oblige our agency to implement accrual accounting and performance-based budgeting.</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0.84</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COE2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Oversight bodies and higher authorities closely supervise the implementation of these reforms.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0.83</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COE3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Failing to implement these reforms has legal or administrative consequences for the agency.</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0.71</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COE4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Issued directives and circulars specify precisely how the reforms must be implemented.</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0.72</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Normative pressure (NOR) – origin: Adapted; sources: DiMaggio &amp; Powell (1983); Teo et al. (2003)</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NOR1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public-sector accounting and auditing profession regards implementing accrual accounting as a professional norm.</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0.81</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NOR2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Training courses and professional gatherings promote the implementation of these reforms.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NOR3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Experienced colleagues and comptrollers consider careful implementation a professional value.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0.74</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NOR4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In academic and professional forums, compliance with public-sector accounting standards is considered desirable.</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0.63</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Mimetic pressure (MIM) – origin: Adapted; sources: DiMaggio &amp; Powell (1983); Oliver (1991); Teo et al. (2003)</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MIM1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Successful similar agencies have implemented the reforms and we follow their example.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0.77</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MIM2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When unsure how to implement, we take the method of peer agencies as our model.</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0.76</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MIM3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We mostly use ready-made formats and reports from consultants or common software.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0.67</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MIM4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We worry that if we do not act like other agencies we will be seen as lagging.</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0.66</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Substantive implementation (SUB) – origin: Researcher-made; sources: Pollitt &amp; Bouckaert (2017); Moynihan (2008); Christiaens et al. (2015)</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SUB1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agency's budget figures are prepared on the basis of programmes and performance indicators.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SUB2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agency calculates the full cost of activities and services.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SUB3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Accrual financial statements are prepared regularly with a defined control process.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0.74</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SUB4</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Financial and performance reports are reviewed in management meetings and corrective action follows.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SUB5</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Financial staff and programme managers understand the concepts of these reforms and apply them in daily work.</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0.65</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Symbolic compliance (SYM) – origin: Researcher-made; sources: Meyer &amp; Rowan (1977); Bromley &amp; Powell (2012); Modell (2009)</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SYM1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Most performance-budget reports are prepared mainly for submission to higher authorities.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0.81</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SYM2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Performance indicators are set so that they are easily achieved.</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0.83</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SYM3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In practice, the formal implementation of these reforms has no effect on how resources are allocated and spent.</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0.68</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SYM4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Accrual information is mostly prepared to complete forms and meet requirements rather than for management.</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0.67</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Information-system maturity (DIG) – origin: Adapted + new; sources: DeLone &amp; McLean (2003); Dunleavy et al. (2006)</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DIG1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agency's financial systems are integrated and data are transferred without re-entry.</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0.83</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DIG2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Financial and performance information is available to managers online.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DIG3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systems preserve a trail of entries and changes (auditability).</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0.71</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DIG4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Staff have received the training needed to use the systems effectively.</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0.63</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Usefulness of reported information (USE) – origin: Adapted + new; sources: Moynihan &amp; Pandey (2010); Kroll (2015); DeLone &amp; McLean (2003)</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USE1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Reported information is the basis of managerial decisions (allocation and prioritisation) in the agency.</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0.82</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USE2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Reports are timely and understandable.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0.76</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USE3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Accrual information gives a fuller picture of the agency's financial position than the cash basis.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0.78</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USE4</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Reported information is reliable for evaluating the efficiency and effectiveness of programmes.</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0.69</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Financial accountability (ACC) – origin: Researcher-made; sources: Bovens (2007); Bracci et al. (2015); Moore (1995)</w:t>
      </w:r>
    </w:p>
    <w:tbl>
      <w:tblPr>
        <w:tblW w:w="9200" w:type="dxa"/>
        <w:jc w:val="center"/>
        <w:tblInd w:w="0" w:type="dxa"/>
        <w:tblLayout w:type="fixed"/>
        <w:tblCellMar>
          <w:top w:w="0" w:type="dxa"/>
          <w:left w:w="60" w:type="dxa"/>
          <w:bottom w:w="0" w:type="dxa"/>
          <w:right w:w="60" w:type="dxa"/>
        </w:tblCellMar>
      </w:tblPr>
      <w:tblGrid>
        <w:gridCol w:w="800"/>
        <w:gridCol w:w="7599"/>
        <w:gridCol w:w="801"/>
      </w:tblGrid>
      <w:tr>
        <w:trPr>
          <w:tblHeader w:val="true"/>
        </w:trPr>
        <w:tc>
          <w:tcPr>
            <w:tcW w:w="8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ACC1</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The agency provides or publishes financial and performance information for stakeholders (legislature, oversight bodies, citizens).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ACC2</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Managers explain results and deviations to oversight bodies.</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0.78</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ACC3</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When the budget is exceeded, responsibility is assigned and corrective action is pursued.</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0.73</w:t>
            </w:r>
          </w:p>
        </w:tc>
      </w:tr>
      <w:tr>
        <w:trPr>
          <w:cantSplit w:val="true"/>
        </w:trPr>
        <w:tc>
          <w:tcPr>
            <w:tcW w:w="800" w:type="dxa"/>
            <w:tcBorders/>
            <w:vAlign w:val="center"/>
          </w:tcPr>
          <w:p>
            <w:pPr>
              <w:pStyle w:val="Normal"/>
              <w:spacing w:lineRule="auto" w:line="240" w:before="30" w:after="30"/>
              <w:jc w:val="left"/>
              <w:rPr/>
            </w:pPr>
            <w:r>
              <w:rPr>
                <w:rFonts w:eastAsia="Times New Roman" w:cs="Times New Roman"/>
                <w:sz w:val="18"/>
                <w:szCs w:val="18"/>
                <w:lang w:val="en-US" w:bidi="fa-IR"/>
              </w:rPr>
              <w:t>ACC4</w:t>
            </w:r>
          </w:p>
        </w:tc>
        <w:tc>
          <w:tcPr>
            <w:tcW w:w="7599" w:type="dxa"/>
            <w:tcBorders/>
            <w:vAlign w:val="center"/>
          </w:tcPr>
          <w:p>
            <w:pPr>
              <w:pStyle w:val="Normal"/>
              <w:spacing w:lineRule="auto" w:line="240" w:before="30" w:after="30"/>
              <w:jc w:val="center"/>
              <w:rPr/>
            </w:pPr>
            <w:r>
              <w:rPr>
                <w:rFonts w:eastAsia="Times New Roman" w:cs="Times New Roman"/>
                <w:sz w:val="18"/>
                <w:szCs w:val="18"/>
                <w:lang w:val="en-US" w:bidi="fa-IR"/>
              </w:rPr>
              <w:t>Audit and inspection findings are followed up and resolved within a reasonable time.</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0.74</w:t>
            </w:r>
          </w:p>
        </w:tc>
      </w:tr>
      <w:tr>
        <w:trPr>
          <w:cantSplit w:val="true"/>
        </w:trPr>
        <w:tc>
          <w:tcPr>
            <w:tcW w:w="8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ACC5</w:t>
            </w:r>
          </w:p>
        </w:tc>
        <w:tc>
          <w:tcPr>
            <w:tcW w:w="75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Information provided by the agency can be verified.</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0.75</w:t>
            </w:r>
          </w:p>
        </w:tc>
      </w:tr>
    </w:tbl>
    <w:p>
      <w:pPr>
        <w:pStyle w:val="Normal"/>
        <w:spacing w:lineRule="auto" w:line="276" w:before="0" w:after="100"/>
        <w:ind w:firstLine="425"/>
        <w:jc w:val="both"/>
        <w:rPr/>
      </w:pPr>
      <w:r>
        <w:rPr/>
      </w:r>
    </w:p>
    <w:p>
      <w:pPr>
        <w:pStyle w:val="Normal"/>
        <w:keepNext w:val="true"/>
        <w:jc w:val="center"/>
        <w:rPr/>
      </w:pPr>
      <w:r>
        <w:rPr/>
        <w:drawing>
          <wp:inline distT="0" distB="0" distL="0" distR="0">
            <wp:extent cx="4140200" cy="4370070"/>
            <wp:effectExtent l="0" t="0" r="0" b="0"/>
            <wp:docPr id="5" name="Fig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
                    <pic:cNvPicPr>
                      <a:picLocks noChangeAspect="1" noChangeArrowheads="1"/>
                    </pic:cNvPicPr>
                  </pic:nvPicPr>
                  <pic:blipFill>
                    <a:blip r:embed="rId12"/>
                    <a:stretch>
                      <a:fillRect/>
                    </a:stretch>
                  </pic:blipFill>
                  <pic:spPr bwMode="auto">
                    <a:xfrm>
                      <a:off x="0" y="0"/>
                      <a:ext cx="4140200" cy="4370070"/>
                    </a:xfrm>
                    <a:prstGeom prst="rect">
                      <a:avLst/>
                    </a:prstGeom>
                  </pic:spPr>
                </pic:pic>
              </a:graphicData>
            </a:graphic>
          </wp:inline>
        </w:drawing>
      </w:r>
    </w:p>
    <w:p>
      <w:pPr>
        <w:pStyle w:val="Normal"/>
        <w:spacing w:lineRule="auto" w:line="276" w:before="40" w:after="160"/>
        <w:jc w:val="left"/>
        <w:rPr/>
      </w:pPr>
      <w:r>
        <w:rPr>
          <w:rFonts w:eastAsia="Times New Roman" w:cs="Times New Roman"/>
          <w:b/>
          <w:bCs/>
          <w:sz w:val="22"/>
          <w:szCs w:val="22"/>
          <w:lang w:val="en-US" w:bidi="fa-IR"/>
        </w:rPr>
        <w:t>Figure A1. Standardized factor loadings of the 34 indicators in the full structural model.</w:t>
      </w:r>
    </w:p>
    <w:p>
      <w:pPr>
        <w:pStyle w:val="Normal"/>
        <w:keepNext w:val="true"/>
        <w:spacing w:lineRule="auto" w:line="276" w:before="200" w:after="80"/>
        <w:jc w:val="left"/>
        <w:rPr/>
      </w:pPr>
      <w:r>
        <w:rPr>
          <w:rFonts w:eastAsia="Times New Roman" w:cs="Times New Roman"/>
          <w:b/>
          <w:bCs/>
          <w:sz w:val="26"/>
          <w:szCs w:val="26"/>
          <w:lang w:val="en-US" w:bidi="fa-IR"/>
        </w:rPr>
        <w:t>Appendix B. Latent correlations and discriminant validity</w:t>
      </w:r>
    </w:p>
    <w:p>
      <w:pPr>
        <w:pStyle w:val="Normal"/>
        <w:keepNext w:val="true"/>
        <w:spacing w:lineRule="auto" w:line="276" w:before="140" w:after="60"/>
        <w:jc w:val="left"/>
        <w:rPr/>
      </w:pPr>
      <w:r>
        <w:rPr>
          <w:rFonts w:eastAsia="Times New Roman" w:cs="Times New Roman"/>
          <w:b/>
          <w:bCs/>
          <w:sz w:val="22"/>
          <w:szCs w:val="22"/>
          <w:lang w:val="en-US" w:bidi="fa-IR"/>
        </w:rPr>
        <w:t>Table B1. Latent correlations (CFA; diagonal = √AVE)</w:t>
      </w:r>
    </w:p>
    <w:tbl>
      <w:tblPr>
        <w:tblW w:w="8700" w:type="dxa"/>
        <w:jc w:val="center"/>
        <w:tblInd w:w="0" w:type="dxa"/>
        <w:tblLayout w:type="fixed"/>
        <w:tblCellMar>
          <w:top w:w="0" w:type="dxa"/>
          <w:left w:w="60" w:type="dxa"/>
          <w:bottom w:w="0" w:type="dxa"/>
          <w:right w:w="60" w:type="dxa"/>
        </w:tblCellMar>
      </w:tblPr>
      <w:tblGrid>
        <w:gridCol w:w="700"/>
        <w:gridCol w:w="999"/>
        <w:gridCol w:w="1000"/>
        <w:gridCol w:w="1001"/>
        <w:gridCol w:w="999"/>
        <w:gridCol w:w="1001"/>
        <w:gridCol w:w="999"/>
        <w:gridCol w:w="1001"/>
        <w:gridCol w:w="999"/>
      </w:tblGrid>
      <w:tr>
        <w:trPr>
          <w:tblHeader w:val="true"/>
        </w:trPr>
        <w:tc>
          <w:tcPr>
            <w:tcW w:w="700" w:type="dxa"/>
            <w:tcBorders>
              <w:top w:val="single" w:sz="8" w:space="0" w:color="000000"/>
              <w:bottom w:val="single" w:sz="8" w:space="0" w:color="000000"/>
            </w:tcBorders>
            <w:vAlign w:val="center"/>
          </w:tcPr>
          <w:p>
            <w:pPr>
              <w:pStyle w:val="Normal"/>
              <w:spacing w:lineRule="auto" w:line="240" w:before="30" w:after="30"/>
              <w:jc w:val="left"/>
              <w:rPr/>
            </w:pPr>
            <w:r>
              <w:rPr/>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COE</w:t>
            </w:r>
          </w:p>
        </w:tc>
        <w:tc>
          <w:tcPr>
            <w:tcW w:w="10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NOR</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MIM</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SUB</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SYM</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DIG</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USE</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ACC</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COE</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0.78</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0.22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0.42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0.15</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NOR</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0.75</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0.33</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0.02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0.07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0.17</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0.20</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MIM</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0.71</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0.31</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0.35</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0.08</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0.11</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0.11</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SUB</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0.43</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0.47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0.31</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0.76</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0.03</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0.10</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0.40</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SYM</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0.02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0.35</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0.03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0.75</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0.26</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DIG</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0.07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0.10</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0.74</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0.37</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0.19</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USE</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0.17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0.11</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0.38</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0.76</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0.51</w:t>
            </w:r>
          </w:p>
        </w:tc>
      </w:tr>
      <w:tr>
        <w:trPr>
          <w:cantSplit w:val="true"/>
        </w:trPr>
        <w:tc>
          <w:tcPr>
            <w:tcW w:w="700" w:type="dxa"/>
            <w:tcBorders>
              <w:bottom w:val="single" w:sz="8" w:space="0" w:color="000000"/>
            </w:tcBorders>
            <w:vAlign w:val="center"/>
          </w:tcPr>
          <w:p>
            <w:pPr>
              <w:pStyle w:val="Normal"/>
              <w:spacing w:lineRule="auto" w:line="240" w:before="30" w:after="30"/>
              <w:jc w:val="left"/>
              <w:rPr/>
            </w:pPr>
            <w:r>
              <w:rPr>
                <w:rFonts w:eastAsia="Times New Roman" w:cs="Times New Roman"/>
                <w:sz w:val="17"/>
                <w:szCs w:val="17"/>
                <w:lang w:val="en-US" w:bidi="fa-IR"/>
              </w:rPr>
              <w:t>ACC</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0.15</w:t>
            </w:r>
          </w:p>
        </w:tc>
        <w:tc>
          <w:tcPr>
            <w:tcW w:w="10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0.20</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0.11</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0.40</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0.26</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0.19</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0.51</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0.76</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Table B2. Heterotrait–monotrait ratios (HTMT)</w:t>
      </w:r>
    </w:p>
    <w:tbl>
      <w:tblPr>
        <w:tblW w:w="8700" w:type="dxa"/>
        <w:jc w:val="center"/>
        <w:tblInd w:w="0" w:type="dxa"/>
        <w:tblLayout w:type="fixed"/>
        <w:tblCellMar>
          <w:top w:w="0" w:type="dxa"/>
          <w:left w:w="60" w:type="dxa"/>
          <w:bottom w:w="0" w:type="dxa"/>
          <w:right w:w="60" w:type="dxa"/>
        </w:tblCellMar>
      </w:tblPr>
      <w:tblGrid>
        <w:gridCol w:w="700"/>
        <w:gridCol w:w="999"/>
        <w:gridCol w:w="1000"/>
        <w:gridCol w:w="1001"/>
        <w:gridCol w:w="999"/>
        <w:gridCol w:w="1001"/>
        <w:gridCol w:w="999"/>
        <w:gridCol w:w="1001"/>
        <w:gridCol w:w="999"/>
      </w:tblGrid>
      <w:tr>
        <w:trPr>
          <w:tblHeader w:val="true"/>
        </w:trPr>
        <w:tc>
          <w:tcPr>
            <w:tcW w:w="700" w:type="dxa"/>
            <w:tcBorders>
              <w:top w:val="single" w:sz="8" w:space="0" w:color="000000"/>
              <w:bottom w:val="single" w:sz="8" w:space="0" w:color="000000"/>
            </w:tcBorders>
            <w:vAlign w:val="center"/>
          </w:tcPr>
          <w:p>
            <w:pPr>
              <w:pStyle w:val="Normal"/>
              <w:spacing w:lineRule="auto" w:line="240" w:before="30" w:after="30"/>
              <w:jc w:val="left"/>
              <w:rPr/>
            </w:pPr>
            <w:r>
              <w:rPr/>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COE</w:t>
            </w:r>
          </w:p>
        </w:tc>
        <w:tc>
          <w:tcPr>
            <w:tcW w:w="10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NOR</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MIM</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SUB</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SYM</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DIG</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USE</w:t>
            </w:r>
          </w:p>
        </w:tc>
        <w:tc>
          <w:tcPr>
            <w:tcW w:w="9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ACC</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COE</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0.22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0.34</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0.44</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0.40</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0.14</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0.16</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NOR</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0.22</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0.33</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0.05</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0.09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0.20</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MIM</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0.34</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0.31</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0.36</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0.10</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0.11</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SUB</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0.44</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0.47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0.31</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0.06</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0.40</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SYM</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0.40</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0.05</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0.36</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0.06</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0.24</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0.28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0.28</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DIG</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0.13</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0.09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0.10</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0.24</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0.37</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0.19</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17"/>
                <w:szCs w:val="17"/>
                <w:lang w:val="en-US" w:bidi="fa-IR"/>
              </w:rPr>
              <w:t>USE</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0.14</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0.18</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0.12</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0.38</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0.28</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0.37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p>
        </w:tc>
        <w:tc>
          <w:tcPr>
            <w:tcW w:w="999" w:type="dxa"/>
            <w:tcBorders/>
            <w:vAlign w:val="center"/>
          </w:tcPr>
          <w:p>
            <w:pPr>
              <w:pStyle w:val="Normal"/>
              <w:spacing w:lineRule="auto" w:line="240" w:before="30" w:after="30"/>
              <w:jc w:val="center"/>
              <w:rPr/>
            </w:pPr>
            <w:r>
              <w:rPr>
                <w:rFonts w:eastAsia="Times New Roman" w:cs="Times New Roman"/>
                <w:sz w:val="17"/>
                <w:szCs w:val="17"/>
                <w:lang w:val="en-US" w:bidi="fa-IR"/>
              </w:rPr>
              <w:t>0.52</w:t>
            </w:r>
          </w:p>
        </w:tc>
      </w:tr>
      <w:tr>
        <w:trPr>
          <w:cantSplit w:val="true"/>
        </w:trPr>
        <w:tc>
          <w:tcPr>
            <w:tcW w:w="700" w:type="dxa"/>
            <w:tcBorders>
              <w:bottom w:val="single" w:sz="8" w:space="0" w:color="000000"/>
            </w:tcBorders>
            <w:vAlign w:val="center"/>
          </w:tcPr>
          <w:p>
            <w:pPr>
              <w:pStyle w:val="Normal"/>
              <w:spacing w:lineRule="auto" w:line="240" w:before="30" w:after="30"/>
              <w:jc w:val="left"/>
              <w:rPr/>
            </w:pPr>
            <w:r>
              <w:rPr>
                <w:rFonts w:eastAsia="Times New Roman" w:cs="Times New Roman"/>
                <w:sz w:val="17"/>
                <w:szCs w:val="17"/>
                <w:lang w:val="en-US" w:bidi="fa-IR"/>
              </w:rPr>
              <w:t>ACC</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0.16</w:t>
            </w:r>
          </w:p>
        </w:tc>
        <w:tc>
          <w:tcPr>
            <w:tcW w:w="10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0.20</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0.11</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0.40</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0.28</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0.19</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0.52</w:t>
            </w:r>
          </w:p>
        </w:tc>
        <w:tc>
          <w:tcPr>
            <w:tcW w:w="9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w:t>
            </w:r>
          </w:p>
        </w:tc>
      </w:tr>
    </w:tbl>
    <w:p>
      <w:pPr>
        <w:pStyle w:val="Normal"/>
        <w:spacing w:lineRule="auto" w:line="276" w:before="0" w:after="100"/>
        <w:ind w:firstLine="425"/>
        <w:jc w:val="both"/>
        <w:rPr/>
      </w:pPr>
      <w:r>
        <w:rPr/>
      </w:r>
    </w:p>
    <w:p>
      <w:pPr>
        <w:pStyle w:val="Normal"/>
        <w:keepNext w:val="true"/>
        <w:spacing w:lineRule="auto" w:line="276" w:before="200" w:after="80"/>
        <w:jc w:val="left"/>
        <w:rPr/>
      </w:pPr>
      <w:r>
        <w:rPr>
          <w:rFonts w:eastAsia="Times New Roman" w:cs="Times New Roman"/>
          <w:b/>
          <w:bCs/>
          <w:sz w:val="26"/>
          <w:szCs w:val="26"/>
          <w:lang w:val="en-US" w:bidi="fa-IR"/>
        </w:rPr>
        <w:t>Appendix C. Complete structural estimates with confidence intervals</w:t>
      </w:r>
    </w:p>
    <w:p>
      <w:pPr>
        <w:pStyle w:val="Normal"/>
        <w:keepNext w:val="true"/>
        <w:spacing w:lineRule="auto" w:line="276" w:before="140" w:after="60"/>
        <w:jc w:val="left"/>
        <w:rPr/>
      </w:pPr>
      <w:r>
        <w:rPr>
          <w:rFonts w:eastAsia="Times New Roman" w:cs="Times New Roman"/>
          <w:b/>
          <w:bCs/>
          <w:sz w:val="22"/>
          <w:szCs w:val="22"/>
          <w:lang w:val="en-US" w:bidi="fa-IR"/>
        </w:rPr>
        <w:t>Table C1. Unstandardized estimates (Wald 95% CI) and standardized coefficients</w:t>
      </w:r>
    </w:p>
    <w:tbl>
      <w:tblPr>
        <w:tblW w:w="8300" w:type="dxa"/>
        <w:jc w:val="center"/>
        <w:tblInd w:w="0" w:type="dxa"/>
        <w:tblLayout w:type="fixed"/>
        <w:tblCellMar>
          <w:top w:w="0" w:type="dxa"/>
          <w:left w:w="60" w:type="dxa"/>
          <w:bottom w:w="0" w:type="dxa"/>
          <w:right w:w="60" w:type="dxa"/>
        </w:tblCellMar>
      </w:tblPr>
      <w:tblGrid>
        <w:gridCol w:w="2999"/>
        <w:gridCol w:w="1000"/>
        <w:gridCol w:w="901"/>
        <w:gridCol w:w="2399"/>
        <w:gridCol w:w="1001"/>
      </w:tblGrid>
      <w:tr>
        <w:trPr>
          <w:tblHeader w:val="true"/>
        </w:trPr>
        <w:tc>
          <w:tcPr>
            <w:tcW w:w="29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7"/>
                <w:szCs w:val="17"/>
                <w:lang w:val="en-US" w:bidi="fa-IR"/>
              </w:rPr>
              <w:t>Path (outcome ← predictor)</w:t>
            </w:r>
          </w:p>
        </w:tc>
        <w:tc>
          <w:tcPr>
            <w:tcW w:w="10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b</w:t>
            </w:r>
          </w:p>
        </w:tc>
        <w:tc>
          <w:tcPr>
            <w:tcW w:w="9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SE</w:t>
            </w:r>
          </w:p>
        </w:tc>
        <w:tc>
          <w:tcPr>
            <w:tcW w:w="23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95% CI</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β</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SUB ← COE</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0.307</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0.058</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[0.193, 0.422]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0.320</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SUB ← NOR</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0.381</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0.065</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[0.254, 0.507]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0.370</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SUB ← MIM</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0.077</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0.066</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[−0.053, 0.208]</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0.073</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SUB ← DIG</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0.035</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0.058</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[−0.078, 0.149]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0.033</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SYM ← COE</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0.379</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0.062</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[0.257, 0.500]</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0.384</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SYM ← NOR</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0.234</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0.066</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[−0.363, −0.105]</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0.222</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SYM ← MIM</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0.359</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0.074</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[0.214, 0.503]</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0.332</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SYM ← DIG</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0.294</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0.063</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[−0.417, −0.171]</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0.272</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SYM ← INTC</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0.304</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0.079</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[−0.458, −0.149]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0.249</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USE ← SUB</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0.358</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0.061</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[0.239, 0.477]</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0.352</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USE ← SYM</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0.217</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0.060</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[−0.334, −0.100]</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0.219</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USE ← DIG</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0.304</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0.065</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[0.177, 0.432]</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0.284</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USE ← INTS</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0.178</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0.072</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[0.038, 0.319]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0.156</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ACC ← SUB</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0.273</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0.062</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[0.151, 0.395]</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0.278</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ACC ← SYM</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0.162</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0.058</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[−0.275, −0.049]</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0.170</w:t>
            </w:r>
          </w:p>
        </w:tc>
      </w:tr>
      <w:tr>
        <w:trPr>
          <w:cantSplit w:val="true"/>
        </w:trPr>
        <w:tc>
          <w:tcPr>
            <w:tcW w:w="2999" w:type="dxa"/>
            <w:tcBorders/>
            <w:vAlign w:val="center"/>
          </w:tcPr>
          <w:p>
            <w:pPr>
              <w:pStyle w:val="Normal"/>
              <w:spacing w:lineRule="auto" w:line="240" w:before="30" w:after="30"/>
              <w:jc w:val="left"/>
              <w:rPr/>
            </w:pPr>
            <w:r>
              <w:rPr>
                <w:rFonts w:eastAsia="Times New Roman" w:cs="Times New Roman"/>
                <w:sz w:val="17"/>
                <w:szCs w:val="17"/>
                <w:lang w:val="en-US" w:bidi="fa-IR"/>
              </w:rPr>
              <w:t>ACC ← USE</w:t>
            </w:r>
          </w:p>
        </w:tc>
        <w:tc>
          <w:tcPr>
            <w:tcW w:w="1000" w:type="dxa"/>
            <w:tcBorders/>
            <w:vAlign w:val="center"/>
          </w:tcPr>
          <w:p>
            <w:pPr>
              <w:pStyle w:val="Normal"/>
              <w:spacing w:lineRule="auto" w:line="240" w:before="30" w:after="30"/>
              <w:jc w:val="center"/>
              <w:rPr/>
            </w:pPr>
            <w:r>
              <w:rPr>
                <w:rFonts w:eastAsia="Times New Roman" w:cs="Times New Roman"/>
                <w:sz w:val="17"/>
                <w:szCs w:val="17"/>
                <w:lang w:val="en-US" w:bidi="fa-IR"/>
              </w:rPr>
              <w:t>0.346</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0.065</w:t>
            </w:r>
          </w:p>
        </w:tc>
        <w:tc>
          <w:tcPr>
            <w:tcW w:w="2399" w:type="dxa"/>
            <w:tcBorders/>
            <w:vAlign w:val="center"/>
          </w:tcPr>
          <w:p>
            <w:pPr>
              <w:pStyle w:val="Normal"/>
              <w:spacing w:lineRule="auto" w:line="240" w:before="30" w:after="30"/>
              <w:jc w:val="center"/>
              <w:rPr/>
            </w:pPr>
            <w:r>
              <w:rPr>
                <w:rFonts w:eastAsia="Times New Roman" w:cs="Times New Roman"/>
                <w:sz w:val="17"/>
                <w:szCs w:val="17"/>
                <w:lang w:val="en-US" w:bidi="fa-IR"/>
              </w:rPr>
              <w:t>[0.219, 0.474]</w:t>
            </w:r>
          </w:p>
        </w:tc>
        <w:tc>
          <w:tcPr>
            <w:tcW w:w="1001" w:type="dxa"/>
            <w:tcBorders/>
            <w:vAlign w:val="center"/>
          </w:tcPr>
          <w:p>
            <w:pPr>
              <w:pStyle w:val="Normal"/>
              <w:spacing w:lineRule="auto" w:line="240" w:before="30" w:after="30"/>
              <w:jc w:val="center"/>
              <w:rPr/>
            </w:pPr>
            <w:r>
              <w:rPr>
                <w:rFonts w:eastAsia="Times New Roman" w:cs="Times New Roman"/>
                <w:sz w:val="17"/>
                <w:szCs w:val="17"/>
                <w:lang w:val="en-US" w:bidi="fa-IR"/>
              </w:rPr>
              <w:t>0.359</w:t>
            </w:r>
          </w:p>
        </w:tc>
      </w:tr>
      <w:tr>
        <w:trPr>
          <w:cantSplit w:val="true"/>
        </w:trPr>
        <w:tc>
          <w:tcPr>
            <w:tcW w:w="2999" w:type="dxa"/>
            <w:tcBorders>
              <w:bottom w:val="single" w:sz="8" w:space="0" w:color="000000"/>
            </w:tcBorders>
            <w:vAlign w:val="center"/>
          </w:tcPr>
          <w:p>
            <w:pPr>
              <w:pStyle w:val="Normal"/>
              <w:spacing w:lineRule="auto" w:line="240" w:before="30" w:after="30"/>
              <w:jc w:val="left"/>
              <w:rPr/>
            </w:pPr>
            <w:r>
              <w:rPr>
                <w:rFonts w:eastAsia="Times New Roman" w:cs="Times New Roman"/>
                <w:sz w:val="17"/>
                <w:szCs w:val="17"/>
                <w:lang w:val="en-US" w:bidi="fa-IR"/>
              </w:rPr>
              <w:t>ACC ← exp</w:t>
            </w:r>
          </w:p>
        </w:tc>
        <w:tc>
          <w:tcPr>
            <w:tcW w:w="10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0.034</w:t>
            </w:r>
          </w:p>
        </w:tc>
        <w:tc>
          <w:tcPr>
            <w:tcW w:w="9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0.044</w:t>
            </w:r>
          </w:p>
        </w:tc>
        <w:tc>
          <w:tcPr>
            <w:tcW w:w="23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[−0.052, 0.120]</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0.039</w:t>
            </w:r>
          </w:p>
        </w:tc>
      </w:tr>
    </w:tbl>
    <w:p>
      <w:pPr>
        <w:pStyle w:val="Normal"/>
        <w:spacing w:lineRule="auto" w:line="276" w:before="0" w:after="100"/>
        <w:ind w:firstLine="425"/>
        <w:jc w:val="both"/>
        <w:rPr/>
      </w:pPr>
      <w:r>
        <w:rPr/>
      </w:r>
    </w:p>
    <w:p>
      <w:pPr>
        <w:pStyle w:val="Normal"/>
        <w:keepNext w:val="true"/>
        <w:spacing w:lineRule="auto" w:line="276" w:before="200" w:after="80"/>
        <w:jc w:val="left"/>
        <w:rPr/>
      </w:pPr>
      <w:r>
        <w:rPr>
          <w:rFonts w:eastAsia="Times New Roman" w:cs="Times New Roman"/>
          <w:b/>
          <w:bCs/>
          <w:sz w:val="26"/>
          <w:szCs w:val="26"/>
          <w:lang w:val="en-US" w:bidi="fa-IR"/>
        </w:rPr>
        <w:t>Appendix D. Moderated-mediation indices and conditional effects</w:t>
      </w:r>
    </w:p>
    <w:p>
      <w:pPr>
        <w:pStyle w:val="Normal"/>
        <w:keepNext w:val="true"/>
        <w:spacing w:lineRule="auto" w:line="276" w:before="140" w:after="60"/>
        <w:jc w:val="left"/>
        <w:rPr/>
      </w:pPr>
      <w:r>
        <w:rPr>
          <w:rFonts w:eastAsia="Times New Roman" w:cs="Times New Roman"/>
          <w:b/>
          <w:bCs/>
          <w:sz w:val="22"/>
          <w:szCs w:val="22"/>
          <w:lang w:val="en-US" w:bidi="fa-IR"/>
        </w:rPr>
        <w:t>Table D1. Indices of moderated mediation, conditional effects of substantive implementation and standardized total indirect effects</w:t>
      </w:r>
    </w:p>
    <w:tbl>
      <w:tblPr>
        <w:tblW w:w="8400" w:type="dxa"/>
        <w:jc w:val="center"/>
        <w:tblInd w:w="0" w:type="dxa"/>
        <w:tblLayout w:type="fixed"/>
        <w:tblCellMar>
          <w:top w:w="0" w:type="dxa"/>
          <w:left w:w="60" w:type="dxa"/>
          <w:bottom w:w="0" w:type="dxa"/>
          <w:right w:w="60" w:type="dxa"/>
        </w:tblCellMar>
      </w:tblPr>
      <w:tblGrid>
        <w:gridCol w:w="3099"/>
        <w:gridCol w:w="1200"/>
        <w:gridCol w:w="2700"/>
        <w:gridCol w:w="1400"/>
      </w:tblGrid>
      <w:tr>
        <w:trPr>
          <w:tblHeader w:val="true"/>
        </w:trPr>
        <w:tc>
          <w:tcPr>
            <w:tcW w:w="30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7"/>
                <w:szCs w:val="17"/>
                <w:lang w:val="en-US" w:bidi="fa-IR"/>
              </w:rPr>
              <w:t>Quantity</w:t>
            </w:r>
          </w:p>
        </w:tc>
        <w:tc>
          <w:tcPr>
            <w:tcW w:w="12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Estimate</w:t>
            </w:r>
          </w:p>
        </w:tc>
        <w:tc>
          <w:tcPr>
            <w:tcW w:w="27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95% bootstrap CI</w:t>
            </w:r>
          </w:p>
        </w:tc>
        <w:tc>
          <w:tcPr>
            <w:tcW w:w="14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CI excludes 0</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SUB_USE_ACC_low</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0.072</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[0.004, 0.150]</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SUB_all_low</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0.345</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[0.209, 0.483]</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SUB_USE_ACC_mean</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0.124</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[0.073, 0.192]</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SUB_all_mean</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0.397</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[0.275, 0.525]</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SUB_USE_ACC_high</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0.176</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[0.098, 0.278]</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SUB_all_high</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0.449</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[0.318, 0.589]</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imm_COE_SYM</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0.061</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[0.024, 0.116]</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imm_COE_SUB</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0.016</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[0.002, 0.039]</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imm_NOR_SUB</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0.020</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[0.003, 0.045]</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imm_MIM_SUB</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0.004</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[−0.003, 0.014]</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No</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imm_SUB_ACC</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0.052</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[0.007, 0.117]</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std_COE_tot</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0.034</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[−0.043, 0.114]</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No</w:t>
            </w:r>
          </w:p>
        </w:tc>
      </w:tr>
      <w:tr>
        <w:trPr>
          <w:cantSplit w:val="true"/>
        </w:trPr>
        <w:tc>
          <w:tcPr>
            <w:tcW w:w="3099" w:type="dxa"/>
            <w:tcBorders/>
            <w:vAlign w:val="center"/>
          </w:tcPr>
          <w:p>
            <w:pPr>
              <w:pStyle w:val="Normal"/>
              <w:spacing w:lineRule="auto" w:line="240" w:before="30" w:after="30"/>
              <w:jc w:val="left"/>
              <w:rPr/>
            </w:pPr>
            <w:r>
              <w:rPr>
                <w:rFonts w:eastAsia="Times New Roman" w:cs="Times New Roman"/>
                <w:sz w:val="17"/>
                <w:szCs w:val="17"/>
                <w:lang w:val="en-US" w:bidi="fa-IR"/>
              </w:rPr>
              <w:t>std_NOR_tot</w:t>
            </w:r>
          </w:p>
        </w:tc>
        <w:tc>
          <w:tcPr>
            <w:tcW w:w="1200" w:type="dxa"/>
            <w:tcBorders/>
            <w:vAlign w:val="center"/>
          </w:tcPr>
          <w:p>
            <w:pPr>
              <w:pStyle w:val="Normal"/>
              <w:spacing w:lineRule="auto" w:line="240" w:before="30" w:after="30"/>
              <w:jc w:val="center"/>
              <w:rPr/>
            </w:pPr>
            <w:r>
              <w:rPr>
                <w:rFonts w:eastAsia="Times New Roman" w:cs="Times New Roman"/>
                <w:sz w:val="17"/>
                <w:szCs w:val="17"/>
                <w:lang w:val="en-US" w:bidi="fa-IR"/>
              </w:rPr>
              <w:t>0.205</w:t>
            </w:r>
          </w:p>
        </w:tc>
        <w:tc>
          <w:tcPr>
            <w:tcW w:w="2700" w:type="dxa"/>
            <w:tcBorders/>
            <w:vAlign w:val="center"/>
          </w:tcPr>
          <w:p>
            <w:pPr>
              <w:pStyle w:val="Normal"/>
              <w:spacing w:lineRule="auto" w:line="240" w:before="30" w:after="30"/>
              <w:jc w:val="center"/>
              <w:rPr/>
            </w:pPr>
            <w:r>
              <w:rPr>
                <w:rFonts w:eastAsia="Times New Roman" w:cs="Times New Roman"/>
                <w:sz w:val="17"/>
                <w:szCs w:val="17"/>
                <w:lang w:val="en-US" w:bidi="fa-IR"/>
              </w:rPr>
              <w:t>[0.137, 0.281]</w:t>
            </w:r>
          </w:p>
        </w:tc>
        <w:tc>
          <w:tcPr>
            <w:tcW w:w="1400" w:type="dxa"/>
            <w:tcBorders/>
            <w:vAlign w:val="center"/>
          </w:tcPr>
          <w:p>
            <w:pPr>
              <w:pStyle w:val="Normal"/>
              <w:spacing w:lineRule="auto" w:line="240" w:before="30" w:after="30"/>
              <w:jc w:val="center"/>
              <w:rPr/>
            </w:pPr>
            <w:r>
              <w:rPr>
                <w:rFonts w:eastAsia="Times New Roman" w:cs="Times New Roman"/>
                <w:sz w:val="17"/>
                <w:szCs w:val="17"/>
                <w:lang w:val="en-US" w:bidi="fa-IR"/>
              </w:rPr>
              <w:t>Yes</w:t>
            </w:r>
          </w:p>
        </w:tc>
      </w:tr>
      <w:tr>
        <w:trPr>
          <w:cantSplit w:val="true"/>
        </w:trPr>
        <w:tc>
          <w:tcPr>
            <w:tcW w:w="3099" w:type="dxa"/>
            <w:tcBorders>
              <w:bottom w:val="single" w:sz="8" w:space="0" w:color="000000"/>
            </w:tcBorders>
            <w:vAlign w:val="center"/>
          </w:tcPr>
          <w:p>
            <w:pPr>
              <w:pStyle w:val="Normal"/>
              <w:spacing w:lineRule="auto" w:line="240" w:before="30" w:after="30"/>
              <w:jc w:val="left"/>
              <w:rPr/>
            </w:pPr>
            <w:r>
              <w:rPr>
                <w:rFonts w:eastAsia="Times New Roman" w:cs="Times New Roman"/>
                <w:sz w:val="17"/>
                <w:szCs w:val="17"/>
                <w:lang w:val="en-US" w:bidi="fa-IR"/>
              </w:rPr>
              <w:t>std_MIM_tot</w:t>
            </w:r>
          </w:p>
        </w:tc>
        <w:tc>
          <w:tcPr>
            <w:tcW w:w="12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w:t>
            </w:r>
            <w:r>
              <w:rPr>
                <w:rFonts w:eastAsia="Times New Roman" w:cs="Times New Roman"/>
                <w:sz w:val="17"/>
                <w:szCs w:val="17"/>
                <w:lang w:val="en-US" w:bidi="fa-IR"/>
              </w:rPr>
              <w:t>0.053</w:t>
            </w:r>
          </w:p>
        </w:tc>
        <w:tc>
          <w:tcPr>
            <w:tcW w:w="27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[−0.126, 0.016]</w:t>
            </w:r>
          </w:p>
        </w:tc>
        <w:tc>
          <w:tcPr>
            <w:tcW w:w="14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No</w:t>
            </w:r>
          </w:p>
        </w:tc>
      </w:tr>
    </w:tbl>
    <w:p>
      <w:pPr>
        <w:pStyle w:val="Normal"/>
        <w:spacing w:lineRule="auto" w:line="276" w:before="0" w:after="100"/>
        <w:ind w:firstLine="425"/>
        <w:jc w:val="both"/>
        <w:rPr/>
      </w:pPr>
      <w:r>
        <w:rPr/>
      </w:r>
    </w:p>
    <w:p>
      <w:pPr>
        <w:pStyle w:val="Normal"/>
        <w:keepNext w:val="true"/>
        <w:spacing w:lineRule="auto" w:line="276" w:before="200" w:after="80"/>
        <w:jc w:val="left"/>
        <w:rPr/>
      </w:pPr>
      <w:r>
        <w:rPr>
          <w:rFonts w:eastAsia="Times New Roman" w:cs="Times New Roman"/>
          <w:b/>
          <w:bCs/>
          <w:sz w:val="26"/>
          <w:szCs w:val="26"/>
          <w:lang w:val="en-US" w:bidi="fa-IR"/>
        </w:rPr>
        <w:t>Appendix E. Measurement-model checks and full robustness fit</w:t>
      </w:r>
    </w:p>
    <w:p>
      <w:pPr>
        <w:pStyle w:val="Normal"/>
        <w:keepNext w:val="true"/>
        <w:spacing w:lineRule="auto" w:line="276" w:before="140" w:after="60"/>
        <w:jc w:val="left"/>
        <w:rPr/>
      </w:pPr>
      <w:r>
        <w:rPr>
          <w:rFonts w:eastAsia="Times New Roman" w:cs="Times New Roman"/>
          <w:b/>
          <w:bCs/>
          <w:sz w:val="22"/>
          <w:szCs w:val="22"/>
          <w:lang w:val="en-US" w:bidi="fa-IR"/>
        </w:rPr>
        <w:t>Table E1. Fit statistics across specifications</w:t>
      </w:r>
    </w:p>
    <w:tbl>
      <w:tblPr>
        <w:tblW w:w="8400" w:type="dxa"/>
        <w:jc w:val="center"/>
        <w:tblInd w:w="0" w:type="dxa"/>
        <w:tblLayout w:type="fixed"/>
        <w:tblCellMar>
          <w:top w:w="0" w:type="dxa"/>
          <w:left w:w="60" w:type="dxa"/>
          <w:bottom w:w="0" w:type="dxa"/>
          <w:right w:w="60" w:type="dxa"/>
        </w:tblCellMar>
      </w:tblPr>
      <w:tblGrid>
        <w:gridCol w:w="3400"/>
        <w:gridCol w:w="899"/>
        <w:gridCol w:w="700"/>
        <w:gridCol w:w="801"/>
        <w:gridCol w:w="799"/>
        <w:gridCol w:w="901"/>
        <w:gridCol w:w="899"/>
      </w:tblGrid>
      <w:tr>
        <w:trPr>
          <w:tblHeader w:val="true"/>
        </w:trPr>
        <w:tc>
          <w:tcPr>
            <w:tcW w:w="34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7"/>
                <w:szCs w:val="17"/>
                <w:lang w:val="en-US" w:bidi="fa-IR"/>
              </w:rPr>
              <w:t>Specification</w:t>
            </w:r>
          </w:p>
        </w:tc>
        <w:tc>
          <w:tcPr>
            <w:tcW w:w="8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χ²</w:t>
            </w:r>
          </w:p>
        </w:tc>
        <w:tc>
          <w:tcPr>
            <w:tcW w:w="7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df</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CFI</w:t>
            </w:r>
          </w:p>
        </w:tc>
        <w:tc>
          <w:tcPr>
            <w:tcW w:w="7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TLI</w:t>
            </w:r>
          </w:p>
        </w:tc>
        <w:tc>
          <w:tcPr>
            <w:tcW w:w="9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RMSEA</w:t>
            </w:r>
          </w:p>
        </w:tc>
        <w:tc>
          <w:tcPr>
            <w:tcW w:w="8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7"/>
                <w:szCs w:val="17"/>
                <w:lang w:val="en-US" w:bidi="fa-IR"/>
              </w:rPr>
              <w:t>SRMR</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Eight-factor CFA</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548.1</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499</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0.990</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0.989</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0.017</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0.040</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One-factor CFA</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3921.9</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527</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0.330</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0.287</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0.139</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0.153</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CFA + common latent factor</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471.4</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465</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0.999</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0.998</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0.006</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0.030</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Structural model (baseline)</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921.0</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830</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0.984</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0.982</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0.018</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0.043</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DWLS, no interactions</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363.7</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541</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1.018</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1.020</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0.000</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0.042</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Residual-centred indicators</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847.7</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830</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0.997</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0.997</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0.008</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0.042</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Respecified (4 residual correlations)</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896.9</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826</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0.987</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0.986</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0.016</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0.043</w:t>
            </w:r>
          </w:p>
        </w:tc>
      </w:tr>
      <w:tr>
        <w:trPr>
          <w:cantSplit w:val="true"/>
        </w:trPr>
        <w:tc>
          <w:tcPr>
            <w:tcW w:w="3400" w:type="dxa"/>
            <w:tcBorders/>
            <w:vAlign w:val="center"/>
          </w:tcPr>
          <w:p>
            <w:pPr>
              <w:pStyle w:val="Normal"/>
              <w:spacing w:lineRule="auto" w:line="240" w:before="30" w:after="30"/>
              <w:jc w:val="left"/>
              <w:rPr/>
            </w:pPr>
            <w:r>
              <w:rPr>
                <w:rFonts w:eastAsia="Times New Roman" w:cs="Times New Roman"/>
                <w:sz w:val="17"/>
                <w:szCs w:val="17"/>
                <w:lang w:val="en-US" w:bidi="fa-IR"/>
              </w:rPr>
              <w:t>Trimmed 5%</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943.3</w:t>
            </w:r>
          </w:p>
        </w:tc>
        <w:tc>
          <w:tcPr>
            <w:tcW w:w="700" w:type="dxa"/>
            <w:tcBorders/>
            <w:vAlign w:val="center"/>
          </w:tcPr>
          <w:p>
            <w:pPr>
              <w:pStyle w:val="Normal"/>
              <w:spacing w:lineRule="auto" w:line="240" w:before="30" w:after="30"/>
              <w:jc w:val="center"/>
              <w:rPr/>
            </w:pPr>
            <w:r>
              <w:rPr>
                <w:rFonts w:eastAsia="Times New Roman" w:cs="Times New Roman"/>
                <w:sz w:val="17"/>
                <w:szCs w:val="17"/>
                <w:lang w:val="en-US" w:bidi="fa-IR"/>
              </w:rPr>
              <w:t>830</w:t>
            </w:r>
          </w:p>
        </w:tc>
        <w:tc>
          <w:tcPr>
            <w:tcW w:w="801" w:type="dxa"/>
            <w:tcBorders/>
            <w:vAlign w:val="center"/>
          </w:tcPr>
          <w:p>
            <w:pPr>
              <w:pStyle w:val="Normal"/>
              <w:spacing w:lineRule="auto" w:line="240" w:before="30" w:after="30"/>
              <w:jc w:val="center"/>
              <w:rPr/>
            </w:pPr>
            <w:r>
              <w:rPr>
                <w:rFonts w:eastAsia="Times New Roman" w:cs="Times New Roman"/>
                <w:sz w:val="17"/>
                <w:szCs w:val="17"/>
                <w:lang w:val="en-US" w:bidi="fa-IR"/>
              </w:rPr>
              <w:t>0.979</w:t>
            </w:r>
          </w:p>
        </w:tc>
        <w:tc>
          <w:tcPr>
            <w:tcW w:w="799" w:type="dxa"/>
            <w:tcBorders/>
            <w:vAlign w:val="center"/>
          </w:tcPr>
          <w:p>
            <w:pPr>
              <w:pStyle w:val="Normal"/>
              <w:spacing w:lineRule="auto" w:line="240" w:before="30" w:after="30"/>
              <w:jc w:val="center"/>
              <w:rPr/>
            </w:pPr>
            <w:r>
              <w:rPr>
                <w:rFonts w:eastAsia="Times New Roman" w:cs="Times New Roman"/>
                <w:sz w:val="17"/>
                <w:szCs w:val="17"/>
                <w:lang w:val="en-US" w:bidi="fa-IR"/>
              </w:rPr>
              <w:t>0.978</w:t>
            </w:r>
          </w:p>
        </w:tc>
        <w:tc>
          <w:tcPr>
            <w:tcW w:w="901" w:type="dxa"/>
            <w:tcBorders/>
            <w:vAlign w:val="center"/>
          </w:tcPr>
          <w:p>
            <w:pPr>
              <w:pStyle w:val="Normal"/>
              <w:spacing w:lineRule="auto" w:line="240" w:before="30" w:after="30"/>
              <w:jc w:val="center"/>
              <w:rPr/>
            </w:pPr>
            <w:r>
              <w:rPr>
                <w:rFonts w:eastAsia="Times New Roman" w:cs="Times New Roman"/>
                <w:sz w:val="17"/>
                <w:szCs w:val="17"/>
                <w:lang w:val="en-US" w:bidi="fa-IR"/>
              </w:rPr>
              <w:t>0.021</w:t>
            </w:r>
          </w:p>
        </w:tc>
        <w:tc>
          <w:tcPr>
            <w:tcW w:w="899" w:type="dxa"/>
            <w:tcBorders/>
            <w:vAlign w:val="center"/>
          </w:tcPr>
          <w:p>
            <w:pPr>
              <w:pStyle w:val="Normal"/>
              <w:spacing w:lineRule="auto" w:line="240" w:before="30" w:after="30"/>
              <w:jc w:val="center"/>
              <w:rPr/>
            </w:pPr>
            <w:r>
              <w:rPr>
                <w:rFonts w:eastAsia="Times New Roman" w:cs="Times New Roman"/>
                <w:sz w:val="17"/>
                <w:szCs w:val="17"/>
                <w:lang w:val="en-US" w:bidi="fa-IR"/>
              </w:rPr>
              <w:t>0.045</w:t>
            </w:r>
          </w:p>
        </w:tc>
      </w:tr>
      <w:tr>
        <w:trPr>
          <w:cantSplit w:val="true"/>
        </w:trPr>
        <w:tc>
          <w:tcPr>
            <w:tcW w:w="3400" w:type="dxa"/>
            <w:tcBorders>
              <w:bottom w:val="single" w:sz="8" w:space="0" w:color="000000"/>
            </w:tcBorders>
            <w:vAlign w:val="center"/>
          </w:tcPr>
          <w:p>
            <w:pPr>
              <w:pStyle w:val="Normal"/>
              <w:spacing w:lineRule="auto" w:line="240" w:before="30" w:after="30"/>
              <w:jc w:val="left"/>
              <w:rPr/>
            </w:pPr>
            <w:r>
              <w:rPr>
                <w:rFonts w:eastAsia="Times New Roman" w:cs="Times New Roman"/>
                <w:sz w:val="17"/>
                <w:szCs w:val="17"/>
                <w:lang w:val="en-US" w:bidi="fa-IR"/>
              </w:rPr>
              <w:t>Experienced subsample</w:t>
            </w:r>
          </w:p>
        </w:tc>
        <w:tc>
          <w:tcPr>
            <w:tcW w:w="8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972.3</w:t>
            </w:r>
          </w:p>
        </w:tc>
        <w:tc>
          <w:tcPr>
            <w:tcW w:w="700"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830</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0.965</w:t>
            </w:r>
          </w:p>
        </w:tc>
        <w:tc>
          <w:tcPr>
            <w:tcW w:w="7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0.961</w:t>
            </w:r>
          </w:p>
        </w:tc>
        <w:tc>
          <w:tcPr>
            <w:tcW w:w="901"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0.027</w:t>
            </w:r>
          </w:p>
        </w:tc>
        <w:tc>
          <w:tcPr>
            <w:tcW w:w="899" w:type="dxa"/>
            <w:tcBorders>
              <w:bottom w:val="single" w:sz="8" w:space="0" w:color="000000"/>
            </w:tcBorders>
            <w:vAlign w:val="center"/>
          </w:tcPr>
          <w:p>
            <w:pPr>
              <w:pStyle w:val="Normal"/>
              <w:spacing w:lineRule="auto" w:line="240" w:before="30" w:after="30"/>
              <w:jc w:val="center"/>
              <w:rPr/>
            </w:pPr>
            <w:r>
              <w:rPr>
                <w:rFonts w:eastAsia="Times New Roman" w:cs="Times New Roman"/>
                <w:sz w:val="17"/>
                <w:szCs w:val="17"/>
                <w:lang w:val="en-US" w:bidi="fa-IR"/>
              </w:rPr>
              <w:t>0.051</w:t>
            </w:r>
          </w:p>
        </w:tc>
      </w:tr>
    </w:tbl>
    <w:p>
      <w:pPr>
        <w:pStyle w:val="Normal"/>
        <w:spacing w:lineRule="auto" w:line="276" w:before="0" w:after="100"/>
        <w:ind w:firstLine="425"/>
        <w:jc w:val="both"/>
        <w:rPr/>
      </w:pPr>
      <w:r>
        <w:rPr/>
      </w:r>
    </w:p>
    <w:sectPr>
      <w:footerReference w:type="even" r:id="rId13"/>
      <w:footerReference w:type="default" r:id="rId14"/>
      <w:footerReference w:type="first" r:id="rId15"/>
      <w:type w:val="nextPage"/>
      <w:pgSz w:w="11906" w:h="16838"/>
      <w:pgMar w:left="1417" w:right="1417" w:gutter="0" w:header="0" w:top="1417" w:footer="708"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view w:val="print"/>
  <w:zoom w:percent="100"/>
  <w:defaultTabStop w:val="720"/>
  <w:autoHyphenation w:val="true"/>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Times New Roman"/>
        <w:sz w:val="24"/>
        <w:szCs w:val="24"/>
        <w:lang w:val="en-US" w:eastAsia="zh-CN" w:bidi="fa-IR"/>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WenQuanYi Zen Hei" w:cs="Times New Roman"/>
      <w:color w:val="auto"/>
      <w:kern w:val="0"/>
      <w:sz w:val="24"/>
      <w:szCs w:val="24"/>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Form or Substance? Institutional Pressures and Accountability in Public-Sector Financial Reforms</dc:title>
</cp:coreProperties>
</file>