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20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4"/>
          <w:sz w:val="24"/>
          <w:szCs w:val="24"/>
          <w:rtl w:val="true"/>
          <w:lang w:val="en-US" w:bidi="fa-IR"/>
        </w:rPr>
        <w:t>پرسشنامهٔ پژوهش</w:t>
      </w:r>
      <w:r>
        <w:rPr>
          <w:rFonts w:eastAsia="Times New Roman" w:cs="B Titr"/>
          <w:b/>
          <w:bCs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 w:cs="B Titr"/>
          <w:b/>
          <w:b/>
          <w:bCs/>
          <w:sz w:val="24"/>
          <w:sz w:val="24"/>
          <w:szCs w:val="24"/>
          <w:rtl w:val="true"/>
          <w:lang w:val="en-US" w:bidi="fa-IR"/>
        </w:rPr>
        <w:t>فشارهای نهادی، اجرای ماهوی و انطباق نمادین، سودمندی اطلاعات و پاسخگویی مالی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راهنما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لطفاً میزان موافقت خود را با هر عبارت دربارهٔ دستگاه محل خدمت خود مشخص کنید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مخالف،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۳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نظری ندارم،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۴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موافق،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پاسخ‌ها محرمانه است و صرفاً به‌صورت تجمیعی گزارش می‌شود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بخش الف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ویژگی‌های جمعیت‌شناختی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۱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>پرسش‌های جمعیت‌شناختی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00"/>
        <w:gridCol w:w="8099"/>
      </w:tblGrid>
      <w:tr>
        <w:trPr>
          <w:tblHeader w:val="true"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کد</w:t>
            </w:r>
          </w:p>
        </w:tc>
        <w:tc>
          <w:tcPr>
            <w:tcW w:w="80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2"/>
                <w:sz w:val="22"/>
                <w:szCs w:val="22"/>
                <w:rtl w:val="true"/>
                <w:lang w:val="en-US" w:bidi="fa-IR"/>
              </w:rPr>
              <w:t>پرسش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۱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نوع دستگاه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وزارتخانه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/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سازمان ملی؛ دانشگاه و مراکز بهداشتی‌درمانی؛ شهرداری و نهادهای محلی؛ ادارات کل استانی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۲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سمت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مدیر مالی؛ ذی‌حساب؛ کارشناس بودجه؛ حسابدار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/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حسابرس داخلی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۳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سابقهٔ کار در بخش عمومی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سال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۴</w:t>
            </w:r>
          </w:p>
        </w:tc>
        <w:tc>
          <w:tcPr>
            <w:tcW w:w="80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 xml:space="preserve">سن 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سال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2"/>
                <w:szCs w:val="22"/>
                <w:lang w:val="en-US" w:bidi="fa-IR"/>
              </w:rPr>
              <w:t>D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lang w:val="en-US" w:bidi="fa-IR"/>
              </w:rPr>
              <w:t>۵</w:t>
            </w:r>
          </w:p>
        </w:tc>
        <w:tc>
          <w:tcPr>
            <w:tcW w:w="80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تحصیلات</w:t>
            </w:r>
            <w:r>
              <w:rPr>
                <w:rFonts w:eastAsia="Times New Roman" w:cs="B Nazanin"/>
                <w:sz w:val="22"/>
                <w:szCs w:val="22"/>
                <w:rtl w:val="true"/>
                <w:lang w:val="en-US" w:bidi="fa-IR"/>
              </w:rPr>
              <w:t xml:space="preserve">: </w:t>
            </w:r>
            <w:r>
              <w:rPr>
                <w:rFonts w:ascii="Times New Roman" w:hAnsi="Times New Roman" w:eastAsia="Times New Roman"/>
                <w:sz w:val="22"/>
                <w:sz w:val="22"/>
                <w:szCs w:val="22"/>
                <w:rtl w:val="true"/>
                <w:lang w:val="en-US" w:bidi="fa-IR"/>
              </w:rPr>
              <w:t>دیپلم و کمتر؛ کارشناسی؛ کارشناسی ارشد؛ دکتری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بخش ب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گویه‌ها، منشأ مقیاس و منابع هر متغیر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۲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خلاصهٔ منشأ هر سازه 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>(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>محقق‌ساخته یا پژوهش‌محور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>و منابع آن</w:t>
      </w:r>
    </w:p>
    <w:tbl>
      <w:tblPr>
        <w:bidiVisual w:val="true"/>
        <w:tblW w:w="900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700"/>
        <w:gridCol w:w="2000"/>
        <w:gridCol w:w="600"/>
        <w:gridCol w:w="2000"/>
        <w:gridCol w:w="3700"/>
      </w:tblGrid>
      <w:tr>
        <w:trPr>
          <w:tblHeader w:val="true"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نماد</w:t>
            </w:r>
          </w:p>
        </w:tc>
        <w:tc>
          <w:tcPr>
            <w:tcW w:w="2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2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منشأ</w:t>
            </w:r>
          </w:p>
        </w:tc>
        <w:tc>
          <w:tcPr>
            <w:tcW w:w="3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منابع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COE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فشار الزامی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قانونی و فرادستی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6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پژوهش‌محور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اقتباس‌شده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دی‌ماجیو و پاول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۱۹۸۳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تئو، وی و بنباسات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اسکات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۲۰۱۴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NOR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فشار هنجاری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حرفه‌ای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6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پژوهش‌محور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اقتباس‌شده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دی‌ماجیو و پاول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۱۹۸۳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تئو، وی و بنباسات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اسکات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۲۰۱۴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MIM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فشار تقلیدی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الگوبرداری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6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پژوهش‌محور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اقتباس‌شده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دی‌ماجیو و پاول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۱۹۸۳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تئو، وی و بنباسات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الیور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۱۹۹۱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SUB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اجرای ماهوی اصلاحات</w:t>
            </w:r>
          </w:p>
        </w:tc>
        <w:tc>
          <w:tcPr>
            <w:tcW w:w="6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۵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پولیت و بوکارت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۲۰۱۷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موینیهان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۲۰۰۸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کریستین‌س و همکاران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۲۰۱۵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پینا، تورس و یتانو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۲۰۰۹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SYM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انطباق نمادین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تشریفاتی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6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مایر و روان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۱۹۷۷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برومیلی و پاول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۲۰۱۲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الیور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۱۹۹۱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مودل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۲۰۰۹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DIG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بلوغ نظام اطلاعاتی مالی</w:t>
            </w:r>
          </w:p>
        </w:tc>
        <w:tc>
          <w:tcPr>
            <w:tcW w:w="6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ترکیبی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بخشی اقتباس‌شده، بخشی محقق‌ساخته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دلون و مک‌لین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دان‌لیوی و همکاران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۲۰۰۶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USE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سودمندی اطلاعات گزارش‌شده برای تصمیم</w:t>
            </w:r>
          </w:p>
        </w:tc>
        <w:tc>
          <w:tcPr>
            <w:tcW w:w="6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ترکیبی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بخشی اقتباس‌شده، بخشی محقق‌ساخته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موینیهان و پاندی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۲۰۱۰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کرول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۲۰۱۵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دلون و مک‌لین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۲۰۰۳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cantSplit w:val="true"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ACC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پاسخگویی مالی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۵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محقق‌ساخته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برگرفته از نظریه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37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بوونس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۲۰۰۷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براچی، همفری، مول و استچولینی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۲۰۱۵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؛ مور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۱۹۹۵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)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فشار الزامی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قانونی و فرادستی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 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COE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پژوهش‌محور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اقتباس‌شده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سازه و منطق گویه‌ها از طبقه‌بندی دی‌ماجیو و پاول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۱۹۸۳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مقیاس‌های نهادی تئو و همکاران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۲۰۰۳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 و به بافت بودجه‌ریزی عملیاتی و گزارشگری تعهدی بازنویسی شده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۳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COE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COE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قوانین و مقررات بالادستی، دستگاه ما را به اجرای مبنای تعهدی و بودجه‌ریزی عملیاتی ملزم کرده‌اند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COE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نهادهای نظارتی و دستگاه‌های فرادست بر اجرای این اصلاحات نظارت جدی دارند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COE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اجرا‌نکردن این اصلاحات پیامدهای قانونی یا اداری برای دستگاه دارد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COE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دستورالعمل‌ها و بخشنامه‌های ابلاغی شیوهٔ اجرای اصلاحات را به‌دقت تعیین می‌کنند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DiMaggio, P. J., &amp; Powell, W. W. (1983). The iron cage revisited: Institutional isomorphism and collective rationality in organizational fields.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American Sociological Review, 48</w:t>
      </w:r>
      <w:r>
        <w:rPr>
          <w:rFonts w:eastAsia="Times New Roman" w:cs="Times New Roman"/>
          <w:sz w:val="22"/>
          <w:szCs w:val="22"/>
          <w:lang w:val="en-US" w:bidi="fa-IR"/>
        </w:rPr>
        <w:t>(2), 147–160. https://doi.org/10.2307/2095101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Teo, H. H., Wei, K. K., &amp; Benbasat, I. (2003). Predicting intention to adopt interorganizational linkages: An institutional perspective.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MIS Quarterly, 27</w:t>
      </w:r>
      <w:r>
        <w:rPr>
          <w:rFonts w:eastAsia="Times New Roman" w:cs="Times New Roman"/>
          <w:sz w:val="22"/>
          <w:szCs w:val="22"/>
          <w:lang w:val="en-US" w:bidi="fa-IR"/>
        </w:rPr>
        <w:t>(1), 19–49. https://doi.org/10.2307/30036518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Scott, W. R. (2014).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Institutions and organizations: Ideas, interests, and identities</w:t>
      </w:r>
      <w:r>
        <w:rPr>
          <w:rFonts w:eastAsia="Times New Roman" w:cs="Times New Roman"/>
          <w:sz w:val="22"/>
          <w:szCs w:val="22"/>
          <w:lang w:val="en-US" w:bidi="fa-IR"/>
        </w:rPr>
        <w:t xml:space="preserve"> (4th ed.). Thousand Oaks, CA: Sage</w:t>
      </w:r>
      <w:r>
        <w:rPr>
          <w:rFonts w:eastAsia="Times New Roman" w:cs="Times New Roman"/>
          <w:sz w:val="22"/>
          <w:szCs w:val="22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فشار هنجاری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حرفه‌ای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 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NOR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پژوهش‌محور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اقتباس‌شده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 از همان منابع؛ گویه‌ها بر جامعهٔ حرفه‌ای، آموزش و هنجارهای همکاران تمرکز دارند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۴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NOR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NOR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جامعهٔ حرفه‌ای حسابداری و حسابرسی دولتی، اجرای مبنای تعهدی را یک هنجار حرفه‌ای می‌داند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NOR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دوره‌های آموزشی و گردهمایی‌های حرفه‌ای، اجرای این اصلاحات را ترویج می‌کنند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NOR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همکاران و ذی‌حسابان باتجربه، اجرای دقیق این اصلاحات را یک ارزش حرفه‌ای می‌دانند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NOR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در مجامع علمی و حرفه‌ای، پیروی از استانداردهای حسابداری بخش عمومی امری مطلوب شمرده می‌شود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DiMaggio, P. J., &amp; Powell, W. W. (1983). The iron cage revisited: Institutional isomorphism and collective rationality in organizational fields.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American Sociological Review, 48</w:t>
      </w:r>
      <w:r>
        <w:rPr>
          <w:rFonts w:eastAsia="Times New Roman" w:cs="Times New Roman"/>
          <w:sz w:val="22"/>
          <w:szCs w:val="22"/>
          <w:lang w:val="en-US" w:bidi="fa-IR"/>
        </w:rPr>
        <w:t>(2), 147–160. https://doi.org/10.2307/2095101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Teo, H. H., Wei, K. K., &amp; Benbasat, I. (2003). Predicting intention to adopt interorganizational linkages: An institutional perspective.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MIS Quarterly, 27</w:t>
      </w:r>
      <w:r>
        <w:rPr>
          <w:rFonts w:eastAsia="Times New Roman" w:cs="Times New Roman"/>
          <w:sz w:val="22"/>
          <w:szCs w:val="22"/>
          <w:lang w:val="en-US" w:bidi="fa-IR"/>
        </w:rPr>
        <w:t>(1), 19–49. https://doi.org/10.2307/30036518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Scott, W. R. (2014).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Institutions and organizations: Ideas, interests, and identities</w:t>
      </w:r>
      <w:r>
        <w:rPr>
          <w:rFonts w:eastAsia="Times New Roman" w:cs="Times New Roman"/>
          <w:sz w:val="22"/>
          <w:szCs w:val="22"/>
          <w:lang w:val="en-US" w:bidi="fa-IR"/>
        </w:rPr>
        <w:t xml:space="preserve"> (4th ed.). Thousand Oaks, CA: Sage</w:t>
      </w:r>
      <w:r>
        <w:rPr>
          <w:rFonts w:eastAsia="Times New Roman" w:cs="Times New Roman"/>
          <w:sz w:val="22"/>
          <w:szCs w:val="22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فشار تقلیدی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الگوبرداری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 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MIM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پژوهش‌محور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اقتباس‌شده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 از همان منابع با بازنویسی برای الگوبرداری از دستگاه‌های همتا و قالب‌های آمادهٔ مشاوران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/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نرم‌افزارها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۵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MIM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MIM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دستگاه‌های مشابهِ موفق این اصلاحات را اجرا کرده‌اند و ما از الگوی آنان پیروی می‌کنیم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MIM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هرگاه دربارهٔ شیوهٔ اجرا ابهام داشته باشیم، روش دستگاه‌های همتا را الگو قرار می‌دهیم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MIM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بیشتر از قالب‌ها و گزارش‌های آمادهٔ مشاوران یا نرم‌افزارهای رایج استفاده می‌کنیم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MIM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نگرانیم اگر مانند سایر دستگاه‌ها عمل نکنیم، عقب‌مانده تلقی شویم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DiMaggio, P. J., &amp; Powell, W. W. (1983). The iron cage revisited: Institutional isomorphism and collective rationality in organizational fields.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American Sociological Review, 48</w:t>
      </w:r>
      <w:r>
        <w:rPr>
          <w:rFonts w:eastAsia="Times New Roman" w:cs="Times New Roman"/>
          <w:sz w:val="22"/>
          <w:szCs w:val="22"/>
          <w:lang w:val="en-US" w:bidi="fa-IR"/>
        </w:rPr>
        <w:t>(2), 147–160. https://doi.org/10.2307/2095101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Teo, H. H., Wei, K. K., &amp; Benbasat, I. (2003). Predicting intention to adopt interorganizational linkages: An institutional perspective.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MIS Quarterly, 27</w:t>
      </w:r>
      <w:r>
        <w:rPr>
          <w:rFonts w:eastAsia="Times New Roman" w:cs="Times New Roman"/>
          <w:sz w:val="22"/>
          <w:szCs w:val="22"/>
          <w:lang w:val="en-US" w:bidi="fa-IR"/>
        </w:rPr>
        <w:t>(1), 19–49. https://doi.org/10.2307/30036518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Oliver, C. (1991). Strategic responses to institutional processes.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Academy of Management Review, 16</w:t>
      </w:r>
      <w:r>
        <w:rPr>
          <w:rFonts w:eastAsia="Times New Roman" w:cs="Times New Roman"/>
          <w:sz w:val="22"/>
          <w:szCs w:val="22"/>
          <w:lang w:val="en-US" w:bidi="fa-IR"/>
        </w:rPr>
        <w:t>(1), 145–179. https://doi.org/10.5465/amr.1991.4279002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اجرای ماهوی اصلاحات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SUB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مقیاس پیش‌تر منتشرشده‌ای که هم بودجه‌ریزی عملیاتی و هم گزارشگری تعهدی را به‌صورت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به‌کارگیری در تصمیم‌گیری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بسنجد یافت نشد؛ گویه‌ها بر پایهٔ ادبیات اصلاحات بخش عمومی نوشته شده‌اند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۶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SUB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SUB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ارقام بودجه‌ای دستگاه بر پایهٔ برنامه‌ها و شاخص‌های عملکردی تدوین می‌شود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SUB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دستگاه بهای تمام‌شدهٔ فعالیت‌ها و خدمات را محاسبه می‌کند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SUB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صورت‌های مالی تعهدی به‌طور منظم و با فرایند کنترلی مشخص تهیه می‌شود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SUB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گزارش‌های مالی و عملکردی در جلسات مدیریتی بررسی می‌شود و اقدام اصلاحی بر پایهٔ آن‌ها انجام می‌گیرد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SUB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۵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کارکنان مالی و مدیران برنامه مفاهیم این اصلاحات را درک می‌کنند و در کار روزمره به‌کار می‌گیرند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Pollitt, C., &amp; Bouckaert, G. (2017).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Public management reform: A comparative analysis – into the age of austerity</w:t>
      </w:r>
      <w:r>
        <w:rPr>
          <w:rFonts w:eastAsia="Times New Roman" w:cs="Times New Roman"/>
          <w:sz w:val="22"/>
          <w:szCs w:val="22"/>
          <w:lang w:val="en-US" w:bidi="fa-IR"/>
        </w:rPr>
        <w:t xml:space="preserve"> (4th ed.). Oxford, UK: Oxford University Press</w:t>
      </w:r>
      <w:r>
        <w:rPr>
          <w:rFonts w:eastAsia="Times New Roman" w:cs="Times New Roman"/>
          <w:sz w:val="22"/>
          <w:szCs w:val="22"/>
          <w:rtl w:val="true"/>
          <w:lang w:val="en-US" w:bidi="fa-IR"/>
        </w:rPr>
        <w:t>.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Moynihan, D. P. (2008).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The dynamics of performance management: Constructing information and reform</w:t>
      </w:r>
      <w:r>
        <w:rPr>
          <w:rFonts w:eastAsia="Times New Roman" w:cs="Times New Roman"/>
          <w:sz w:val="22"/>
          <w:szCs w:val="22"/>
          <w:lang w:val="en-US" w:bidi="fa-IR"/>
        </w:rPr>
        <w:t>. Washington, DC: Georgetown University Press</w:t>
      </w:r>
      <w:r>
        <w:rPr>
          <w:rFonts w:eastAsia="Times New Roman" w:cs="Times New Roman"/>
          <w:sz w:val="22"/>
          <w:szCs w:val="22"/>
          <w:rtl w:val="true"/>
          <w:lang w:val="en-US" w:bidi="fa-IR"/>
        </w:rPr>
        <w:t>.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Christiaens, J., Vanhee, C., Manes-Rossi, F., Aversano, N., &amp; Van Cauwenberge, P. (2015). The effect of IPSAS on reforming governmental financial reporting: An international comparison.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International Review of Administrative Sciences, 81</w:t>
      </w:r>
      <w:r>
        <w:rPr>
          <w:rFonts w:eastAsia="Times New Roman" w:cs="Times New Roman"/>
          <w:sz w:val="22"/>
          <w:szCs w:val="22"/>
          <w:lang w:val="en-US" w:bidi="fa-IR"/>
        </w:rPr>
        <w:t>(1), 158–177. https://doi.org/10.1177/0020852314546580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Pina, V., Torres, L., &amp; Yetano, A. (2009). Accrual accounting in EU local governments: One method, several approaches.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European Accounting Review, 18</w:t>
      </w:r>
      <w:r>
        <w:rPr>
          <w:rFonts w:eastAsia="Times New Roman" w:cs="Times New Roman"/>
          <w:sz w:val="22"/>
          <w:szCs w:val="22"/>
          <w:lang w:val="en-US" w:bidi="fa-IR"/>
        </w:rPr>
        <w:t>(4), 765–807. https://doi.org/10.1080/09638180902863792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انطباق نمادین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تشریفاتی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 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SYM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سازه از نظریهٔ جدایی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decoupling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و پذیرش تشریفاتی برگرفته است؛ گویه‌ها توسط پژوهشگر نوشته شده و نیازمند اعتبارسنجی‌اند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۷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SYM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SYM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بیشتر گزارش‌های بودجهٔ عملیاتی صرفاً برای ارسال به مراجع فرادست تهیه می‌شود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SYM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شاخص‌های عملکردی به‌گونه‌ای تعیین می‌شوند که به‌آسانی محقق شوند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SYM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اجرای رسمی این اصلاحات در عمل بر نحوهٔ تخصیص و مصرف منابع تأثیری ندارد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SYM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اطلاعات تعهدی بیشتر برای تکمیل فرم‌ها و رعایت الزامات تنظیم می‌شود تا برای مدیریت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Meyer, J. W., &amp; Rowan, B. (1977). Institutionalized organizations: Formal structure as myth and ceremony.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American Journal of Sociology, 83</w:t>
      </w:r>
      <w:r>
        <w:rPr>
          <w:rFonts w:eastAsia="Times New Roman" w:cs="Times New Roman"/>
          <w:sz w:val="22"/>
          <w:szCs w:val="22"/>
          <w:lang w:val="en-US" w:bidi="fa-IR"/>
        </w:rPr>
        <w:t>(2), 340–363. https://doi.org/10.1086/226550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Bromley, P., &amp; Powell, W. W. (2012). From smoke and mirrors to walking the talk: Decoupling in the contemporary world.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Academy of Management Annals, 6</w:t>
      </w:r>
      <w:r>
        <w:rPr>
          <w:rFonts w:eastAsia="Times New Roman" w:cs="Times New Roman"/>
          <w:sz w:val="22"/>
          <w:szCs w:val="22"/>
          <w:lang w:val="en-US" w:bidi="fa-IR"/>
        </w:rPr>
        <w:t>(1), 483–530. https://doi.org/10.5465/19416520.2012.684462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Oliver, C. (1991). Strategic responses to institutional processes.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Academy of Management Review, 16</w:t>
      </w:r>
      <w:r>
        <w:rPr>
          <w:rFonts w:eastAsia="Times New Roman" w:cs="Times New Roman"/>
          <w:sz w:val="22"/>
          <w:szCs w:val="22"/>
          <w:lang w:val="en-US" w:bidi="fa-IR"/>
        </w:rPr>
        <w:t>(1), 145–179. https://doi.org/10.5465/amr.1991.4279002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Modell, S. (2009). Institutional research on performance measurement and management in the public sector accounting literature: A review and assessment.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Financial Accountability &amp; Management, 25</w:t>
      </w:r>
      <w:r>
        <w:rPr>
          <w:rFonts w:eastAsia="Times New Roman" w:cs="Times New Roman"/>
          <w:sz w:val="22"/>
          <w:szCs w:val="22"/>
          <w:lang w:val="en-US" w:bidi="fa-IR"/>
        </w:rPr>
        <w:t>(3), 277–303. https://doi.org/10.1111/j.1468-0408.2009.00478.x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بلوغ نظام اطلاعاتی مالی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DIG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ترکیبی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بخشی اقتباس‌شده، بخشی محقق‌ساخته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ابعاد کیفیت سیستم و اطلاعات از مدل دلون و مک‌لین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۲۰۰۳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اقتباس و گویه‌های یکپارچگی، برخط‌بودن و ردپای حسابرسی را پژوهشگر افزوده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۸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DIG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DIG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سامانه‌های مالی دستگاه یکپارچه‌اند و داده‌ها بدون ورود مجدد منتقل می‌شوند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DIG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اطلاعات مالی و عملکردی به‌صورت برخط در دسترس مدیران است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DIG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سامانه‌ها ردپای ثبت و تغییرات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حسابرسی‌پذیری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را حفظ می‌کنند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DIG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کارکنان آموزش لازم برای استفادهٔ بهینه از سامانه‌ها را دیده‌اند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DeLone, W. H., &amp; McLean, E. R. (2003). The DeLone and McLean model of information systems success: A ten-year update.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Journal of Management Information Systems, 19</w:t>
      </w:r>
      <w:r>
        <w:rPr>
          <w:rFonts w:eastAsia="Times New Roman" w:cs="Times New Roman"/>
          <w:sz w:val="22"/>
          <w:szCs w:val="22"/>
          <w:lang w:val="en-US" w:bidi="fa-IR"/>
        </w:rPr>
        <w:t>(4), 9–30. https://doi.org/10.1080/07421222.2003.11045748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Dunleavy, P., Margetts, H., Bastow, S., &amp; Tinkler, J. (2006). New public management is dead—long live digital-era governance.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Journal of Public Administration Research and Theory, 16</w:t>
      </w:r>
      <w:r>
        <w:rPr>
          <w:rFonts w:eastAsia="Times New Roman" w:cs="Times New Roman"/>
          <w:sz w:val="22"/>
          <w:szCs w:val="22"/>
          <w:lang w:val="en-US" w:bidi="fa-IR"/>
        </w:rPr>
        <w:t>(3), 467–494. https://doi.org/10.1093/jopart/mui057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سودمندی اطلاعات گزارش‌شده برای تصمیم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USE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ترکیبی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بخشی اقتباس‌شده، بخشی محقق‌ساخته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مفهوم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«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استفاده از اطلاعات عملکرد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»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از موینیهان و پاندی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۲۰۱۰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کرول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۲۰۱۵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اقتباس و برای اطلاعات مالی تعهدی بازنویسی شده است؛ گویه‌های </w:t>
      </w:r>
      <w:r>
        <w:rPr>
          <w:rFonts w:eastAsia="Times New Roman" w:cs="B Nazanin"/>
          <w:sz w:val="24"/>
          <w:szCs w:val="24"/>
          <w:lang w:val="en-US" w:bidi="fa-IR"/>
        </w:rPr>
        <w:t>USE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۳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و </w:t>
      </w:r>
      <w:r>
        <w:rPr>
          <w:rFonts w:eastAsia="Times New Roman" w:cs="B Nazanin"/>
          <w:sz w:val="24"/>
          <w:szCs w:val="24"/>
          <w:lang w:val="en-US" w:bidi="fa-IR"/>
        </w:rPr>
        <w:t>USE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۴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محقق‌ساخته‌اند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۹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USE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USE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اطلاعات گزارش‌شده مبنای تصمیم‌های مدیریتی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تخصیص و اولویت‌بندی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در دستگاه است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USE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گزارش‌ها به‌موقع و قابل‌فهم‌اند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USE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اطلاعات تعهدی نسبت به مبنای نقدی تصویر کامل‌تری از وضعیت مالی دستگاه ارائه می‌دهد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USE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اطلاعات گزارش‌شده برای ارزیابی کارایی و اثربخشی برنامه‌ها قابل‌اتکاست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Moynihan, D. P., &amp; Pandey, S. K. (2010). The big question for performance management: Why do managers use performance information?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Journal of Public Administration Research and Theory, 20</w:t>
      </w:r>
      <w:r>
        <w:rPr>
          <w:rFonts w:eastAsia="Times New Roman" w:cs="Times New Roman"/>
          <w:sz w:val="22"/>
          <w:szCs w:val="22"/>
          <w:lang w:val="en-US" w:bidi="fa-IR"/>
        </w:rPr>
        <w:t>(4), 849–866. https://doi.org/10.1093/jopart/muq004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Kroll, A. (2015). Drivers of performance information use: Systematic literature review and directions for future research.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Public Performance &amp; Management Review, 38</w:t>
      </w:r>
      <w:r>
        <w:rPr>
          <w:rFonts w:eastAsia="Times New Roman" w:cs="Times New Roman"/>
          <w:sz w:val="22"/>
          <w:szCs w:val="22"/>
          <w:lang w:val="en-US" w:bidi="fa-IR"/>
        </w:rPr>
        <w:t>(3), 459–486. https://doi.org/10.1080/15309576.2015.1006469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DeLone, W. H., &amp; McLean, E. R. (2003). The DeLone and McLean model of information systems success: A ten-year update.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Journal of Management Information Systems, 19</w:t>
      </w:r>
      <w:r>
        <w:rPr>
          <w:rFonts w:eastAsia="Times New Roman" w:cs="Times New Roman"/>
          <w:sz w:val="22"/>
          <w:szCs w:val="22"/>
          <w:lang w:val="en-US" w:bidi="fa-IR"/>
        </w:rPr>
        <w:t>(4), 9–30. https://doi.org/10.1080/07421222.2003.11045748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 xml:space="preserve">پاسخگویی مالی 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b/>
          <w:bCs/>
          <w:sz w:val="24"/>
          <w:szCs w:val="24"/>
          <w:lang w:val="en-US" w:bidi="fa-IR"/>
        </w:rPr>
        <w:t>ACC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)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منشأ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محقق‌ساخته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برگرفته از نظریه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مقیاس پاسخ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لیکرت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‌درجه‌ای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کاملاً مخالف …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۵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=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کاملاً موافق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توضیح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ابعاد اطلاع‌رسانی، توجیه، و پیامد از چارچوب پاسخگویی بوونس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۲۰۰۷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استخراج شده و گویه‌ها محقق‌ساخته‌اند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20" w:after="6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جدول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lang w:val="en-US" w:bidi="fa-IR"/>
        </w:rPr>
        <w:t>۱۰</w:t>
      </w:r>
      <w:r>
        <w:rPr>
          <w:rFonts w:eastAsia="Times New Roman" w:cs="B Titr"/>
          <w:b/>
          <w:bCs/>
          <w:sz w:val="20"/>
          <w:szCs w:val="20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 w:cs="B Titr"/>
          <w:b/>
          <w:b/>
          <w:bCs/>
          <w:sz w:val="20"/>
          <w:sz w:val="20"/>
          <w:szCs w:val="20"/>
          <w:rtl w:val="true"/>
          <w:lang w:val="en-US" w:bidi="fa-IR"/>
        </w:rPr>
        <w:t xml:space="preserve">گویه‌های </w:t>
      </w:r>
      <w:r>
        <w:rPr>
          <w:rFonts w:eastAsia="Times New Roman" w:cs="B Titr"/>
          <w:b/>
          <w:bCs/>
          <w:sz w:val="20"/>
          <w:szCs w:val="20"/>
          <w:lang w:val="en-US" w:bidi="fa-IR"/>
        </w:rPr>
        <w:t>ACC</w:t>
      </w:r>
    </w:p>
    <w:tbl>
      <w:tblPr>
        <w:bidiVisual w:val="true"/>
        <w:tblW w:w="8950" w:type="dxa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699"/>
        <w:gridCol w:w="6000"/>
        <w:gridCol w:w="451"/>
        <w:gridCol w:w="450"/>
        <w:gridCol w:w="449"/>
        <w:gridCol w:w="450"/>
        <w:gridCol w:w="450"/>
      </w:tblGrid>
      <w:tr>
        <w:trPr>
          <w:tblHeader w:val="true"/>
        </w:trPr>
        <w:tc>
          <w:tcPr>
            <w:tcW w:w="69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rtl w:val="true"/>
                <w:lang w:val="en-US" w:bidi="fa-IR"/>
              </w:rPr>
              <w:t>گویه</w:t>
            </w:r>
          </w:p>
        </w:tc>
        <w:tc>
          <w:tcPr>
            <w:tcW w:w="451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449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b/>
                <w:b/>
                <w:bCs/>
                <w:sz w:val="20"/>
                <w:sz w:val="20"/>
                <w:szCs w:val="20"/>
                <w:lang w:val="en-US" w:bidi="fa-IR"/>
              </w:rPr>
              <w:t>۵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ACC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۱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 xml:space="preserve">دستگاه اطلاعات مالی و عملکردی را برای ذی‌نفعان 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قوهٔ مقننه، نهادهای نظارتی و شهروندان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 xml:space="preserve">) 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ارائه یا منتشر می‌کند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ACC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۲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مدیران نتایج و انحرافات را به نهادهای نظارتی توضیح می‌دهند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ACC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۳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در صورت انحراف از بودجه، مسئولیت مشخص و اقدام اصلاحی پیگیری می‌شود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ACC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۴</w:t>
            </w:r>
          </w:p>
        </w:tc>
        <w:tc>
          <w:tcPr>
            <w:tcW w:w="600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یافته‌های حسابرسی و بازرسی در زمان معقول پیگیری و رفع می‌شود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/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lang w:val="en-US" w:bidi="fa-IR"/>
              </w:rPr>
              <w:t>ACC</w:t>
            </w:r>
            <w:r>
              <w:rPr>
                <w:rFonts w:ascii="Times New Roman" w:hAnsi="Times New Roman" w:eastAsia="Times New Roman"/>
                <w:sz w:val="20"/>
                <w:sz w:val="20"/>
                <w:szCs w:val="20"/>
                <w:lang w:val="en-US" w:bidi="fa-IR"/>
              </w:rPr>
              <w:t>۵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ascii="Times New Roman" w:hAnsi="Times New Roman" w:eastAsia="Times New Roman"/>
                <w:sz w:val="20"/>
                <w:sz w:val="20"/>
                <w:szCs w:val="20"/>
                <w:rtl w:val="true"/>
                <w:lang w:val="en-US" w:bidi="fa-IR"/>
              </w:rPr>
              <w:t>اطلاعات ارائه‌شده از سوی دستگاه قابل راستی‌آزمایی است</w:t>
            </w: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.</w:t>
            </w:r>
          </w:p>
        </w:tc>
        <w:tc>
          <w:tcPr>
            <w:tcW w:w="45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4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bidi w:val="1"/>
              <w:spacing w:lineRule="auto" w:line="240" w:before="40" w:after="40"/>
              <w:jc w:val="center"/>
              <w:rPr/>
            </w:pPr>
            <w:r>
              <w:rPr>
                <w:rFonts w:eastAsia="Times New Roman" w:cs="B Nazanin"/>
                <w:sz w:val="20"/>
                <w:szCs w:val="20"/>
                <w:rtl w:val="true"/>
                <w:lang w:val="en-US" w:bidi="fa-IR"/>
              </w:rPr>
              <w:t>○</w:t>
            </w:r>
          </w:p>
        </w:tc>
      </w:tr>
    </w:tbl>
    <w:p>
      <w:pPr>
        <w:pStyle w:val="Normal"/>
        <w:bidi w:val="1"/>
        <w:spacing w:lineRule="auto" w:line="240" w:before="0" w:after="100"/>
        <w:ind w:firstLine="360"/>
        <w:jc w:val="both"/>
        <w:rPr/>
      </w:pPr>
      <w:r>
        <w:rPr>
          <w:rtl w:val="true"/>
        </w:rPr>
      </w:r>
    </w:p>
    <w:p>
      <w:pPr>
        <w:pStyle w:val="Normal"/>
        <w:bidi w:val="1"/>
        <w:spacing w:lineRule="auto" w:line="240" w:before="0" w:after="3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منابع این متغیر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Bovens, M. (2007). Analysing and assessing accountability: A conceptual framework.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European Law Journal, 13</w:t>
      </w:r>
      <w:r>
        <w:rPr>
          <w:rFonts w:eastAsia="Times New Roman" w:cs="Times New Roman"/>
          <w:sz w:val="22"/>
          <w:szCs w:val="22"/>
          <w:lang w:val="en-US" w:bidi="fa-IR"/>
        </w:rPr>
        <w:t>(4), 447–468. https://doi.org/10.1111/j.1468-0386.2007.00378.x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Bracci, E., Humphrey, C., Moll, J., &amp; Steccolini, I. (2015). Public sector accounting, accountability and austerity: More than balancing the books?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Accounting, Auditing &amp; Accountability Journal, 28</w:t>
      </w:r>
      <w:r>
        <w:rPr>
          <w:rFonts w:eastAsia="Times New Roman" w:cs="Times New Roman"/>
          <w:sz w:val="22"/>
          <w:szCs w:val="22"/>
          <w:lang w:val="en-US" w:bidi="fa-IR"/>
        </w:rPr>
        <w:t>(6), 878–908. https://doi.org/10.1108/AAAJ-06-2015-2089</w:t>
      </w:r>
    </w:p>
    <w:p>
      <w:pPr>
        <w:pStyle w:val="Normal"/>
        <w:spacing w:lineRule="auto" w:line="240" w:before="0" w:after="40"/>
        <w:ind w:hanging="567" w:left="567"/>
        <w:jc w:val="left"/>
        <w:rPr/>
      </w:pPr>
      <w:r>
        <w:rPr>
          <w:rFonts w:eastAsia="Times New Roman" w:cs="Times New Roman"/>
          <w:sz w:val="22"/>
          <w:szCs w:val="22"/>
          <w:lang w:val="en-US" w:bidi="fa-IR"/>
        </w:rPr>
        <w:t xml:space="preserve">Moore, M. H. (1995). </w:t>
      </w:r>
      <w:r>
        <w:rPr>
          <w:rFonts w:eastAsia="Times New Roman" w:cs="Times New Roman"/>
          <w:i/>
          <w:iCs/>
          <w:sz w:val="22"/>
          <w:szCs w:val="22"/>
          <w:lang w:val="en-US" w:bidi="fa-IR"/>
        </w:rPr>
        <w:t>Creating public value: Strategic management in government</w:t>
      </w:r>
      <w:r>
        <w:rPr>
          <w:rFonts w:eastAsia="Times New Roman" w:cs="Times New Roman"/>
          <w:sz w:val="22"/>
          <w:szCs w:val="22"/>
          <w:lang w:val="en-US" w:bidi="fa-IR"/>
        </w:rPr>
        <w:t>. Cambridge, MA: Harvard University Press</w:t>
      </w:r>
      <w:r>
        <w:rPr>
          <w:rFonts w:eastAsia="Times New Roman" w:cs="Times New Roman"/>
          <w:sz w:val="22"/>
          <w:szCs w:val="22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1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بخش پ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روایی، پایایی و نمره‌گذاری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روایی محتوا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پنل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خبره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حسابداری دولتی، بودجه‌ریزی، سیستم‌های اطلاعاتی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ضریب </w:t>
      </w:r>
      <w:r>
        <w:rPr>
          <w:rFonts w:eastAsia="Times New Roman" w:cs="B Nazanin"/>
          <w:sz w:val="24"/>
          <w:szCs w:val="24"/>
          <w:lang w:val="en-US" w:bidi="fa-IR"/>
        </w:rPr>
        <w:t>CVR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لاوشه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حداقل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۰٫۶۲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برای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خبره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</w:t>
      </w:r>
      <w:r>
        <w:rPr>
          <w:rFonts w:eastAsia="Times New Roman" w:cs="B Nazanin"/>
          <w:sz w:val="24"/>
          <w:szCs w:val="24"/>
          <w:lang w:val="en-US" w:bidi="fa-IR"/>
        </w:rPr>
        <w:t>CVI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سطح گویه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(≥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۰٫۷۸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سطح مقیاس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(≥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۰٫۹۰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 (</w:t>
      </w:r>
      <w:r>
        <w:rPr>
          <w:rFonts w:eastAsia="Times New Roman" w:cs="B Nazanin"/>
          <w:sz w:val="24"/>
          <w:szCs w:val="24"/>
          <w:lang w:val="en-US" w:bidi="fa-IR"/>
        </w:rPr>
        <w:t xml:space="preserve">Lawshe,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۱۹۷۵</w:t>
      </w:r>
      <w:r>
        <w:rPr>
          <w:rFonts w:eastAsia="Times New Roman" w:cs="B Nazanin"/>
          <w:sz w:val="24"/>
          <w:szCs w:val="24"/>
          <w:lang w:val="en-US" w:bidi="fa-IR"/>
        </w:rPr>
        <w:t xml:space="preserve">; Polit &amp; Beck,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۲۰۰۶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گویه‌های محقق‌ساخته پیش از اجرای اصلی باید این مرحله و یک مطالعهٔ مقدماتی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۶۰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۱۰۰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نفر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را بگذرانند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روایی و پایایی سازه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تحلیل عاملی تأییدی کل مدل اندازه‌گیری، پایایی ترکیبی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(≥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۰٫۷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، میانگین واریانس استخراج‌شده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(≥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۰٫۵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، </w:t>
      </w:r>
      <w:r>
        <w:rPr>
          <w:rFonts w:eastAsia="Times New Roman" w:cs="B Nazanin"/>
          <w:sz w:val="24"/>
          <w:szCs w:val="24"/>
          <w:lang w:val="en-US" w:bidi="fa-IR"/>
        </w:rPr>
        <w:t>HTMT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(&lt;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۰٫۸۵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بررسی سوگیری روش مشترک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 xml:space="preserve">Podsakoff et al.,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۲۰۰۳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نمره‌گذاری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هیچ نمرهٔ ترکیبی یا میانگین گویه‌ها ساخته نمی‌شود؛ هر گویه نشانگر متغیر پنهان خود در مدل معادلات ساختاری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گویه‌های هر سازه به‌گونه‌ای جهت‌دهی شده‌اند که نمرهٔ بالاتر یعنی بیشتر از آن سازه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در </w:t>
      </w:r>
      <w:r>
        <w:rPr>
          <w:rFonts w:eastAsia="Times New Roman" w:cs="B Nazanin"/>
          <w:sz w:val="24"/>
          <w:szCs w:val="24"/>
          <w:lang w:val="en-US" w:bidi="fa-IR"/>
        </w:rPr>
        <w:t>SYM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نمرهٔ بالاتر یعنی انطباق نمادین بیشتر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).</w:t>
      </w:r>
    </w:p>
    <w:p>
      <w:pPr>
        <w:pStyle w:val="Normal"/>
        <w:bidi w:val="1"/>
        <w:spacing w:lineRule="auto" w:line="240" w:before="0" w:after="50"/>
        <w:jc w:val="both"/>
        <w:rPr/>
      </w:pPr>
      <w:r>
        <w:rPr>
          <w:rFonts w:ascii="Times New Roman" w:hAnsi="Times New Roman" w:eastAsia="Times New Roman"/>
          <w:b/>
          <w:b/>
          <w:bCs/>
          <w:sz w:val="24"/>
          <w:sz w:val="24"/>
          <w:szCs w:val="24"/>
          <w:rtl w:val="true"/>
          <w:lang w:val="en-US" w:bidi="fa-IR"/>
        </w:rPr>
        <w:t>ترتیب ارائه</w:t>
      </w:r>
      <w:r>
        <w:rPr>
          <w:rFonts w:eastAsia="Times New Roman" w:cs="B Nazanin"/>
          <w:b/>
          <w:bCs/>
          <w:sz w:val="24"/>
          <w:szCs w:val="24"/>
          <w:rtl w:val="true"/>
          <w:lang w:val="en-US" w:bidi="fa-IR"/>
        </w:rPr>
        <w:t>: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گویه‌های سازه‌های مختلف به‌صورت تصادفی درهم ارائه شود؛ سؤال توجه و ثبت زمان تکمیل توصیه می‌شود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</w:t>
    </w:r>
    <w:r>
      <w:rPr>
        <w:rtl w:val="true"/>
      </w:rPr>
      <w:fldChar w:fldCharType="end"/>
    </w:r>
  </w:p>
</w:ftr>
</file>

<file path=word/settings.xml><?xml version="1.0" encoding="utf-8"?>
<w:settings xmlns:w="http://schemas.openxmlformats.org/wordprocessingml/2006/main">
  <w:view w:val="print"/>
  <w:zoom w:percent="100"/>
  <w:defaultTabStop w:val="720"/>
  <w:autoHyphenation w:val="true"/>
  <w:compat>
    <w:compatSetting w:name="compatibilityMode" w:uri="http://schemas.microsoft.com/office/word" w:val="15"/>
  </w:compat>
  <w:themeFontLang w:val="en-US" w:eastAsia="" w:bidi="fa-IR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WenQuanYi Zen Hei" w:cs="B Nazanin"/>
        <w:sz w:val="24"/>
        <w:szCs w:val="24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1"/>
      <w:spacing w:before="0" w:after="0"/>
      <w:jc w:val="left"/>
    </w:pPr>
    <w:rPr>
      <w:rFonts w:ascii="Times New Roman" w:hAnsi="Times New Roman" w:eastAsia="WenQuanYi Zen Hei" w:cs="B Nazanin"/>
      <w:color w:val="auto"/>
      <w:kern w:val="0"/>
      <w:sz w:val="24"/>
      <w:szCs w:val="24"/>
      <w:lang w:val="en-US" w:eastAsia="zh-CN" w:bidi="fa-IR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pacing w:lineRule="auto" w:line="240" w:before="0" w:after="0"/>
    </w:pPr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fa-IR</dc:language>
  <cp:lastModifiedBy/>
  <cp:revision>0</cp:revision>
  <dc:subject/>
  <dc:title>Article</dc:title>
</cp:coreProperties>
</file>