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4" w:lineRule="auto"/>
        <w:bidi/>
        <w:jc w:val="center"/>
      </w:pPr>
      <w:r>
        <w:rPr>
          <w:rFonts w:ascii="Arial" w:hAnsi="Arial" w:cs="Arial"/>
          <w:b w:val="0"/>
          <w:i w:val="0"/>
          <w:color w:val="5A5A5A"/>
          <w:sz w:val="19"/>
          <w:rtl/>
        </w:rPr>
        <w:t>مقاله دوم از دو مقاله: مقدمه و مبانی نظری</w:t>
      </w:r>
    </w:p>
    <w:p>
      <w:pPr>
        <w:spacing w:after="200" w:line="288" w:lineRule="auto"/>
        <w:bidi/>
        <w:jc w:val="center"/>
      </w:pPr>
      <w:r>
        <w:rPr>
          <w:rFonts w:ascii="Arial" w:hAnsi="Arial" w:cs="Arial"/>
          <w:b/>
          <w:i w:val="0"/>
          <w:color w:val="1F3864"/>
          <w:sz w:val="26"/>
          <w:rtl/>
        </w:rPr>
        <w:t>عنوان کاری: ارزیابی ریسک سایبری در حسابرسی چگونه کار می‌کند: مدل ساختاری رویه‌های حسابرسان و سازمان‌های مورد رسیدگی در ایران</w:t>
      </w:r>
    </w:p>
    <w:p>
      <w:pPr>
        <w:spacing w:after="140" w:line="288" w:lineRule="auto"/>
        <w:bidi/>
        <w:jc w:val="right"/>
      </w:pPr>
      <w:r>
        <w:rPr>
          <w:rFonts w:ascii="Arial" w:hAnsi="Arial" w:cs="Arial"/>
          <w:b/>
          <w:i w:val="0"/>
          <w:color w:val="1F3864"/>
          <w:sz w:val="30"/>
          <w:rtl/>
        </w:rPr>
        <w:t>1. مقدمه</w:t>
      </w:r>
    </w:p>
    <w:p>
      <w:pPr>
        <w:spacing w:after="140" w:line="360" w:lineRule="auto"/>
        <w:bidi/>
        <w:jc w:val="right"/>
      </w:pPr>
      <w:r>
        <w:rPr>
          <w:rFonts w:ascii="Arial" w:hAnsi="Arial" w:cs="Arial"/>
          <w:b w:val="0"/>
          <w:i w:val="0"/>
          <w:rtl/>
        </w:rPr>
        <w:t>فهرست مولفه‌ها هنوز تبیین نیست. فرض کنید حرفه فردا بر سر اینکه ارزیابی ریسک سایبری در حسابرسی شامل چه چیزهایی است توافق کند: تهدیدها شناسایی شوند، کنترل‌ها ارزیابی شوند، ریسک قضاوت شود، پایش ادامه یابد و یافته‌ها گزارش شوند. این توافق به حسابرسان فهرست بازبینی و به استانداردگذاران واژگان می‌دهد، اما به هیچ‌کدام نمی‌گوید کدام‌یک از این فعالیت‌ها ارزیابی را خوب می‌کند، اثرها به چه ترتیبی جریان دارند و وقتی یکی ضعیف است چه باید کرد. فهرست بازبینی پوشش را توصیف می‌کند؛ تبیین سازوکار را. این مقاله درباره سازوکار است.</w:t>
      </w:r>
    </w:p>
    <w:p>
      <w:pPr>
        <w:spacing w:after="140" w:line="360" w:lineRule="auto"/>
        <w:bidi/>
        <w:jc w:val="right"/>
      </w:pPr>
      <w:r>
        <w:rPr>
          <w:rFonts w:ascii="Arial" w:hAnsi="Arial" w:cs="Arial"/>
          <w:b w:val="0"/>
          <w:i w:val="0"/>
          <w:rtl/>
        </w:rPr>
        <w:t>نیاز عملی است. استانداردها فعالیت‌ها را به‌ترتیب تجویز می‌کنند. ISA 315 (بازنگری 2019) از حسابرس می‌خواهد محیط IT را بشناسد، برنامه‌های IT و کنترل‌های عمومی IT مهم را مشخص کند و پیش از پاسخ به ریسک‌های ناشی از IT، آن‌ها را شناسایی و ارزیابی کند (IAASB, 2019)، و الزام موضوعی امنیت سایبری حسابرسان داخلی را هرجا مأموریتی جزء امنیت سایبری دارد به رعایت الزام‌های مشخص ملزم می‌کند (IIA, 2025). این استانداردها توالی فعالیت‌ها را تجویز می‌کنند، نه رابطه میان آن‌ها را: چه سهمی از کیفیت قضاوت نهایی به شناسایی تعلق دارد، چه سهمی به ارزیابی کنترل‌ها، و اینکه چه کسی شواهد فنی را تفسیر می‌کند چه تفاوتی می‌سازد.</w:t>
      </w:r>
    </w:p>
    <w:p>
      <w:pPr>
        <w:spacing w:after="140" w:line="360" w:lineRule="auto"/>
        <w:bidi/>
        <w:jc w:val="right"/>
      </w:pPr>
      <w:r>
        <w:rPr>
          <w:rFonts w:ascii="Arial" w:hAnsi="Arial" w:cs="Arial"/>
          <w:b w:val="0"/>
          <w:i w:val="0"/>
          <w:rtl/>
        </w:rPr>
        <w:t>پژوهش‌های پیشین حسابرسی امنیت سایبری را بیشتر از راه همبسته‌ها و شاخص‌ها بررسی کرده‌اند. Hermanson et al. (2000) توصیف کردند حسابرسان داخلی توجه IT خود را کجا می‌گذارند و Bedard et al. (2005) بررسی کردند ریسک سیستم‌های اطلاعاتی چگونه وارد برنامه‌ریزی حسابرسی می‌شود. Islam et al. (2018) میزان حسابرسی امنیت سایبری را به ویژگی‌های واحد حسابرسی داخلی، حاکمیت و کارکرد ریسک مرتبط کردند. Steinbart et al. (2018) رابطه واحدهای حسابرسی داخلی و امنیت اطلاعات را از نظر پیامدش برای نتایج امنیتی بررسی کردند و Vuko et al. (2024) عوامل اثربخشی حسابرسی امنیت سایبری را با لنز نو‌نهادگرا بررسی کردند. نزدیک‌ترین چیز به یک ساختار در ادبیات شاخص برنامه‌ریزی، اجرا و گزارشگری Slapničar et al. (2022) است که برنامه‌ریزی و اجرا را به‌هم‌پیوسته و گزارشگری به هیئت‌مدیره را سست‌تر پیوسته با هر دو می‌یابند، و شاخصی که با بلوغ مدیریت ریسک سایبری همراه است ولی با احتمال حمله موفق نه.</w:t>
      </w:r>
    </w:p>
    <w:p>
      <w:pPr>
        <w:spacing w:after="140" w:line="360" w:lineRule="auto"/>
        <w:bidi/>
        <w:jc w:val="right"/>
      </w:pPr>
      <w:r>
        <w:rPr>
          <w:rFonts w:ascii="Arial" w:hAnsi="Arial" w:cs="Arial"/>
          <w:b w:val="0"/>
          <w:i w:val="0"/>
          <w:rtl/>
        </w:rPr>
        <w:t>این مطالعه‌ها درباره اینکه چه چیزی با میزان حسابرسی امنیت سایبری و اثربخشی قضاوت‌شده آن همراه است بسیار می‌گویند. درباره حلقه‌های میانی کم می‌گویند: مسیری که آنچه حسابرس شناسایی و ارزیابی می‌کند را به قضاوت درباره ریسک تبدیل می‌کند، و مسیری که قضاوت را به یادگیری و ارتباط اثربخش تبدیل می‌کند. از اینجا سه شکاف پدید می‌آید. شکاف زنجیره: تا آنجا که می‌دانیم هیچ مطالعه‌ای شناسایی، ارزیابی کنترل، قضاوت، پایش و اثربخشی را به‌عنوان توالی به‌هم‌پیوسته مدل نمی‌کند. شکاف تفسیر: صلاحیت و همکاری با متخصصان به‌عنوان عامل شناخته شده‌اند (Hermanson et al., 2000; Islam et al., 2018; Steinbart et al., 2018)، اما به‌عنوان شرطی که تحت آن اطلاعات فنی قضاوت را تغییر می‌دهد مدل نشده‌اند. شکاف نقطه دید: زنجیره هر بار از یک طرف بررسی شده است، پس نمی‌دانیم برای سازمان‌های مورد رسیدگی و حسابرسان یکسان عمل می‌کند یا نه.</w:t>
      </w:r>
    </w:p>
    <w:p>
      <w:pPr>
        <w:spacing w:after="140" w:line="360" w:lineRule="auto"/>
        <w:bidi/>
        <w:jc w:val="right"/>
      </w:pPr>
      <w:r>
        <w:rPr>
          <w:rFonts w:ascii="Arial" w:hAnsi="Arial" w:cs="Arial"/>
          <w:b w:val="0"/>
          <w:i w:val="0"/>
          <w:rtl/>
        </w:rPr>
        <w:t>نظریه دلیل می‌دهد انتظار زنجیره‌ای با یک خمیدگی داشته باشیم. مدل ریسک حسابرسی القا می‌کند کیفیت آنچه شناسایی و ارزیابی می‌شود کیفیت قضاوت و در نتیجه آنچه منتقل می‌شود را تعیین می‌کند. نظریه‌های توانمندی القا می‌کنند تبدیل اطلاعات فنی به قضاوت به صلاحیت و همکاری بستگی دارد (Barney, 1991; Teece et al., 1997). نظریه نمایندگی القا می‌کند هرجا ارزیاب مالک سیستم نیست، تفسیر برای ارزیاب مهم‌تر از مالک است (Jensen &amp; Meckling, 1976). اگر زنجیره چنین شکلی داشته باشد و همان‌جا که نظریه می‌گوید خم شود، ضعیف‌ترین حلقه همیشه همان نیست که بیشتر آزمون می‌شود.</w:t>
      </w:r>
    </w:p>
    <w:p>
      <w:pPr>
        <w:spacing w:after="140" w:line="360" w:lineRule="auto"/>
        <w:bidi/>
        <w:jc w:val="right"/>
      </w:pPr>
      <w:r>
        <w:rPr>
          <w:rFonts w:ascii="Arial" w:hAnsi="Arial" w:cs="Arial"/>
          <w:b w:val="0"/>
          <w:i w:val="0"/>
          <w:rtl/>
        </w:rPr>
        <w:t>زمینه یک شرط مرزی می‌افزاید. در یک مطالعه همراه (Authors, [year]) مولفه‌های ارزیابی ریسک سایبری در حسابرسی ایران را با دو پانل خبره، یکی از سازمان‌های مورد رسیدگی و یکی از حسابرسان، شناسایی و اعتبارسنجی کردیم و در شش سازه خلاصه کردیم: شناسایی تهدید و آسیب‌پذیری، ارزیابی بلوغ و اثربخشی کنترل‌ها، همکاری و صلاحیت حسابرس–متخصص، قضاوت احتمال، پیامد و ریسک باقیمانده، پایش مستمر و یادگیری سازمانی، و اثربخشی فرایند ارزیابی. واحدهای تجاری و حسابرسان ایرانی در شرایط مقرراتی، زیرساختی و تحریمی کار می‌کنند که با محیط گردآوری بیشتر شواهد بالا فرق دارد و دیدگاه‌های نهادی و اقتضایی (DiMaggio &amp; Powell, 1983; Donaldson, 2001) هشدار می‌دهند زنجیره‌ای که در یک محیط اعتبارسنجی شده در محیط دیگر برقرار فرض نمی‌شود. تا آنجا که می‌دانیم، زنجیره در ایران و از هر دو طرف آزمون نشده است.</w:t>
      </w:r>
    </w:p>
    <w:p>
      <w:pPr>
        <w:spacing w:after="140" w:line="360" w:lineRule="auto"/>
        <w:bidi/>
        <w:jc w:val="right"/>
      </w:pPr>
      <w:r>
        <w:rPr>
          <w:rFonts w:ascii="Arial" w:hAnsi="Arial" w:cs="Arial"/>
          <w:b w:val="0"/>
          <w:i w:val="0"/>
          <w:rtl/>
        </w:rPr>
        <w:t>بنابراین چهار پرسش مطرح می‌کنیم. RQ1: شناسایی تهدید و آسیب‌پذیری و ارزیابی کنترل تا چه اندازه قضاوت درباره ریسک باقیمانده را شکل می‌دهند؟ RQ2: همکاری و صلاحیت حسابرس–متخصص چه نقشی دارد، مستقیم و به‌عنوان شرط روابط نخست؟ RQ3: آیا قضاوت اثر شناسایی و ارزیابی کنترل را به اثربخشی فرایند می‌رساند، مستقیم و از راه پایش و یادگیری؟ RQ4: آیا زنجیره برای سازمان‌های مورد رسیدگی و حسابرسان متفاوت عمل می‌کند؟ از متخصصان سازمان‌های مورد رسیدگی و حسابرسان ایران پیمایش می‌کنیم، مدل را با مدل‌سازی معادلات ساختاری مبتنی بر واریانس برآورد می‌کنیم، ثبات اندازه‌گیری را میان دو گروه آزمون می‌کنیم و سپس مسیرها را مقایسه می‌کنیم.</w:t>
      </w:r>
    </w:p>
    <w:p>
      <w:pPr>
        <w:spacing w:after="140" w:line="360" w:lineRule="auto"/>
        <w:bidi/>
        <w:jc w:val="right"/>
      </w:pPr>
      <w:r>
        <w:rPr>
          <w:rFonts w:ascii="Arial" w:hAnsi="Arial" w:cs="Arial"/>
          <w:b w:val="0"/>
          <w:i w:val="0"/>
          <w:color w:val="C00000"/>
          <w:rtl/>
        </w:rPr>
        <w:t>[دو یا سه جمله درباره یافته‌های اصلی پس از تکمیل تحلیل اضافه شود: کدام حلقه‌ها برقرارند، آیا همکاری آن‌ها را مشروط می‌کند، آیا قضاوت میانجی است و دو گروه کجا فرق دارند.]</w:t>
      </w:r>
    </w:p>
    <w:p>
      <w:pPr>
        <w:spacing w:after="140" w:line="360" w:lineRule="auto"/>
        <w:bidi/>
        <w:jc w:val="right"/>
      </w:pPr>
      <w:r>
        <w:rPr>
          <w:rFonts w:ascii="Arial" w:hAnsi="Arial" w:cs="Arial"/>
          <w:b w:val="0"/>
          <w:i w:val="0"/>
          <w:rtl/>
        </w:rPr>
        <w:t>این مطالعه چهار سهم دارد. نخست، فهرست بازبینی را به سازوکار تبدیل می‌کند: نخستین مدل ساختاری ارزیابی ریسک سایبری در حسابرسی را فراهم می‌کند که شناسایی و ارزیابی کنترل را، از راه قضاوت، به یادگیری و اثربخشی پیوند می‌دهد. دوم، نقش مشروط‌کننده همکاری و صلاحیت را آزمون می‌کند و توضیح می‌دهد شواهد فنی چه وقت قضاوت حسابرسی را تغییر می‌دهد، نه اینکه فقط ثبت کند متخصصان مهم‌اند. سوم، زنجیره را در دو سوی رابطه حسابرسی آزمون می‌کند که نشان می‌دهد شواهد یک‌طرفه تعمیم‌پذیر است یا نه. چهارم، شرایط مرزی را از یک محیط نوظهور و تحریمی فراهم می‌کند. برای عمل، مدل نشان می‌دهد سرمایه‌گذاری کجا ثمر می‌دهد: اگر قضاوت میانجی باشد، تلاش باید صرف تفسیر شود و نه فقط آزمون بیشتر؛ اگر همکاری زنجیره را مشروط کند، هماهنگی حسابرس و متخصص باید طراحی شود نه مفروض؛ و اگر دو گروه فرق داشته باشند، استانداردها و گزارشگری باید برای طرفی که دریافت می‌کند تنظیم شوند.</w:t>
      </w:r>
    </w:p>
    <w:p>
      <w:pPr>
        <w:spacing w:after="140" w:line="360" w:lineRule="auto"/>
        <w:bidi/>
        <w:jc w:val="right"/>
      </w:pPr>
      <w:r>
        <w:rPr>
          <w:rFonts w:ascii="Arial" w:hAnsi="Arial" w:cs="Arial"/>
          <w:b w:val="0"/>
          <w:i w:val="0"/>
          <w:rtl/>
        </w:rPr>
        <w:t>مخاطرات این مسئله هم عملی است و هم علمی. تا زمانی که سازوکار فهمیده نشود، ضعیف‌ترین حلقه ارزیابی را نمی‌توان یافت، منابع را به آن نمی‌توان هدایت کرد و استانداردها را با شرایط کاربردشان نمی‌توان تنظیم کرد. این مقاله سازوکار را مدل می‌کند، با کسانی که در آن کار می‌کنند آزمون می‌کند و نشان می‌دهد رابطه حسابرسی کجا آن را خم می‌کند. ادامه مقاله چنین سازمان یافته است. بخش 2 مبانی نظری و فرضیه‌ها را توسعه می‌دهد. بخش 3 نمونه، سنجه‌ها و تحلیل را توضیح می‌دهد. بخش 4 نتایج را همراه با ثبات اندازه‌گیری و مقایسه گروه‌ها گزارش می‌کند. بخش 5 یافته‌ها، پیامدها، محدودیت‌ها و مسیرهای پژوهش آینده را بحث می‌کند.</w:t>
      </w:r>
    </w:p>
    <w:p>
      <w:pPr>
        <w:spacing w:after="140" w:line="288" w:lineRule="auto"/>
        <w:bidi/>
        <w:jc w:val="right"/>
      </w:pPr>
      <w:r>
        <w:rPr>
          <w:rFonts w:ascii="Arial" w:hAnsi="Arial" w:cs="Arial"/>
          <w:b/>
          <w:i w:val="0"/>
          <w:color w:val="1F3864"/>
          <w:sz w:val="30"/>
          <w:rtl/>
        </w:rPr>
        <w:t>2. مبانی نظری و توسعه فرضیه‌ها</w:t>
      </w:r>
    </w:p>
    <w:p>
      <w:pPr>
        <w:spacing w:after="140" w:line="336" w:lineRule="auto"/>
        <w:bidi/>
        <w:jc w:val="right"/>
      </w:pPr>
      <w:r>
        <w:rPr>
          <w:rFonts w:ascii="Arial" w:hAnsi="Arial" w:cs="Arial"/>
          <w:b w:val="0"/>
          <w:i w:val="0"/>
          <w:rtl/>
        </w:rPr>
        <w:t>نظریه در این مطالعه سه کار دارد. باید حلقه‌های زنجیره را به‌صورت سازه‌های قابل اندازه‌گیری تعریف کند. باید توضیح دهد چرا حلقه‌ها باید به ترتیبی که پیشنهاد می‌کنیم به هم پیوسته باشند. و باید توضیح دهد چرا نقطه دید ناظر و زمینه ارزیابی باید زنجیره را خم کنند. این سه کار را به‌ترتیب انجام می‌دهیم و فرضیه‌ها از پاسخ‌ها نتیجه می‌شوند.</w:t>
      </w:r>
    </w:p>
    <w:p>
      <w:pPr>
        <w:spacing w:after="100" w:line="288" w:lineRule="auto"/>
        <w:bidi/>
        <w:jc w:val="right"/>
      </w:pPr>
      <w:r>
        <w:rPr>
          <w:rFonts w:ascii="Arial" w:hAnsi="Arial" w:cs="Arial"/>
          <w:b/>
          <w:i w:val="0"/>
          <w:color w:val="1F3864"/>
          <w:sz w:val="25"/>
          <w:rtl/>
        </w:rPr>
        <w:t>2-1. سازه و زنجیره</w:t>
      </w:r>
    </w:p>
    <w:p>
      <w:pPr>
        <w:spacing w:after="140" w:line="336" w:lineRule="auto"/>
        <w:bidi/>
        <w:jc w:val="right"/>
      </w:pPr>
      <w:r>
        <w:rPr>
          <w:rFonts w:ascii="Arial" w:hAnsi="Arial" w:cs="Arial"/>
          <w:b w:val="0"/>
          <w:i w:val="0"/>
          <w:rtl/>
        </w:rPr>
        <w:t>بر تعریف و ساختار مطالعه همراه (Authors, [year]) بنا می‌کنیم. ارزیابی ریسک سایبری در حسابرسی مجموعه‌ای از فعالیت‌هاست که حسابرس، مستقیم یا از طریق متخصصان و اطلاعات تهیه‌شده توسط واحد، با آن‌ها محیط IT واحد را می‌شناسد، ریسک‌های سایبری مؤثر بر اتکاپذیری گزارشگری مالی و کنترل‌های مورد اتکا را شناسایی و ارزیابی می‌کند، قضاوتی درباره ریسک باقیمانده شکل می‌دهد و مستند می‌کند و آن را به کسانی که باید اقدام کنند منتقل می‌کند. سه ویژگی این تعریف برای مدل سازوکار مهم است. ارزیاب مالک سیستم نیست، پس ارزیابی مسئله عدم تقارن اطلاعات است. خروجی قضاوت است نه اندازه‌گیری، پس کیفیت آن به ورودی‌هایش بستگی دارد. و فعالیت زنجیره‌ای از اتکا به متخصصان، توصیف‌های سازمان و گزارش‌های اشخاص ثالث است، پس توانمندی و همکاری درون سازه‌اند. در مدل ریسک حسابرسی، به‌نظر ما ریسک سایبری از راه ریسک ذاتی وارد می‌شود، چون محیط IT پیچیدگی و تغییر می‌افزاید که دو مورد از عوامل ریسک ذاتی نام‌برده در ISA 315 (بازنگری 2019) هستند، و از راه ریسک کنترل، چون کنترل‌های مورد اتکا به کنترل‌های عمومی IT وابسته‌اند (IAASB, 2019).</w:t>
      </w:r>
    </w:p>
    <w:p>
      <w:pPr>
        <w:spacing w:after="100" w:line="288" w:lineRule="auto"/>
        <w:bidi/>
        <w:jc w:val="right"/>
      </w:pPr>
      <w:r>
        <w:rPr>
          <w:rFonts w:ascii="Arial" w:hAnsi="Arial" w:cs="Arial"/>
          <w:b/>
          <w:i w:val="0"/>
          <w:color w:val="1F3864"/>
          <w:sz w:val="25"/>
          <w:rtl/>
        </w:rPr>
        <w:t>2-2. سازه‌ها و شاخص‌ها</w:t>
      </w:r>
    </w:p>
    <w:p>
      <w:pPr>
        <w:spacing w:after="140" w:line="336" w:lineRule="auto"/>
        <w:bidi/>
        <w:jc w:val="right"/>
      </w:pPr>
      <w:r>
        <w:rPr>
          <w:rFonts w:ascii="Arial" w:hAnsi="Arial" w:cs="Arial"/>
          <w:b w:val="0"/>
          <w:i w:val="0"/>
          <w:rtl/>
        </w:rPr>
        <w:t>مطالعه همراه مولفه‌های اعتبارسنجی‌شده را در شش سازه خلاصه می‌کند که میزان و کیفیت اقدام‌های ارزیابی را می‌سنجند، نه ایمنی واقعی سازمان (جدول 1). دو ویژگی این مشخصه‌سازی مهم است. نخست، سازه‌ها زنجیره می‌سازند: شناسایی (TVI) و ارزیابی کنترل (CCE) ورودی‌اند، قضاوت ریسک باقیمانده (RRJ) قضاوت است و پایش و یادگیری (MOL) و اثربخشی فرایند (PEF) آن چیزی‌اند که قضاوت برایش وجود دارد. دوم، همکاری و صلاحیت (COL) سازه مشروط‌کننده است. درون هر سازه مولفه‌ها وجه‌های متمایزند نه نشانه‌های جانشین (فهرست دارایی جانشین بازبینی آسیب‌پذیری نیست)، پس مولفه‌های مرتبه اول را بهتر است شاخص‌های شکل‌دهنده در یک مشخصه‌سازی سلسله‌مراتبی دانست؛ مشخصه نهایی از نتایج مطالعه همراه پیروی می‌کند. سیاست و دامنه و الزام قانونی به‌عنوان متغیر زمینه‌ای همراه با اندازه واحد، صنعت، سابقه پاسخ‌دهنده، گواهینامه حرفه‌ای و نوع حسابرس وارد می‌شوند.</w:t>
      </w:r>
    </w:p>
    <w:p>
      <w:pPr>
        <w:spacing w:after="60" w:line="264" w:lineRule="auto"/>
        <w:bidi/>
        <w:jc w:val="right"/>
      </w:pPr>
      <w:r>
        <w:rPr>
          <w:rFonts w:ascii="Arial" w:hAnsi="Arial" w:cs="Arial"/>
          <w:b/>
          <w:i w:val="0"/>
          <w:sz w:val="21"/>
          <w:rtl/>
        </w:rPr>
        <w:t>جدول 1. سازه‌ها و مولفه‌های شاخص</w:t>
      </w:r>
    </w:p>
    <w:tbl>
      <w:tblPr>
        <w:tblStyle w:val="TableGrid"/>
        <w:tblW w:type="auto" w:w="0"/>
        <w:tblLayout w:type="fixed"/>
        <w:tblLook w:firstColumn="1" w:firstRow="1" w:lastColumn="0" w:lastRow="0" w:noHBand="0" w:noVBand="1" w:val="04A0"/>
        <w:bidiVisual/>
      </w:tblPr>
      <w:tblGrid>
        <w:gridCol w:w="2041"/>
        <w:gridCol w:w="2268"/>
        <w:gridCol w:w="3628"/>
        <w:gridCol w:w="1417"/>
      </w:tblGrid>
      <w:tr>
        <w:tc>
          <w:tcPr>
            <w:tcW w:type="dxa" w:w="2041"/>
            <w:shd w:val="clear" w:color="auto" w:fill="1F3864"/>
          </w:tcPr>
          <w:p>
            <w:pPr>
              <w:bidi/>
              <w:jc w:val="right"/>
            </w:pPr>
            <w:r>
              <w:rPr>
                <w:rFonts w:ascii="Arial" w:hAnsi="Arial" w:cs="Arial"/>
                <w:rtl/>
              </w:rPr>
            </w:r>
            <w:r>
              <w:rPr>
                <w:rFonts w:ascii="Arial" w:hAnsi="Arial" w:cs="Arial"/>
                <w:b/>
                <w:color w:val="FFFFFF"/>
                <w:sz w:val="17"/>
                <w:rtl/>
              </w:rPr>
              <w:t>سازه</w:t>
            </w:r>
          </w:p>
        </w:tc>
        <w:tc>
          <w:tcPr>
            <w:tcW w:type="dxa" w:w="2268"/>
            <w:shd w:val="clear" w:color="auto" w:fill="1F3864"/>
          </w:tcPr>
          <w:p>
            <w:pPr>
              <w:bidi/>
              <w:jc w:val="right"/>
            </w:pPr>
            <w:r>
              <w:rPr>
                <w:rFonts w:ascii="Arial" w:hAnsi="Arial" w:cs="Arial"/>
                <w:rtl/>
              </w:rPr>
            </w:r>
            <w:r>
              <w:rPr>
                <w:rFonts w:ascii="Arial" w:hAnsi="Arial" w:cs="Arial"/>
                <w:b/>
                <w:color w:val="FFFFFF"/>
                <w:sz w:val="17"/>
                <w:rtl/>
              </w:rPr>
              <w:t>تعریف</w:t>
            </w:r>
          </w:p>
        </w:tc>
        <w:tc>
          <w:tcPr>
            <w:tcW w:type="dxa" w:w="3628"/>
            <w:shd w:val="clear" w:color="auto" w:fill="1F3864"/>
          </w:tcPr>
          <w:p>
            <w:pPr>
              <w:bidi/>
              <w:jc w:val="right"/>
            </w:pPr>
            <w:r>
              <w:rPr>
                <w:rFonts w:ascii="Arial" w:hAnsi="Arial" w:cs="Arial"/>
                <w:rtl/>
              </w:rPr>
            </w:r>
            <w:r>
              <w:rPr>
                <w:rFonts w:ascii="Arial" w:hAnsi="Arial" w:cs="Arial"/>
                <w:b/>
                <w:color w:val="FFFFFF"/>
                <w:sz w:val="17"/>
                <w:rtl/>
              </w:rPr>
              <w:t>مولفه‌های شاخص</w:t>
            </w:r>
          </w:p>
        </w:tc>
        <w:tc>
          <w:tcPr>
            <w:tcW w:type="dxa" w:w="1417"/>
            <w:shd w:val="clear" w:color="auto" w:fill="1F3864"/>
          </w:tcPr>
          <w:p>
            <w:pPr>
              <w:bidi/>
              <w:jc w:val="right"/>
            </w:pPr>
            <w:r>
              <w:rPr>
                <w:rFonts w:ascii="Arial" w:hAnsi="Arial" w:cs="Arial"/>
                <w:rtl/>
              </w:rPr>
            </w:r>
            <w:r>
              <w:rPr>
                <w:rFonts w:ascii="Arial" w:hAnsi="Arial" w:cs="Arial"/>
                <w:b/>
                <w:color w:val="FFFFFF"/>
                <w:sz w:val="17"/>
                <w:rtl/>
              </w:rPr>
              <w:t>اندازه‌گیری</w:t>
            </w:r>
          </w:p>
        </w:tc>
      </w:tr>
      <w:tr>
        <w:tc>
          <w:tcPr>
            <w:tcW w:type="dxa" w:w="2041"/>
          </w:tcPr>
          <w:p>
            <w:pPr>
              <w:bidi/>
              <w:jc w:val="right"/>
            </w:pPr>
            <w:r>
              <w:rPr>
                <w:rFonts w:ascii="Arial" w:hAnsi="Arial" w:cs="Arial"/>
                <w:rtl/>
              </w:rPr>
            </w:r>
            <w:r>
              <w:rPr>
                <w:rFonts w:ascii="Arial" w:hAnsi="Arial" w:cs="Arial"/>
                <w:b w:val="0"/>
                <w:sz w:val="17"/>
                <w:rtl/>
              </w:rPr>
              <w:t>TVI: شناسایی تهدید و آسیب‌پذیری</w:t>
            </w:r>
          </w:p>
        </w:tc>
        <w:tc>
          <w:tcPr>
            <w:tcW w:type="dxa" w:w="2268"/>
          </w:tcPr>
          <w:p>
            <w:pPr>
              <w:bidi/>
              <w:jc w:val="right"/>
            </w:pPr>
            <w:r>
              <w:rPr>
                <w:rFonts w:ascii="Arial" w:hAnsi="Arial" w:cs="Arial"/>
                <w:rtl/>
              </w:rPr>
            </w:r>
            <w:r>
              <w:rPr>
                <w:rFonts w:ascii="Arial" w:hAnsi="Arial" w:cs="Arial"/>
                <w:b w:val="0"/>
                <w:sz w:val="17"/>
                <w:rtl/>
              </w:rPr>
              <w:t>میزان و کیفیت شناسایی دارایی‌ها، تهدیدها و آسیب‌پذیری‌ها</w:t>
            </w:r>
          </w:p>
        </w:tc>
        <w:tc>
          <w:tcPr>
            <w:tcW w:type="dxa" w:w="3628"/>
          </w:tcPr>
          <w:p>
            <w:pPr>
              <w:bidi/>
              <w:jc w:val="right"/>
            </w:pPr>
            <w:r>
              <w:rPr>
                <w:rFonts w:ascii="Arial" w:hAnsi="Arial" w:cs="Arial"/>
                <w:rtl/>
              </w:rPr>
            </w:r>
            <w:r>
              <w:rPr>
                <w:rFonts w:ascii="Arial" w:hAnsi="Arial" w:cs="Arial"/>
                <w:b w:val="0"/>
                <w:sz w:val="17"/>
                <w:rtl/>
              </w:rPr>
              <w:t>C04 شناسایی و طبقه‌بندی دارایی‌ها; C05 شناسایی تهدید و اطلاعات تهدید; C06 مدیریت آسیب‌پذیری و آزمون نفوذ; A01 درک سازمان، محیط IT و سیستم اطلاعاتی</w:t>
            </w:r>
          </w:p>
        </w:tc>
        <w:tc>
          <w:tcPr>
            <w:tcW w:type="dxa" w:w="1417"/>
          </w:tcPr>
          <w:p>
            <w:pPr>
              <w:bidi/>
              <w:jc w:val="right"/>
            </w:pPr>
            <w:r>
              <w:rPr>
                <w:rFonts w:ascii="Arial" w:hAnsi="Arial" w:cs="Arial"/>
                <w:rtl/>
              </w:rPr>
            </w:r>
            <w:r>
              <w:rPr>
                <w:rFonts w:ascii="Arial" w:hAnsi="Arial" w:cs="Arial"/>
                <w:b w:val="0"/>
                <w:sz w:val="17"/>
                <w:rtl/>
              </w:rPr>
              <w:t>اولیه: مرتبه اول شکل‌دهنده در مدل سلسله‌مراتبی</w:t>
            </w:r>
          </w:p>
        </w:tc>
      </w:tr>
      <w:tr>
        <w:tc>
          <w:tcPr>
            <w:tcW w:type="dxa" w:w="2041"/>
          </w:tcPr>
          <w:p>
            <w:pPr>
              <w:bidi/>
              <w:jc w:val="right"/>
            </w:pPr>
            <w:r>
              <w:rPr>
                <w:rFonts w:ascii="Arial" w:hAnsi="Arial" w:cs="Arial"/>
                <w:rtl/>
              </w:rPr>
            </w:r>
            <w:r>
              <w:rPr>
                <w:rFonts w:ascii="Arial" w:hAnsi="Arial" w:cs="Arial"/>
                <w:b w:val="0"/>
                <w:sz w:val="17"/>
                <w:rtl/>
              </w:rPr>
              <w:t>CCE: ارزیابی بلوغ و اثربخشی کنترل‌ها</w:t>
            </w:r>
          </w:p>
        </w:tc>
        <w:tc>
          <w:tcPr>
            <w:tcW w:type="dxa" w:w="2268"/>
          </w:tcPr>
          <w:p>
            <w:pPr>
              <w:bidi/>
              <w:jc w:val="right"/>
            </w:pPr>
            <w:r>
              <w:rPr>
                <w:rFonts w:ascii="Arial" w:hAnsi="Arial" w:cs="Arial"/>
                <w:rtl/>
              </w:rPr>
            </w:r>
            <w:r>
              <w:rPr>
                <w:rFonts w:ascii="Arial" w:hAnsi="Arial" w:cs="Arial"/>
                <w:b w:val="0"/>
                <w:sz w:val="17"/>
                <w:rtl/>
              </w:rPr>
              <w:t>ارزیابی طراحی، پیاده‌سازی و اثربخشی عملیاتی کنترل‌ها</w:t>
            </w:r>
          </w:p>
        </w:tc>
        <w:tc>
          <w:tcPr>
            <w:tcW w:type="dxa" w:w="3628"/>
          </w:tcPr>
          <w:p>
            <w:pPr>
              <w:bidi/>
              <w:jc w:val="right"/>
            </w:pPr>
            <w:r>
              <w:rPr>
                <w:rFonts w:ascii="Arial" w:hAnsi="Arial" w:cs="Arial"/>
                <w:rtl/>
              </w:rPr>
            </w:r>
            <w:r>
              <w:rPr>
                <w:rFonts w:ascii="Arial" w:hAnsi="Arial" w:cs="Arial"/>
                <w:b w:val="0"/>
                <w:sz w:val="17"/>
                <w:rtl/>
              </w:rPr>
              <w:t>C09 اجرای کنترل‌ها و برنامه برطرف‌سازی ریسک; C10 کنترل دسترسی و احراز هویت; C11 حفاظت از داده و رمزنگاری; C12 امنیت شبکه، زیرساخت و محیط فیزیکی; C13 توسعه امن و مدیریت تغییرات; C14 آگاهی و آموزش امنیتی; C15 ریسک شخص ثالث و زنجیره تأمین; A03 ارزیابی طراحی و اثربخشی کنترل‌های عمومی IT; A04 کفایت و قابلیت اتکای شواهد الکترونیکی</w:t>
            </w:r>
          </w:p>
        </w:tc>
        <w:tc>
          <w:tcPr>
            <w:tcW w:type="dxa" w:w="1417"/>
          </w:tcPr>
          <w:p>
            <w:pPr>
              <w:bidi/>
              <w:jc w:val="right"/>
            </w:pPr>
            <w:r>
              <w:rPr>
                <w:rFonts w:ascii="Arial" w:hAnsi="Arial" w:cs="Arial"/>
                <w:rtl/>
              </w:rPr>
            </w:r>
            <w:r>
              <w:rPr>
                <w:rFonts w:ascii="Arial" w:hAnsi="Arial" w:cs="Arial"/>
                <w:b w:val="0"/>
                <w:sz w:val="17"/>
                <w:rtl/>
              </w:rPr>
              <w:t>اولیه: مرتبه اول شکل‌دهنده در مدل سلسله‌مراتبی</w:t>
            </w:r>
          </w:p>
        </w:tc>
      </w:tr>
      <w:tr>
        <w:tc>
          <w:tcPr>
            <w:tcW w:type="dxa" w:w="2041"/>
          </w:tcPr>
          <w:p>
            <w:pPr>
              <w:bidi/>
              <w:jc w:val="right"/>
            </w:pPr>
            <w:r>
              <w:rPr>
                <w:rFonts w:ascii="Arial" w:hAnsi="Arial" w:cs="Arial"/>
                <w:rtl/>
              </w:rPr>
            </w:r>
            <w:r>
              <w:rPr>
                <w:rFonts w:ascii="Arial" w:hAnsi="Arial" w:cs="Arial"/>
                <w:b w:val="0"/>
                <w:sz w:val="17"/>
                <w:rtl/>
              </w:rPr>
              <w:t>COL: همکاری و صلاحیت حسابرس–متخصص</w:t>
            </w:r>
          </w:p>
        </w:tc>
        <w:tc>
          <w:tcPr>
            <w:tcW w:type="dxa" w:w="2268"/>
          </w:tcPr>
          <w:p>
            <w:pPr>
              <w:bidi/>
              <w:jc w:val="right"/>
            </w:pPr>
            <w:r>
              <w:rPr>
                <w:rFonts w:ascii="Arial" w:hAnsi="Arial" w:cs="Arial"/>
                <w:rtl/>
              </w:rPr>
            </w:r>
            <w:r>
              <w:rPr>
                <w:rFonts w:ascii="Arial" w:hAnsi="Arial" w:cs="Arial"/>
                <w:b w:val="0"/>
                <w:sz w:val="17"/>
                <w:rtl/>
              </w:rPr>
              <w:t>دانش فنی حسابرس، مشارکت متخصص و هماهنگی نقش‌ها</w:t>
            </w:r>
          </w:p>
        </w:tc>
        <w:tc>
          <w:tcPr>
            <w:tcW w:type="dxa" w:w="3628"/>
          </w:tcPr>
          <w:p>
            <w:pPr>
              <w:bidi/>
              <w:jc w:val="right"/>
            </w:pPr>
            <w:r>
              <w:rPr>
                <w:rFonts w:ascii="Arial" w:hAnsi="Arial" w:cs="Arial"/>
                <w:rtl/>
              </w:rPr>
            </w:r>
            <w:r>
              <w:rPr>
                <w:rFonts w:ascii="Arial" w:hAnsi="Arial" w:cs="Arial"/>
                <w:b w:val="0"/>
                <w:sz w:val="17"/>
                <w:rtl/>
              </w:rPr>
              <w:t>C01 حاکمیت و نظارت مدیران ارشد بر ریسک سایبری; A05 اتکا به گزارش‌های سازمان خدماتی; A06 شایستگی فنی حسابرس و استفاده از کارشناس</w:t>
            </w:r>
          </w:p>
        </w:tc>
        <w:tc>
          <w:tcPr>
            <w:tcW w:type="dxa" w:w="1417"/>
          </w:tcPr>
          <w:p>
            <w:pPr>
              <w:bidi/>
              <w:jc w:val="right"/>
            </w:pPr>
            <w:r>
              <w:rPr>
                <w:rFonts w:ascii="Arial" w:hAnsi="Arial" w:cs="Arial"/>
                <w:rtl/>
              </w:rPr>
            </w:r>
            <w:r>
              <w:rPr>
                <w:rFonts w:ascii="Arial" w:hAnsi="Arial" w:cs="Arial"/>
                <w:b w:val="0"/>
                <w:sz w:val="17"/>
                <w:rtl/>
              </w:rPr>
              <w:t>اولیه: مرتبه اول شکل‌دهنده در مدل سلسله‌مراتبی</w:t>
            </w:r>
          </w:p>
        </w:tc>
      </w:tr>
      <w:tr>
        <w:tc>
          <w:tcPr>
            <w:tcW w:type="dxa" w:w="2041"/>
          </w:tcPr>
          <w:p>
            <w:pPr>
              <w:bidi/>
              <w:jc w:val="right"/>
            </w:pPr>
            <w:r>
              <w:rPr>
                <w:rFonts w:ascii="Arial" w:hAnsi="Arial" w:cs="Arial"/>
                <w:rtl/>
              </w:rPr>
            </w:r>
            <w:r>
              <w:rPr>
                <w:rFonts w:ascii="Arial" w:hAnsi="Arial" w:cs="Arial"/>
                <w:b w:val="0"/>
                <w:sz w:val="17"/>
                <w:rtl/>
              </w:rPr>
              <w:t>RRJ: قضاوت احتمال، پیامد و ریسک باقیمانده</w:t>
            </w:r>
          </w:p>
        </w:tc>
        <w:tc>
          <w:tcPr>
            <w:tcW w:type="dxa" w:w="2268"/>
          </w:tcPr>
          <w:p>
            <w:pPr>
              <w:bidi/>
              <w:jc w:val="right"/>
            </w:pPr>
            <w:r>
              <w:rPr>
                <w:rFonts w:ascii="Arial" w:hAnsi="Arial" w:cs="Arial"/>
                <w:rtl/>
              </w:rPr>
            </w:r>
            <w:r>
              <w:rPr>
                <w:rFonts w:ascii="Arial" w:hAnsi="Arial" w:cs="Arial"/>
                <w:b w:val="0"/>
                <w:sz w:val="17"/>
                <w:rtl/>
              </w:rPr>
              <w:t>برآورد، رتبه‌بندی و اولویت‌بندی ریسک با لحاظ کنترل‌ها</w:t>
            </w:r>
          </w:p>
        </w:tc>
        <w:tc>
          <w:tcPr>
            <w:tcW w:type="dxa" w:w="3628"/>
          </w:tcPr>
          <w:p>
            <w:pPr>
              <w:bidi/>
              <w:jc w:val="right"/>
            </w:pPr>
            <w:r>
              <w:rPr>
                <w:rFonts w:ascii="Arial" w:hAnsi="Arial" w:cs="Arial"/>
                <w:rtl/>
              </w:rPr>
            </w:r>
            <w:r>
              <w:rPr>
                <w:rFonts w:ascii="Arial" w:hAnsi="Arial" w:cs="Arial"/>
                <w:b w:val="0"/>
                <w:sz w:val="17"/>
                <w:rtl/>
              </w:rPr>
              <w:t>C07 تحلیل و ارزیابی ریسک (احتمال، اثر، رتبه‌بندی); C08 ریسک تقلب سایبری و تغییرات محیط; A02 ارزیابی اثر ریسک سایبری بر ریسک تحریف با اهمیت</w:t>
            </w:r>
          </w:p>
        </w:tc>
        <w:tc>
          <w:tcPr>
            <w:tcW w:type="dxa" w:w="1417"/>
          </w:tcPr>
          <w:p>
            <w:pPr>
              <w:bidi/>
              <w:jc w:val="right"/>
            </w:pPr>
            <w:r>
              <w:rPr>
                <w:rFonts w:ascii="Arial" w:hAnsi="Arial" w:cs="Arial"/>
                <w:rtl/>
              </w:rPr>
            </w:r>
            <w:r>
              <w:rPr>
                <w:rFonts w:ascii="Arial" w:hAnsi="Arial" w:cs="Arial"/>
                <w:b w:val="0"/>
                <w:sz w:val="17"/>
                <w:rtl/>
              </w:rPr>
              <w:t>اولیه: مرتبه اول شکل‌دهنده در مدل سلسله‌مراتبی</w:t>
            </w:r>
          </w:p>
        </w:tc>
      </w:tr>
      <w:tr>
        <w:tc>
          <w:tcPr>
            <w:tcW w:type="dxa" w:w="2041"/>
          </w:tcPr>
          <w:p>
            <w:pPr>
              <w:bidi/>
              <w:jc w:val="right"/>
            </w:pPr>
            <w:r>
              <w:rPr>
                <w:rFonts w:ascii="Arial" w:hAnsi="Arial" w:cs="Arial"/>
                <w:rtl/>
              </w:rPr>
            </w:r>
            <w:r>
              <w:rPr>
                <w:rFonts w:ascii="Arial" w:hAnsi="Arial" w:cs="Arial"/>
                <w:b w:val="0"/>
                <w:sz w:val="17"/>
                <w:rtl/>
              </w:rPr>
              <w:t>MOL: پایش مستمر و یادگیری سازمانی</w:t>
            </w:r>
          </w:p>
        </w:tc>
        <w:tc>
          <w:tcPr>
            <w:tcW w:type="dxa" w:w="2268"/>
          </w:tcPr>
          <w:p>
            <w:pPr>
              <w:bidi/>
              <w:jc w:val="right"/>
            </w:pPr>
            <w:r>
              <w:rPr>
                <w:rFonts w:ascii="Arial" w:hAnsi="Arial" w:cs="Arial"/>
                <w:rtl/>
              </w:rPr>
            </w:r>
            <w:r>
              <w:rPr>
                <w:rFonts w:ascii="Arial" w:hAnsi="Arial" w:cs="Arial"/>
                <w:b w:val="0"/>
                <w:sz w:val="17"/>
                <w:rtl/>
              </w:rPr>
              <w:t>بازارزیابی، پایش، یادگیری از حادثه و بهبود</w:t>
            </w:r>
          </w:p>
        </w:tc>
        <w:tc>
          <w:tcPr>
            <w:tcW w:type="dxa" w:w="3628"/>
          </w:tcPr>
          <w:p>
            <w:pPr>
              <w:bidi/>
              <w:jc w:val="right"/>
            </w:pPr>
            <w:r>
              <w:rPr>
                <w:rFonts w:ascii="Arial" w:hAnsi="Arial" w:cs="Arial"/>
                <w:rtl/>
              </w:rPr>
            </w:r>
            <w:r>
              <w:rPr>
                <w:rFonts w:ascii="Arial" w:hAnsi="Arial" w:cs="Arial"/>
                <w:b w:val="0"/>
                <w:sz w:val="17"/>
                <w:rtl/>
              </w:rPr>
              <w:t>C16 پایش مستمر و ثبت وقایع; C17 مدیریت و پاسخ به حوادث; C18 تداوم کسب‌وکار و بازیابی از بحران; C20 بهبود مستمر و ارزیابی اثربخشی</w:t>
            </w:r>
          </w:p>
        </w:tc>
        <w:tc>
          <w:tcPr>
            <w:tcW w:type="dxa" w:w="1417"/>
          </w:tcPr>
          <w:p>
            <w:pPr>
              <w:bidi/>
              <w:jc w:val="right"/>
            </w:pPr>
            <w:r>
              <w:rPr>
                <w:rFonts w:ascii="Arial" w:hAnsi="Arial" w:cs="Arial"/>
                <w:rtl/>
              </w:rPr>
            </w:r>
            <w:r>
              <w:rPr>
                <w:rFonts w:ascii="Arial" w:hAnsi="Arial" w:cs="Arial"/>
                <w:b w:val="0"/>
                <w:sz w:val="17"/>
                <w:rtl/>
              </w:rPr>
              <w:t>اولیه: مرتبه اول شکل‌دهنده در مدل سلسله‌مراتبی</w:t>
            </w:r>
          </w:p>
        </w:tc>
      </w:tr>
      <w:tr>
        <w:tc>
          <w:tcPr>
            <w:tcW w:type="dxa" w:w="2041"/>
          </w:tcPr>
          <w:p>
            <w:pPr>
              <w:bidi/>
              <w:jc w:val="right"/>
            </w:pPr>
            <w:r>
              <w:rPr>
                <w:rFonts w:ascii="Arial" w:hAnsi="Arial" w:cs="Arial"/>
                <w:rtl/>
              </w:rPr>
            </w:r>
            <w:r>
              <w:rPr>
                <w:rFonts w:ascii="Arial" w:hAnsi="Arial" w:cs="Arial"/>
                <w:b w:val="0"/>
                <w:sz w:val="17"/>
                <w:rtl/>
              </w:rPr>
              <w:t>PEF: اثربخشی فرایند ارزیابی</w:t>
            </w:r>
          </w:p>
        </w:tc>
        <w:tc>
          <w:tcPr>
            <w:tcW w:type="dxa" w:w="2268"/>
          </w:tcPr>
          <w:p>
            <w:pPr>
              <w:bidi/>
              <w:jc w:val="right"/>
            </w:pPr>
            <w:r>
              <w:rPr>
                <w:rFonts w:ascii="Arial" w:hAnsi="Arial" w:cs="Arial"/>
                <w:rtl/>
              </w:rPr>
            </w:r>
            <w:r>
              <w:rPr>
                <w:rFonts w:ascii="Arial" w:hAnsi="Arial" w:cs="Arial"/>
                <w:b w:val="0"/>
                <w:sz w:val="17"/>
                <w:rtl/>
              </w:rPr>
              <w:t>کامل‌بودن، به‌موقع‌بودن گزارش، اولویت‌بندی و پیگیری</w:t>
            </w:r>
          </w:p>
        </w:tc>
        <w:tc>
          <w:tcPr>
            <w:tcW w:type="dxa" w:w="3628"/>
          </w:tcPr>
          <w:p>
            <w:pPr>
              <w:bidi/>
              <w:jc w:val="right"/>
            </w:pPr>
            <w:r>
              <w:rPr>
                <w:rFonts w:ascii="Arial" w:hAnsi="Arial" w:cs="Arial"/>
                <w:rtl/>
              </w:rPr>
            </w:r>
            <w:r>
              <w:rPr>
                <w:rFonts w:ascii="Arial" w:hAnsi="Arial" w:cs="Arial"/>
                <w:b w:val="0"/>
                <w:sz w:val="17"/>
                <w:rtl/>
              </w:rPr>
              <w:t>C21 مستندسازی و گزارشگری ریسک; A07 ارزیابی اثر حوادث سایبری بر صورت‌های مالی و افشا; A08 ارتباط با راهبران و گزارش نقاط ضعف کنترلی; A09 قضاوت و تردید حرفه‌ای در ریسک سایبری</w:t>
            </w:r>
          </w:p>
        </w:tc>
        <w:tc>
          <w:tcPr>
            <w:tcW w:type="dxa" w:w="1417"/>
          </w:tcPr>
          <w:p>
            <w:pPr>
              <w:bidi/>
              <w:jc w:val="right"/>
            </w:pPr>
            <w:r>
              <w:rPr>
                <w:rFonts w:ascii="Arial" w:hAnsi="Arial" w:cs="Arial"/>
                <w:rtl/>
              </w:rPr>
            </w:r>
            <w:r>
              <w:rPr>
                <w:rFonts w:ascii="Arial" w:hAnsi="Arial" w:cs="Arial"/>
                <w:b w:val="0"/>
                <w:sz w:val="17"/>
                <w:rtl/>
              </w:rPr>
              <w:t>اولیه: مرتبه اول شکل‌دهنده در مدل سلسله‌مراتبی</w:t>
            </w:r>
          </w:p>
        </w:tc>
      </w:tr>
      <w:tr>
        <w:tc>
          <w:tcPr>
            <w:tcW w:type="dxa" w:w="2041"/>
          </w:tcPr>
          <w:p>
            <w:pPr>
              <w:bidi/>
              <w:jc w:val="right"/>
            </w:pPr>
            <w:r>
              <w:rPr>
                <w:rFonts w:ascii="Arial" w:hAnsi="Arial" w:cs="Arial"/>
                <w:rtl/>
              </w:rPr>
            </w:r>
            <w:r>
              <w:rPr>
                <w:rFonts w:ascii="Arial" w:hAnsi="Arial" w:cs="Arial"/>
                <w:b w:val="0"/>
                <w:sz w:val="17"/>
                <w:rtl/>
              </w:rPr>
              <w:t>Context: متغیرهای زمینه‌ای و کنترلی</w:t>
            </w:r>
          </w:p>
        </w:tc>
        <w:tc>
          <w:tcPr>
            <w:tcW w:type="dxa" w:w="2268"/>
          </w:tcPr>
          <w:p>
            <w:pPr>
              <w:bidi/>
              <w:jc w:val="right"/>
            </w:pPr>
            <w:r>
              <w:rPr>
                <w:rFonts w:ascii="Arial" w:hAnsi="Arial" w:cs="Arial"/>
                <w:rtl/>
              </w:rPr>
            </w:r>
            <w:r>
              <w:rPr>
                <w:rFonts w:ascii="Arial" w:hAnsi="Arial" w:cs="Arial"/>
                <w:b w:val="0"/>
                <w:sz w:val="17"/>
                <w:rtl/>
              </w:rPr>
              <w:t>سیاست و دامنه، الزام قانونی</w:t>
            </w:r>
          </w:p>
        </w:tc>
        <w:tc>
          <w:tcPr>
            <w:tcW w:type="dxa" w:w="3628"/>
          </w:tcPr>
          <w:p>
            <w:pPr>
              <w:bidi/>
              <w:jc w:val="right"/>
            </w:pPr>
            <w:r>
              <w:rPr>
                <w:rFonts w:ascii="Arial" w:hAnsi="Arial" w:cs="Arial"/>
                <w:rtl/>
              </w:rPr>
            </w:r>
            <w:r>
              <w:rPr>
                <w:rFonts w:ascii="Arial" w:hAnsi="Arial" w:cs="Arial"/>
                <w:b w:val="0"/>
                <w:sz w:val="17"/>
                <w:rtl/>
              </w:rPr>
              <w:t>C02 سیاست‌ها و راهبرد امنیت سایبری; C03 تعیین زمینه، دامنه و اهداف ارزیابی; C19 انطباق با الزامات قانونی و حریم خصوصی</w:t>
            </w:r>
          </w:p>
        </w:tc>
        <w:tc>
          <w:tcPr>
            <w:tcW w:type="dxa" w:w="1417"/>
          </w:tcPr>
          <w:p>
            <w:pPr>
              <w:bidi/>
              <w:jc w:val="right"/>
            </w:pPr>
            <w:r>
              <w:rPr>
                <w:rFonts w:ascii="Arial" w:hAnsi="Arial" w:cs="Arial"/>
                <w:rtl/>
              </w:rPr>
            </w:r>
            <w:r>
              <w:rPr>
                <w:rFonts w:ascii="Arial" w:hAnsi="Arial" w:cs="Arial"/>
                <w:b w:val="0"/>
                <w:sz w:val="17"/>
                <w:rtl/>
              </w:rPr>
              <w:t>—</w:t>
            </w:r>
          </w:p>
        </w:tc>
      </w:tr>
    </w:tbl>
    <w:p/>
    <w:p>
      <w:pPr>
        <w:spacing w:after="100" w:line="288" w:lineRule="auto"/>
        <w:bidi/>
        <w:jc w:val="right"/>
      </w:pPr>
      <w:r>
        <w:rPr>
          <w:rFonts w:ascii="Arial" w:hAnsi="Arial" w:cs="Arial"/>
          <w:b/>
          <w:i w:val="0"/>
          <w:color w:val="1F3864"/>
          <w:sz w:val="25"/>
          <w:rtl/>
        </w:rPr>
        <w:t>2-3. سازوکارها: هر نظریه چه چیزی را توضیح می‌دهد</w:t>
      </w:r>
    </w:p>
    <w:p>
      <w:pPr>
        <w:spacing w:after="140" w:line="336" w:lineRule="auto"/>
        <w:bidi/>
        <w:jc w:val="right"/>
      </w:pPr>
      <w:r>
        <w:rPr>
          <w:rFonts w:ascii="Arial" w:hAnsi="Arial" w:cs="Arial"/>
          <w:b w:val="0"/>
          <w:i w:val="0"/>
          <w:rtl/>
        </w:rPr>
        <w:t>مدل ریسک حسابرسی و حسابرسی مبتنی بر ریسک زنجیره‌ای را توضیح می‌دهند که مطالعه را سازمان می‌دهد: اطلاعات درباره واحد و محیط IT آن به ارزیابی ریسک تبدیل می‌شود و ارزیابی پاسخ را تعیین می‌کند. بنابراین کیفیت آنچه حسابرس شناسایی و ارزیابی می‌کند باید کیفیت قضاوت درباره ریسک را تعیین کند و کیفیت قضاوت باید آنچه منتقل و انجام می‌شود را تعیین کند.</w:t>
      </w:r>
    </w:p>
    <w:p>
      <w:pPr>
        <w:spacing w:after="140" w:line="336" w:lineRule="auto"/>
        <w:bidi/>
        <w:jc w:val="right"/>
      </w:pPr>
      <w:r>
        <w:rPr>
          <w:rFonts w:ascii="Arial" w:hAnsi="Arial" w:cs="Arial"/>
          <w:b w:val="0"/>
          <w:i w:val="0"/>
          <w:rtl/>
        </w:rPr>
        <w:t>نظریه نمایندگی توضیح می‌دهد چرا نقطه دید اهمیت دارد. در روایت Jensen و Meckling (1976)، نظارت و تعهد‌دهی پدید می‌آیند چون مالکان نمی‌توانند بدون هزینه رفتار عامل را ببینند؛ حسابرسی یکی از این ابزارهاست. در ریسک سایبری این عدم تقارن شدید است: سازمان سیستم‌هایش را می‌شناسد و حسابرس باید درباره آن‌ها اظهارنظر کند. اتکا به متخصصان و توصیف‌های تهیه‌شده توسط سازمان بهای این عدم تقارن است و هرجا دو طرف مولفه‌ها را متفاوت وزن کنند، تفاوت نشان می‌دهد رابطه نظارتی کجا زیر فشار است.</w:t>
      </w:r>
    </w:p>
    <w:p>
      <w:pPr>
        <w:spacing w:after="140" w:line="336" w:lineRule="auto"/>
        <w:bidi/>
        <w:jc w:val="right"/>
      </w:pPr>
      <w:r>
        <w:rPr>
          <w:rFonts w:ascii="Arial" w:hAnsi="Arial" w:cs="Arial"/>
          <w:b w:val="0"/>
          <w:i w:val="0"/>
          <w:rtl/>
        </w:rPr>
        <w:t>دیدگاه مبتنی بر منابع و توانمندی‌های پویا توضیح می‌دهد چرا صلاحیت، همکاری و یادگیری به سازه تعلق دارند. منابع ارزشمند، کمیاب و دشوار‌تقلید عملکرد را پایدار می‌کنند (Barney, 1991) و توانمندی‌های یکپارچه‌سازی، ساخت و بازپیکربندی شایستگی‌ها امکان سازگاری با محیط متغیر را می‌دهند (Teece et al., 1997). صلاحیت فنی حسابرس، رابطه کاری با متخصصان و توان یادگیری از حوادث دقیقاً در این معنا توانمندی‌اند.</w:t>
      </w:r>
    </w:p>
    <w:p>
      <w:pPr>
        <w:spacing w:after="140" w:line="336" w:lineRule="auto"/>
        <w:bidi/>
        <w:jc w:val="right"/>
      </w:pPr>
      <w:r>
        <w:rPr>
          <w:rFonts w:ascii="Arial" w:hAnsi="Arial" w:cs="Arial"/>
          <w:b w:val="0"/>
          <w:i w:val="0"/>
          <w:rtl/>
        </w:rPr>
        <w:t>نظریه‌های نهادی و اقتضایی توضیح می‌دهند چرا زمینه اهمیت دارد. پذیرش استانداردها به فشارهای قانونی، تقلیدی و هنجاری پاسخ می‌دهد (DiMaggio &amp; Powell, 1983) و اثربخشی یک رویه به تناسب آن با شرایط سازمان بستگی دارد (Donaldson, 2001). Vuko et al. (2024) لنز نهادی را برای اثربخشی حسابرسی امنیت سایبری به کار برده‌اند. این نظریه‌ها با هم پیش‌بینی می‌کنند که مولفه‌ای می‌تواند مهم ولی غیرقابل اجرا باشد، هرجا شرایط توانمندساز نباشد؛ به همین دلیل اهمیت و قابلیت اجرا جدا سنجیده می‌شوند.</w:t>
      </w:r>
    </w:p>
    <w:p>
      <w:pPr>
        <w:spacing w:after="140" w:line="336" w:lineRule="auto"/>
        <w:bidi/>
        <w:jc w:val="right"/>
      </w:pPr>
      <w:r>
        <w:rPr>
          <w:rFonts w:ascii="Arial" w:hAnsi="Arial" w:cs="Arial"/>
          <w:b w:val="0"/>
          <w:i w:val="0"/>
          <w:rtl/>
        </w:rPr>
        <w:t>اقتصاد سرمایه‌گذاری امنیتی توضیح می‌دهد چرا قضاوت ریسک باقیمانده کارکرد اولویت‌بندی دارد. Gordon و Loeb (2002) نشان می‌دهند سرمایه‌گذاری بهینه در حفاظت از یک مجموعه اطلاعات عموماً کسری از زیان مورد انتظار است و مجموعه‌های اطلاعاتی با آسیب‌پذیری متوسط ممکن است حفاظت بیشتری از مجموعه‌های بسیار آسیب‌پذیر ارزش داشته باشند. ارزیابی‌ای که ریسک‌ها را رتبه‌بندی می‌کند و ریسک ذاتی را از باقیمانده جدا می‌کند چنین مبادلاتی را ممکن می‌سازد.</w:t>
      </w:r>
    </w:p>
    <w:p>
      <w:pPr>
        <w:spacing w:after="100" w:line="288" w:lineRule="auto"/>
        <w:bidi/>
        <w:jc w:val="right"/>
      </w:pPr>
      <w:r>
        <w:rPr>
          <w:rFonts w:ascii="Arial" w:hAnsi="Arial" w:cs="Arial"/>
          <w:b/>
          <w:i w:val="0"/>
          <w:color w:val="1F3864"/>
          <w:sz w:val="25"/>
          <w:rtl/>
        </w:rPr>
        <w:t>2-4. فرضیه‌ها</w:t>
      </w:r>
    </w:p>
    <w:p>
      <w:pPr>
        <w:jc w:val="center"/>
      </w:pPr>
      <w:r>
        <w:drawing>
          <wp:inline xmlns:a="http://schemas.openxmlformats.org/drawingml/2006/main" xmlns:pic="http://schemas.openxmlformats.org/drawingml/2006/picture">
            <wp:extent cx="5400000" cy="3136736"/>
            <wp:docPr id="1" name="Picture 1"/>
            <wp:cNvGraphicFramePr>
              <a:graphicFrameLocks noChangeAspect="1"/>
            </wp:cNvGraphicFramePr>
            <a:graphic>
              <a:graphicData uri="http://schemas.openxmlformats.org/drawingml/2006/picture">
                <pic:pic>
                  <pic:nvPicPr>
                    <pic:cNvPr id="0" name="model.png"/>
                    <pic:cNvPicPr/>
                  </pic:nvPicPr>
                  <pic:blipFill>
                    <a:blip r:embed="rId9"/>
                    <a:stretch>
                      <a:fillRect/>
                    </a:stretch>
                  </pic:blipFill>
                  <pic:spPr>
                    <a:xfrm>
                      <a:off x="0" y="0"/>
                      <a:ext cx="5400000" cy="3136736"/>
                    </a:xfrm>
                    <a:prstGeom prst="rect"/>
                  </pic:spPr>
                </pic:pic>
              </a:graphicData>
            </a:graphic>
          </wp:inline>
        </w:drawing>
      </w:r>
    </w:p>
    <w:p>
      <w:pPr>
        <w:spacing w:after="140" w:line="264" w:lineRule="auto"/>
        <w:bidi/>
        <w:jc w:val="center"/>
      </w:pPr>
      <w:r>
        <w:rPr>
          <w:rFonts w:ascii="Arial" w:hAnsi="Arial" w:cs="Arial"/>
          <w:b w:val="0"/>
          <w:i w:val="0"/>
          <w:color w:val="5A5A5A"/>
          <w:sz w:val="19"/>
          <w:rtl/>
        </w:rPr>
        <w:t>شکل 1. مدل ساختاری پیشنهادی.</w:t>
      </w:r>
    </w:p>
    <w:p>
      <w:pPr>
        <w:spacing w:after="140" w:line="336" w:lineRule="auto"/>
        <w:bidi/>
        <w:jc w:val="right"/>
      </w:pPr>
      <w:r>
        <w:rPr>
          <w:rFonts w:ascii="Arial" w:hAnsi="Arial" w:cs="Arial"/>
          <w:b w:val="0"/>
          <w:i w:val="0"/>
          <w:rtl/>
        </w:rPr>
        <w:t>ورودی‌های قضاوت (H1 و H2). مدل ریسک حسابرسی زنجیره‌ای از اطلاعات به ارزیابی و به پاسخ را القا می‌کند. برای شناسایی، ISA 315 شناخت محیط IT و شناسایی ریسک‌های ناشی از IT را پیش از ارزیابی ریسک تحریف با اهمیت می‌خواهد، ISO/IEC 27005:2022 شناسایی را پیش از تحلیل و ارزیابی قرار می‌دهد و ادبیات روش‌ها تهدید، آسیب‌پذیری و پیامد را سه‌گانه‌ای می‌داند که پوشش هم‌زمان آن‌ها ارزیابی کامل را تعریف می‌کند (Ganin et al., 2020; Wangen et al., 2018). پس H1: TVI بر RRJ اثر مثبت دارد. برای ارزیابی کنترل، منطق همان تعریف ریسک باقیمانده است: قضاوت درباره آنچه پس از کنترل‌ها می‌ماند نمی‌تواند از ارزیابی کنترل‌ها بهتر باشد. ISA 315 ارزیابی طراحی و اجرای کنترل‌های مرتبط و کنترل‌های عمومی IT را می‌خواهد و مرحله اجرا در Slapničar et al. (2022) جای چنین ارزیابی‌ای است. پس H2: CCE بر RRJ اثر مثبت دارد. هر دو فرضیه کیفیت اقدام‌های ارزیابی را می‌سنجند نه امنیت واحد را.</w:t>
      </w:r>
    </w:p>
    <w:p>
      <w:pPr>
        <w:spacing w:after="140" w:line="336" w:lineRule="auto"/>
        <w:bidi/>
        <w:jc w:val="right"/>
      </w:pPr>
      <w:r>
        <w:rPr>
          <w:rFonts w:ascii="Arial" w:hAnsi="Arial" w:cs="Arial"/>
          <w:b w:val="0"/>
          <w:i w:val="0"/>
          <w:rtl/>
        </w:rPr>
        <w:t>توانمندی و همکاری (H3، H4 و H9). چون ارزیاب مالک سیستم نیست و خروجی قضاوت است، توان تفسیر اطلاعات فنی بخشی از تولید قضاوت است. در دیدگاه توانمندی‌ها، همکاری حسابرس و متخصص همراه با صلاحیت حسابرس اطلاعات را به قضاوت تبدیل می‌کند. شواهد همین را نشان می‌دهند: رابطه حسابرسی داخلی و امنیت اطلاعات پرسشی شناخته‌شده درباره پیامدهای امنیتی است (Steinbart et al., 2018)، ویژگی‌های واحد حسابرسی داخلی با میزان حسابرسی امنیت سایبری مرتبط است (Islam et al., 2018) و حضور متخصص از همان Hermanson et al. (2000) با فراوانی ارزیابی‌های IT مرتبط بود؛ ISA 620 راه رسمی دسترسی به تخصص را فراهم می‌کند. پس H3: COL بر RRJ اثر مثبت دارد. ادعای پرپیامدتر H4 است: COL اثر شناسایی (H4a) و ارزیابی کنترل (H4b) بر قضاوت را تقویت می‌کند. شناسایی و ارزیابی اطلاعات فنی تولید می‌کنند؛ اینکه این اطلاعات قضاوت را تغییر دهد به این بستگی دارد که کسی صلاحیت‌دار بتواند آن را به زبان حسابرسی تفسیر کند، یعنی ترجمه دوم، از دارایی یا سناریو به ادعا. شواهد مستقیم برای تعدیل کم است و برای همین H4 را آزمونی صریح و نو معرفی می‌کنیم. H9 مسیر مستقیم COL به PEF را می‌افزاید: هماهنگی و صلاحیت چگونگی انتقال و پیگیری یافته‌ها را هم، فراتر از کیفیت خود قضاوت، شکل می‌دهند.</w:t>
      </w:r>
    </w:p>
    <w:p>
      <w:pPr>
        <w:spacing w:after="140" w:line="336" w:lineRule="auto"/>
        <w:bidi/>
        <w:jc w:val="right"/>
      </w:pPr>
      <w:r>
        <w:rPr>
          <w:rFonts w:ascii="Arial" w:hAnsi="Arial" w:cs="Arial"/>
          <w:b w:val="0"/>
          <w:i w:val="0"/>
          <w:rtl/>
        </w:rPr>
        <w:t>از قضاوت تا یادگیری و اثربخشی (H5، H6 و H7). قضاوت درباره ریسک باقیمانده دو مقصد دارد. مقصد اول کسانی هستند که باید اقدام کنند. H5: RRJ بر PEF اثر مثبت دارد، چون اولویت‌بندی، تمایز ریسک ذاتی و باقیمانده و وضوح آنچه گزارش می‌شود محصول قضاوت‌اند. Slapničar et al. (2022) برنامه‌ریزی و اجرا را به‌هم‌پیوسته و گزارشگری را سست‌تر پیوسته می‌یابند، که نشان می‌دهد گذر از قضاوت به ارتباط جایی است که اثربخشی برده یا باخته می‌شود؛ ISA 260 و ISA 265 این ارتباط را تنظیم می‌کنند. مقصد دوم ارزیابی بعدی است. H6: RRJ بر MOL اثر مثبت دارد، چون قضاوت درباره آنچه می‌ماند تعیین می‌کند چه چیزی باید پایش شود و بازارزیابی چه زمانی آغاز می‌شود. این همان دیدگاه پویاست که Armenia et al. (2021) در کاربرد ایستای چارچوب‌ها کم می‌یابند و با الزام‌های پایش و بهبود ISO/IEC 27001:2022 و دسته بهبود در NIST CSF 2.0 متناظر است. H7: MOL بر PEF اثر مثبت دارد، چون ارزیابی‌ای که با تغییر تهدیدها، سیستم‌ها و تأمین‌کنندگان بازبینی می‌شود کامل‌تر و به‌موقع‌تر از ارزیابی یک‌باره است.</w:t>
      </w:r>
    </w:p>
    <w:p>
      <w:pPr>
        <w:spacing w:after="140" w:line="336" w:lineRule="auto"/>
        <w:bidi/>
        <w:jc w:val="right"/>
      </w:pPr>
      <w:r>
        <w:rPr>
          <w:rFonts w:ascii="Arial" w:hAnsi="Arial" w:cs="Arial"/>
          <w:b w:val="0"/>
          <w:i w:val="0"/>
          <w:rtl/>
        </w:rPr>
        <w:t>میانجی‌گری (H8). اگر H1، H2 و H5 برقرار باشند، شناسایی و ارزیابی کنترل عمدتاً از راه قضاوت بر اثربخشی اثر می‌گذارند: ورودی می‌دهند و قضاوت ورودی را به نتایج اولویت‌بندی‌شده و قابل انتقال تبدیل می‌کند. H8: RRJ اثر TVI (H8a) و CCE (H8b) بر PEF را میانجی‌گری می‌کند. میانجی‌گری جزئی نشان می‌دهد این فعالیت‌ها مستقیم هم سهم دارند، مثلاً از راه اعتبار شواهد.</w:t>
      </w:r>
    </w:p>
    <w:p>
      <w:pPr>
        <w:spacing w:after="140" w:line="336" w:lineRule="auto"/>
        <w:bidi/>
        <w:jc w:val="right"/>
      </w:pPr>
      <w:r>
        <w:rPr>
          <w:rFonts w:ascii="Arial" w:hAnsi="Arial" w:cs="Arial"/>
          <w:b w:val="0"/>
          <w:i w:val="0"/>
          <w:rtl/>
        </w:rPr>
        <w:t>نقطه دید (H10). بعید است همین زنجیره برای سازمان‌های مورد رسیدگی و حسابرسان یکسان عمل کند. در عدم تقارن اطلاعات، سازمان دانش مستقیم از سیستم‌های خود دارد و حسابرس به سازمان و متخصصان وابسته است. پس انتظار داریم تفسیر برای حسابرسان مهم‌تر باشد: H10a، اثر COL بر RRJ در گروه حسابرس قوی‌تر است. چون اثربخشی حسابرس بیشتر با آنچه گزارش و پیگیری می‌شود تعریف می‌شود، انتظار داریم H10b: اثر RRJ بر PEF در گروه حسابرس قوی‌تر باشد. تفاوت مسیرهای دیگر بدون پیش‌بینی جهتی بررسی می‌شود (H10c). مقایسه پیش‌فرضش ثبات اندازه‌گیری است که پیش از هر مقایسه مسیر آزمون می‌شود.</w:t>
      </w:r>
    </w:p>
    <w:p>
      <w:pPr>
        <w:spacing w:after="60" w:line="264" w:lineRule="auto"/>
        <w:bidi/>
        <w:jc w:val="right"/>
      </w:pPr>
      <w:r>
        <w:rPr>
          <w:rFonts w:ascii="Arial" w:hAnsi="Arial" w:cs="Arial"/>
          <w:b/>
          <w:i w:val="0"/>
          <w:sz w:val="21"/>
          <w:rtl/>
        </w:rPr>
        <w:t>جدول 2. فرضیه‌ها</w:t>
      </w:r>
    </w:p>
    <w:tbl>
      <w:tblPr>
        <w:tblStyle w:val="TableGrid"/>
        <w:tblW w:type="auto" w:w="0"/>
        <w:tblLayout w:type="fixed"/>
        <w:tblLook w:firstColumn="1" w:firstRow="1" w:lastColumn="0" w:lastRow="0" w:noHBand="0" w:noVBand="1" w:val="04A0"/>
        <w:bidiVisual/>
      </w:tblPr>
      <w:tblGrid>
        <w:gridCol w:w="1077"/>
        <w:gridCol w:w="3005"/>
        <w:gridCol w:w="2438"/>
        <w:gridCol w:w="2835"/>
      </w:tblGrid>
      <w:tr>
        <w:tc>
          <w:tcPr>
            <w:tcW w:type="dxa" w:w="1077"/>
            <w:shd w:val="clear" w:color="auto" w:fill="1F3864"/>
          </w:tcPr>
          <w:p>
            <w:pPr>
              <w:bidi/>
              <w:jc w:val="right"/>
            </w:pPr>
            <w:r>
              <w:rPr>
                <w:rFonts w:ascii="Arial" w:hAnsi="Arial" w:cs="Arial"/>
                <w:rtl/>
              </w:rPr>
            </w:r>
            <w:r>
              <w:rPr>
                <w:rFonts w:ascii="Arial" w:hAnsi="Arial" w:cs="Arial"/>
                <w:b/>
                <w:color w:val="FFFFFF"/>
                <w:sz w:val="17"/>
                <w:rtl/>
              </w:rPr>
              <w:t>فرضیه</w:t>
            </w:r>
          </w:p>
        </w:tc>
        <w:tc>
          <w:tcPr>
            <w:tcW w:type="dxa" w:w="3005"/>
            <w:shd w:val="clear" w:color="auto" w:fill="1F3864"/>
          </w:tcPr>
          <w:p>
            <w:pPr>
              <w:bidi/>
              <w:jc w:val="right"/>
            </w:pPr>
            <w:r>
              <w:rPr>
                <w:rFonts w:ascii="Arial" w:hAnsi="Arial" w:cs="Arial"/>
                <w:rtl/>
              </w:rPr>
            </w:r>
            <w:r>
              <w:rPr>
                <w:rFonts w:ascii="Arial" w:hAnsi="Arial" w:cs="Arial"/>
                <w:b/>
                <w:color w:val="FFFFFF"/>
                <w:sz w:val="17"/>
                <w:rtl/>
              </w:rPr>
              <w:t>متن</w:t>
            </w:r>
          </w:p>
        </w:tc>
        <w:tc>
          <w:tcPr>
            <w:tcW w:type="dxa" w:w="2438"/>
            <w:shd w:val="clear" w:color="auto" w:fill="1F3864"/>
          </w:tcPr>
          <w:p>
            <w:pPr>
              <w:bidi/>
              <w:jc w:val="right"/>
            </w:pPr>
            <w:r>
              <w:rPr>
                <w:rFonts w:ascii="Arial" w:hAnsi="Arial" w:cs="Arial"/>
                <w:rtl/>
              </w:rPr>
            </w:r>
            <w:r>
              <w:rPr>
                <w:rFonts w:ascii="Arial" w:hAnsi="Arial" w:cs="Arial"/>
                <w:b/>
                <w:color w:val="FFFFFF"/>
                <w:sz w:val="17"/>
                <w:rtl/>
              </w:rPr>
              <w:t>سازوکار</w:t>
            </w:r>
          </w:p>
        </w:tc>
        <w:tc>
          <w:tcPr>
            <w:tcW w:type="dxa" w:w="2835"/>
            <w:shd w:val="clear" w:color="auto" w:fill="1F3864"/>
          </w:tcPr>
          <w:p>
            <w:pPr>
              <w:bidi/>
              <w:jc w:val="right"/>
            </w:pPr>
            <w:r>
              <w:rPr>
                <w:rFonts w:ascii="Arial" w:hAnsi="Arial" w:cs="Arial"/>
                <w:rtl/>
              </w:rPr>
            </w:r>
            <w:r>
              <w:rPr>
                <w:rFonts w:ascii="Arial" w:hAnsi="Arial" w:cs="Arial"/>
                <w:b/>
                <w:color w:val="FFFFFF"/>
                <w:sz w:val="17"/>
                <w:rtl/>
              </w:rPr>
              <w:t>مبانی</w:t>
            </w:r>
          </w:p>
        </w:tc>
      </w:tr>
      <w:tr>
        <w:tc>
          <w:tcPr>
            <w:tcW w:type="dxa" w:w="1077"/>
          </w:tcPr>
          <w:p>
            <w:pPr>
              <w:bidi/>
              <w:jc w:val="right"/>
            </w:pPr>
            <w:r>
              <w:rPr>
                <w:rFonts w:ascii="Arial" w:hAnsi="Arial" w:cs="Arial"/>
                <w:rtl/>
              </w:rPr>
            </w:r>
            <w:r>
              <w:rPr>
                <w:rFonts w:ascii="Arial" w:hAnsi="Arial" w:cs="Arial"/>
                <w:b w:val="0"/>
                <w:sz w:val="17"/>
                <w:rtl/>
              </w:rPr>
              <w:t>H1</w:t>
            </w:r>
          </w:p>
        </w:tc>
        <w:tc>
          <w:tcPr>
            <w:tcW w:type="dxa" w:w="3005"/>
          </w:tcPr>
          <w:p>
            <w:pPr>
              <w:bidi/>
              <w:jc w:val="right"/>
            </w:pPr>
            <w:r>
              <w:rPr>
                <w:rFonts w:ascii="Arial" w:hAnsi="Arial" w:cs="Arial"/>
                <w:rtl/>
              </w:rPr>
            </w:r>
            <w:r>
              <w:rPr>
                <w:rFonts w:ascii="Arial" w:hAnsi="Arial" w:cs="Arial"/>
                <w:b w:val="0"/>
                <w:sz w:val="17"/>
                <w:rtl/>
              </w:rPr>
              <w:t>TVI بر RRJ اثر مثبت دارد.</w:t>
            </w:r>
          </w:p>
        </w:tc>
        <w:tc>
          <w:tcPr>
            <w:tcW w:type="dxa" w:w="2438"/>
          </w:tcPr>
          <w:p>
            <w:pPr>
              <w:bidi/>
              <w:jc w:val="right"/>
            </w:pPr>
            <w:r>
              <w:rPr>
                <w:rFonts w:ascii="Arial" w:hAnsi="Arial" w:cs="Arial"/>
                <w:rtl/>
              </w:rPr>
            </w:r>
            <w:r>
              <w:rPr>
                <w:rFonts w:ascii="Arial" w:hAnsi="Arial" w:cs="Arial"/>
                <w:b w:val="0"/>
                <w:sz w:val="17"/>
                <w:rtl/>
              </w:rPr>
              <w:t>مدل ریسک حسابرسی: شناسایی پیش از ارزیابی</w:t>
            </w:r>
          </w:p>
        </w:tc>
        <w:tc>
          <w:tcPr>
            <w:tcW w:type="dxa" w:w="2835"/>
          </w:tcPr>
          <w:p>
            <w:pPr>
              <w:jc w:val="left"/>
            </w:pPr>
            <w:r/>
            <w:r>
              <w:rPr>
                <w:b w:val="0"/>
                <w:sz w:val="17"/>
              </w:rPr>
              <w:t>ISA 315; ISO/IEC 27005:2022; Ganin et al. (2020); Wangen et al. (2018)</w:t>
            </w:r>
          </w:p>
        </w:tc>
      </w:tr>
      <w:tr>
        <w:tc>
          <w:tcPr>
            <w:tcW w:type="dxa" w:w="1077"/>
          </w:tcPr>
          <w:p>
            <w:pPr>
              <w:bidi/>
              <w:jc w:val="right"/>
            </w:pPr>
            <w:r>
              <w:rPr>
                <w:rFonts w:ascii="Arial" w:hAnsi="Arial" w:cs="Arial"/>
                <w:rtl/>
              </w:rPr>
            </w:r>
            <w:r>
              <w:rPr>
                <w:rFonts w:ascii="Arial" w:hAnsi="Arial" w:cs="Arial"/>
                <w:b w:val="0"/>
                <w:sz w:val="17"/>
                <w:rtl/>
              </w:rPr>
              <w:t>H2</w:t>
            </w:r>
          </w:p>
        </w:tc>
        <w:tc>
          <w:tcPr>
            <w:tcW w:type="dxa" w:w="3005"/>
          </w:tcPr>
          <w:p>
            <w:pPr>
              <w:bidi/>
              <w:jc w:val="right"/>
            </w:pPr>
            <w:r>
              <w:rPr>
                <w:rFonts w:ascii="Arial" w:hAnsi="Arial" w:cs="Arial"/>
                <w:rtl/>
              </w:rPr>
            </w:r>
            <w:r>
              <w:rPr>
                <w:rFonts w:ascii="Arial" w:hAnsi="Arial" w:cs="Arial"/>
                <w:b w:val="0"/>
                <w:sz w:val="17"/>
                <w:rtl/>
              </w:rPr>
              <w:t>CCE بر RRJ اثر مثبت دارد.</w:t>
            </w:r>
          </w:p>
        </w:tc>
        <w:tc>
          <w:tcPr>
            <w:tcW w:type="dxa" w:w="2438"/>
          </w:tcPr>
          <w:p>
            <w:pPr>
              <w:bidi/>
              <w:jc w:val="right"/>
            </w:pPr>
            <w:r>
              <w:rPr>
                <w:rFonts w:ascii="Arial" w:hAnsi="Arial" w:cs="Arial"/>
                <w:rtl/>
              </w:rPr>
            </w:r>
            <w:r>
              <w:rPr>
                <w:rFonts w:ascii="Arial" w:hAnsi="Arial" w:cs="Arial"/>
                <w:b w:val="0"/>
                <w:sz w:val="17"/>
                <w:rtl/>
              </w:rPr>
              <w:t>ریسک باقیمانده نیازمند ارزیابی کنترل است</w:t>
            </w:r>
          </w:p>
        </w:tc>
        <w:tc>
          <w:tcPr>
            <w:tcW w:type="dxa" w:w="2835"/>
          </w:tcPr>
          <w:p>
            <w:pPr>
              <w:jc w:val="left"/>
            </w:pPr>
            <w:r/>
            <w:r>
              <w:rPr>
                <w:b w:val="0"/>
                <w:sz w:val="17"/>
              </w:rPr>
              <w:t>ISA 315 (کنترل‌ها، GITC); Slapničar et al. (2022)</w:t>
            </w:r>
          </w:p>
        </w:tc>
      </w:tr>
      <w:tr>
        <w:tc>
          <w:tcPr>
            <w:tcW w:type="dxa" w:w="1077"/>
          </w:tcPr>
          <w:p>
            <w:pPr>
              <w:bidi/>
              <w:jc w:val="right"/>
            </w:pPr>
            <w:r>
              <w:rPr>
                <w:rFonts w:ascii="Arial" w:hAnsi="Arial" w:cs="Arial"/>
                <w:rtl/>
              </w:rPr>
            </w:r>
            <w:r>
              <w:rPr>
                <w:rFonts w:ascii="Arial" w:hAnsi="Arial" w:cs="Arial"/>
                <w:b w:val="0"/>
                <w:sz w:val="17"/>
                <w:rtl/>
              </w:rPr>
              <w:t>H3</w:t>
            </w:r>
          </w:p>
        </w:tc>
        <w:tc>
          <w:tcPr>
            <w:tcW w:type="dxa" w:w="3005"/>
          </w:tcPr>
          <w:p>
            <w:pPr>
              <w:bidi/>
              <w:jc w:val="right"/>
            </w:pPr>
            <w:r>
              <w:rPr>
                <w:rFonts w:ascii="Arial" w:hAnsi="Arial" w:cs="Arial"/>
                <w:rtl/>
              </w:rPr>
            </w:r>
            <w:r>
              <w:rPr>
                <w:rFonts w:ascii="Arial" w:hAnsi="Arial" w:cs="Arial"/>
                <w:b w:val="0"/>
                <w:sz w:val="17"/>
                <w:rtl/>
              </w:rPr>
              <w:t>COL بر RRJ اثر مثبت دارد.</w:t>
            </w:r>
          </w:p>
        </w:tc>
        <w:tc>
          <w:tcPr>
            <w:tcW w:type="dxa" w:w="2438"/>
          </w:tcPr>
          <w:p>
            <w:pPr>
              <w:bidi/>
              <w:jc w:val="right"/>
            </w:pPr>
            <w:r>
              <w:rPr>
                <w:rFonts w:ascii="Arial" w:hAnsi="Arial" w:cs="Arial"/>
                <w:rtl/>
              </w:rPr>
            </w:r>
            <w:r>
              <w:rPr>
                <w:rFonts w:ascii="Arial" w:hAnsi="Arial" w:cs="Arial"/>
                <w:b w:val="0"/>
                <w:sz w:val="17"/>
                <w:rtl/>
              </w:rPr>
              <w:t>توانمندی‌ها اطلاعات را به قضاوت تبدیل می‌کنند</w:t>
            </w:r>
          </w:p>
        </w:tc>
        <w:tc>
          <w:tcPr>
            <w:tcW w:type="dxa" w:w="2835"/>
          </w:tcPr>
          <w:p>
            <w:pPr>
              <w:jc w:val="left"/>
            </w:pPr>
            <w:r/>
            <w:r>
              <w:rPr>
                <w:b w:val="0"/>
                <w:sz w:val="17"/>
              </w:rPr>
              <w:t>Steinbart et al. (2018); Islam et al. (2018); Hermanson et al. (2000); ISA 620</w:t>
            </w:r>
          </w:p>
        </w:tc>
      </w:tr>
      <w:tr>
        <w:tc>
          <w:tcPr>
            <w:tcW w:type="dxa" w:w="1077"/>
          </w:tcPr>
          <w:p>
            <w:pPr>
              <w:bidi/>
              <w:jc w:val="right"/>
            </w:pPr>
            <w:r>
              <w:rPr>
                <w:rFonts w:ascii="Arial" w:hAnsi="Arial" w:cs="Arial"/>
                <w:rtl/>
              </w:rPr>
            </w:r>
            <w:r>
              <w:rPr>
                <w:rFonts w:ascii="Arial" w:hAnsi="Arial" w:cs="Arial"/>
                <w:b w:val="0"/>
                <w:sz w:val="17"/>
                <w:rtl/>
              </w:rPr>
              <w:t>H4a/b</w:t>
            </w:r>
          </w:p>
        </w:tc>
        <w:tc>
          <w:tcPr>
            <w:tcW w:type="dxa" w:w="3005"/>
          </w:tcPr>
          <w:p>
            <w:pPr>
              <w:bidi/>
              <w:jc w:val="right"/>
            </w:pPr>
            <w:r>
              <w:rPr>
                <w:rFonts w:ascii="Arial" w:hAnsi="Arial" w:cs="Arial"/>
                <w:rtl/>
              </w:rPr>
            </w:r>
            <w:r>
              <w:rPr>
                <w:rFonts w:ascii="Arial" w:hAnsi="Arial" w:cs="Arial"/>
                <w:b w:val="0"/>
                <w:sz w:val="17"/>
                <w:rtl/>
              </w:rPr>
              <w:t>COL اثر TVI→RRJ (H4a) و CCE→RRJ (H4b) را تقویت می‌کند.</w:t>
            </w:r>
          </w:p>
        </w:tc>
        <w:tc>
          <w:tcPr>
            <w:tcW w:type="dxa" w:w="2438"/>
          </w:tcPr>
          <w:p>
            <w:pPr>
              <w:bidi/>
              <w:jc w:val="right"/>
            </w:pPr>
            <w:r>
              <w:rPr>
                <w:rFonts w:ascii="Arial" w:hAnsi="Arial" w:cs="Arial"/>
                <w:rtl/>
              </w:rPr>
            </w:r>
            <w:r>
              <w:rPr>
                <w:rFonts w:ascii="Arial" w:hAnsi="Arial" w:cs="Arial"/>
                <w:b w:val="0"/>
                <w:sz w:val="17"/>
                <w:rtl/>
              </w:rPr>
              <w:t>تفسیر اطلاعات فنی (ترجمه دوم)</w:t>
            </w:r>
          </w:p>
        </w:tc>
        <w:tc>
          <w:tcPr>
            <w:tcW w:type="dxa" w:w="2835"/>
          </w:tcPr>
          <w:p>
            <w:pPr>
              <w:jc w:val="left"/>
            </w:pPr>
            <w:r/>
            <w:r>
              <w:rPr>
                <w:b w:val="0"/>
                <w:sz w:val="17"/>
              </w:rPr>
              <w:t>نو؛ شواهد مستقیم محدود</w:t>
            </w:r>
          </w:p>
        </w:tc>
      </w:tr>
      <w:tr>
        <w:tc>
          <w:tcPr>
            <w:tcW w:type="dxa" w:w="1077"/>
          </w:tcPr>
          <w:p>
            <w:pPr>
              <w:bidi/>
              <w:jc w:val="right"/>
            </w:pPr>
            <w:r>
              <w:rPr>
                <w:rFonts w:ascii="Arial" w:hAnsi="Arial" w:cs="Arial"/>
                <w:rtl/>
              </w:rPr>
            </w:r>
            <w:r>
              <w:rPr>
                <w:rFonts w:ascii="Arial" w:hAnsi="Arial" w:cs="Arial"/>
                <w:b w:val="0"/>
                <w:sz w:val="17"/>
                <w:rtl/>
              </w:rPr>
              <w:t>H5</w:t>
            </w:r>
          </w:p>
        </w:tc>
        <w:tc>
          <w:tcPr>
            <w:tcW w:type="dxa" w:w="3005"/>
          </w:tcPr>
          <w:p>
            <w:pPr>
              <w:bidi/>
              <w:jc w:val="right"/>
            </w:pPr>
            <w:r>
              <w:rPr>
                <w:rFonts w:ascii="Arial" w:hAnsi="Arial" w:cs="Arial"/>
                <w:rtl/>
              </w:rPr>
            </w:r>
            <w:r>
              <w:rPr>
                <w:rFonts w:ascii="Arial" w:hAnsi="Arial" w:cs="Arial"/>
                <w:b w:val="0"/>
                <w:sz w:val="17"/>
                <w:rtl/>
              </w:rPr>
              <w:t>RRJ بر PEF اثر مثبت دارد.</w:t>
            </w:r>
          </w:p>
        </w:tc>
        <w:tc>
          <w:tcPr>
            <w:tcW w:type="dxa" w:w="2438"/>
          </w:tcPr>
          <w:p>
            <w:pPr>
              <w:bidi/>
              <w:jc w:val="right"/>
            </w:pPr>
            <w:r>
              <w:rPr>
                <w:rFonts w:ascii="Arial" w:hAnsi="Arial" w:cs="Arial"/>
                <w:rtl/>
              </w:rPr>
            </w:r>
            <w:r>
              <w:rPr>
                <w:rFonts w:ascii="Arial" w:hAnsi="Arial" w:cs="Arial"/>
                <w:b w:val="0"/>
                <w:sz w:val="17"/>
                <w:rtl/>
              </w:rPr>
              <w:t>اولویت‌بندی و ارتباط محصول قضاوت‌اند</w:t>
            </w:r>
          </w:p>
        </w:tc>
        <w:tc>
          <w:tcPr>
            <w:tcW w:type="dxa" w:w="2835"/>
          </w:tcPr>
          <w:p>
            <w:pPr>
              <w:jc w:val="left"/>
            </w:pPr>
            <w:r/>
            <w:r>
              <w:rPr>
                <w:b w:val="0"/>
                <w:sz w:val="17"/>
              </w:rPr>
              <w:t>Slapničar et al. (2022); ISA 260, 265</w:t>
            </w:r>
          </w:p>
        </w:tc>
      </w:tr>
      <w:tr>
        <w:tc>
          <w:tcPr>
            <w:tcW w:type="dxa" w:w="1077"/>
          </w:tcPr>
          <w:p>
            <w:pPr>
              <w:bidi/>
              <w:jc w:val="right"/>
            </w:pPr>
            <w:r>
              <w:rPr>
                <w:rFonts w:ascii="Arial" w:hAnsi="Arial" w:cs="Arial"/>
                <w:rtl/>
              </w:rPr>
            </w:r>
            <w:r>
              <w:rPr>
                <w:rFonts w:ascii="Arial" w:hAnsi="Arial" w:cs="Arial"/>
                <w:b w:val="0"/>
                <w:sz w:val="17"/>
                <w:rtl/>
              </w:rPr>
              <w:t>H6</w:t>
            </w:r>
          </w:p>
        </w:tc>
        <w:tc>
          <w:tcPr>
            <w:tcW w:type="dxa" w:w="3005"/>
          </w:tcPr>
          <w:p>
            <w:pPr>
              <w:bidi/>
              <w:jc w:val="right"/>
            </w:pPr>
            <w:r>
              <w:rPr>
                <w:rFonts w:ascii="Arial" w:hAnsi="Arial" w:cs="Arial"/>
                <w:rtl/>
              </w:rPr>
            </w:r>
            <w:r>
              <w:rPr>
                <w:rFonts w:ascii="Arial" w:hAnsi="Arial" w:cs="Arial"/>
                <w:b w:val="0"/>
                <w:sz w:val="17"/>
                <w:rtl/>
              </w:rPr>
              <w:t>RRJ بر MOL اثر مثبت دارد.</w:t>
            </w:r>
          </w:p>
        </w:tc>
        <w:tc>
          <w:tcPr>
            <w:tcW w:type="dxa" w:w="2438"/>
          </w:tcPr>
          <w:p>
            <w:pPr>
              <w:bidi/>
              <w:jc w:val="right"/>
            </w:pPr>
            <w:r>
              <w:rPr>
                <w:rFonts w:ascii="Arial" w:hAnsi="Arial" w:cs="Arial"/>
                <w:rtl/>
              </w:rPr>
            </w:r>
            <w:r>
              <w:rPr>
                <w:rFonts w:ascii="Arial" w:hAnsi="Arial" w:cs="Arial"/>
                <w:b w:val="0"/>
                <w:sz w:val="17"/>
                <w:rtl/>
              </w:rPr>
              <w:t>ریسک باقیمانده پایش و بازارزیابی را تعیین می‌کند</w:t>
            </w:r>
          </w:p>
        </w:tc>
        <w:tc>
          <w:tcPr>
            <w:tcW w:type="dxa" w:w="2835"/>
          </w:tcPr>
          <w:p>
            <w:pPr>
              <w:jc w:val="left"/>
            </w:pPr>
            <w:r/>
            <w:r>
              <w:rPr>
                <w:b w:val="0"/>
                <w:sz w:val="17"/>
              </w:rPr>
              <w:t>Armenia et al. (2021); ISO/IEC 27001:2022; NIST CSF 2.0</w:t>
            </w:r>
          </w:p>
        </w:tc>
      </w:tr>
      <w:tr>
        <w:tc>
          <w:tcPr>
            <w:tcW w:type="dxa" w:w="1077"/>
          </w:tcPr>
          <w:p>
            <w:pPr>
              <w:bidi/>
              <w:jc w:val="right"/>
            </w:pPr>
            <w:r>
              <w:rPr>
                <w:rFonts w:ascii="Arial" w:hAnsi="Arial" w:cs="Arial"/>
                <w:rtl/>
              </w:rPr>
            </w:r>
            <w:r>
              <w:rPr>
                <w:rFonts w:ascii="Arial" w:hAnsi="Arial" w:cs="Arial"/>
                <w:b w:val="0"/>
                <w:sz w:val="17"/>
                <w:rtl/>
              </w:rPr>
              <w:t>H7</w:t>
            </w:r>
          </w:p>
        </w:tc>
        <w:tc>
          <w:tcPr>
            <w:tcW w:type="dxa" w:w="3005"/>
          </w:tcPr>
          <w:p>
            <w:pPr>
              <w:bidi/>
              <w:jc w:val="right"/>
            </w:pPr>
            <w:r>
              <w:rPr>
                <w:rFonts w:ascii="Arial" w:hAnsi="Arial" w:cs="Arial"/>
                <w:rtl/>
              </w:rPr>
            </w:r>
            <w:r>
              <w:rPr>
                <w:rFonts w:ascii="Arial" w:hAnsi="Arial" w:cs="Arial"/>
                <w:b w:val="0"/>
                <w:sz w:val="17"/>
                <w:rtl/>
              </w:rPr>
              <w:t>MOL بر PEF اثر مثبت دارد.</w:t>
            </w:r>
          </w:p>
        </w:tc>
        <w:tc>
          <w:tcPr>
            <w:tcW w:type="dxa" w:w="2438"/>
          </w:tcPr>
          <w:p>
            <w:pPr>
              <w:bidi/>
              <w:jc w:val="right"/>
            </w:pPr>
            <w:r>
              <w:rPr>
                <w:rFonts w:ascii="Arial" w:hAnsi="Arial" w:cs="Arial"/>
                <w:rtl/>
              </w:rPr>
            </w:r>
            <w:r>
              <w:rPr>
                <w:rFonts w:ascii="Arial" w:hAnsi="Arial" w:cs="Arial"/>
                <w:b w:val="0"/>
                <w:sz w:val="17"/>
                <w:rtl/>
              </w:rPr>
              <w:t>ارزیابی بازبینی‌شده کامل‌تر و به‌موقع‌تر است</w:t>
            </w:r>
          </w:p>
        </w:tc>
        <w:tc>
          <w:tcPr>
            <w:tcW w:type="dxa" w:w="2835"/>
          </w:tcPr>
          <w:p>
            <w:pPr>
              <w:jc w:val="left"/>
            </w:pPr>
            <w:r/>
            <w:r>
              <w:rPr>
                <w:b w:val="0"/>
                <w:sz w:val="17"/>
              </w:rPr>
              <w:t>Armenia et al. (2021); Li et al. (2020)</w:t>
            </w:r>
          </w:p>
        </w:tc>
      </w:tr>
      <w:tr>
        <w:tc>
          <w:tcPr>
            <w:tcW w:type="dxa" w:w="1077"/>
          </w:tcPr>
          <w:p>
            <w:pPr>
              <w:bidi/>
              <w:jc w:val="right"/>
            </w:pPr>
            <w:r>
              <w:rPr>
                <w:rFonts w:ascii="Arial" w:hAnsi="Arial" w:cs="Arial"/>
                <w:rtl/>
              </w:rPr>
            </w:r>
            <w:r>
              <w:rPr>
                <w:rFonts w:ascii="Arial" w:hAnsi="Arial" w:cs="Arial"/>
                <w:b w:val="0"/>
                <w:sz w:val="17"/>
                <w:rtl/>
              </w:rPr>
              <w:t>H8a/b</w:t>
            </w:r>
          </w:p>
        </w:tc>
        <w:tc>
          <w:tcPr>
            <w:tcW w:type="dxa" w:w="3005"/>
          </w:tcPr>
          <w:p>
            <w:pPr>
              <w:bidi/>
              <w:jc w:val="right"/>
            </w:pPr>
            <w:r>
              <w:rPr>
                <w:rFonts w:ascii="Arial" w:hAnsi="Arial" w:cs="Arial"/>
                <w:rtl/>
              </w:rPr>
            </w:r>
            <w:r>
              <w:rPr>
                <w:rFonts w:ascii="Arial" w:hAnsi="Arial" w:cs="Arial"/>
                <w:b w:val="0"/>
                <w:sz w:val="17"/>
                <w:rtl/>
              </w:rPr>
              <w:t>RRJ اثر TVI→PEF (H8a) و CCE→PEF (H8b) را میانجی‌گری می‌کند.</w:t>
            </w:r>
          </w:p>
        </w:tc>
        <w:tc>
          <w:tcPr>
            <w:tcW w:type="dxa" w:w="2438"/>
          </w:tcPr>
          <w:p>
            <w:pPr>
              <w:bidi/>
              <w:jc w:val="right"/>
            </w:pPr>
            <w:r>
              <w:rPr>
                <w:rFonts w:ascii="Arial" w:hAnsi="Arial" w:cs="Arial"/>
                <w:rtl/>
              </w:rPr>
            </w:r>
            <w:r>
              <w:rPr>
                <w:rFonts w:ascii="Arial" w:hAnsi="Arial" w:cs="Arial"/>
                <w:b w:val="0"/>
                <w:sz w:val="17"/>
                <w:rtl/>
              </w:rPr>
              <w:t>ورودی‌ها از راه قضاوت اثر می‌گذارند</w:t>
            </w:r>
          </w:p>
        </w:tc>
        <w:tc>
          <w:tcPr>
            <w:tcW w:type="dxa" w:w="2835"/>
          </w:tcPr>
          <w:p>
            <w:pPr>
              <w:jc w:val="left"/>
            </w:pPr>
            <w:r/>
            <w:r>
              <w:rPr>
                <w:b w:val="0"/>
                <w:sz w:val="17"/>
              </w:rPr>
              <w:t>نتیجه H1، H2 و H5</w:t>
            </w:r>
          </w:p>
        </w:tc>
      </w:tr>
      <w:tr>
        <w:tc>
          <w:tcPr>
            <w:tcW w:type="dxa" w:w="1077"/>
          </w:tcPr>
          <w:p>
            <w:pPr>
              <w:bidi/>
              <w:jc w:val="right"/>
            </w:pPr>
            <w:r>
              <w:rPr>
                <w:rFonts w:ascii="Arial" w:hAnsi="Arial" w:cs="Arial"/>
                <w:rtl/>
              </w:rPr>
            </w:r>
            <w:r>
              <w:rPr>
                <w:rFonts w:ascii="Arial" w:hAnsi="Arial" w:cs="Arial"/>
                <w:b w:val="0"/>
                <w:sz w:val="17"/>
                <w:rtl/>
              </w:rPr>
              <w:t>H9</w:t>
            </w:r>
          </w:p>
        </w:tc>
        <w:tc>
          <w:tcPr>
            <w:tcW w:type="dxa" w:w="3005"/>
          </w:tcPr>
          <w:p>
            <w:pPr>
              <w:bidi/>
              <w:jc w:val="right"/>
            </w:pPr>
            <w:r>
              <w:rPr>
                <w:rFonts w:ascii="Arial" w:hAnsi="Arial" w:cs="Arial"/>
                <w:rtl/>
              </w:rPr>
            </w:r>
            <w:r>
              <w:rPr>
                <w:rFonts w:ascii="Arial" w:hAnsi="Arial" w:cs="Arial"/>
                <w:b w:val="0"/>
                <w:sz w:val="17"/>
                <w:rtl/>
              </w:rPr>
              <w:t>COL مستقیماً بر PEF اثر مثبت دارد.</w:t>
            </w:r>
          </w:p>
        </w:tc>
        <w:tc>
          <w:tcPr>
            <w:tcW w:type="dxa" w:w="2438"/>
          </w:tcPr>
          <w:p>
            <w:pPr>
              <w:bidi/>
              <w:jc w:val="right"/>
            </w:pPr>
            <w:r>
              <w:rPr>
                <w:rFonts w:ascii="Arial" w:hAnsi="Arial" w:cs="Arial"/>
                <w:rtl/>
              </w:rPr>
            </w:r>
            <w:r>
              <w:rPr>
                <w:rFonts w:ascii="Arial" w:hAnsi="Arial" w:cs="Arial"/>
                <w:b w:val="0"/>
                <w:sz w:val="17"/>
                <w:rtl/>
              </w:rPr>
              <w:t>هماهنگی به ارتباط و پیگیری کمک می‌کند</w:t>
            </w:r>
          </w:p>
        </w:tc>
        <w:tc>
          <w:tcPr>
            <w:tcW w:type="dxa" w:w="2835"/>
          </w:tcPr>
          <w:p>
            <w:pPr>
              <w:jc w:val="left"/>
            </w:pPr>
            <w:r/>
            <w:r>
              <w:rPr>
                <w:b w:val="0"/>
                <w:sz w:val="17"/>
              </w:rPr>
              <w:t>Slapničar et al. (2022); Islam et al. (2018)</w:t>
            </w:r>
          </w:p>
        </w:tc>
      </w:tr>
      <w:tr>
        <w:tc>
          <w:tcPr>
            <w:tcW w:type="dxa" w:w="1077"/>
          </w:tcPr>
          <w:p>
            <w:pPr>
              <w:bidi/>
              <w:jc w:val="right"/>
            </w:pPr>
            <w:r>
              <w:rPr>
                <w:rFonts w:ascii="Arial" w:hAnsi="Arial" w:cs="Arial"/>
                <w:rtl/>
              </w:rPr>
            </w:r>
            <w:r>
              <w:rPr>
                <w:rFonts w:ascii="Arial" w:hAnsi="Arial" w:cs="Arial"/>
                <w:b w:val="0"/>
                <w:sz w:val="17"/>
                <w:rtl/>
              </w:rPr>
              <w:t>H10a–c</w:t>
            </w:r>
          </w:p>
        </w:tc>
        <w:tc>
          <w:tcPr>
            <w:tcW w:type="dxa" w:w="3005"/>
          </w:tcPr>
          <w:p>
            <w:pPr>
              <w:bidi/>
              <w:jc w:val="right"/>
            </w:pPr>
            <w:r>
              <w:rPr>
                <w:rFonts w:ascii="Arial" w:hAnsi="Arial" w:cs="Arial"/>
                <w:rtl/>
              </w:rPr>
            </w:r>
            <w:r>
              <w:rPr>
                <w:rFonts w:ascii="Arial" w:hAnsi="Arial" w:cs="Arial"/>
                <w:b w:val="0"/>
                <w:sz w:val="17"/>
                <w:rtl/>
              </w:rPr>
              <w:t>مسیرها بین دو گروه فرق دارند: COL→RRJ در حسابرسان قوی‌تر (a)، RRJ→PEF در حسابرسان قوی‌تر (b)، بقیه مسیرها اکتشافی (c).</w:t>
            </w:r>
          </w:p>
        </w:tc>
        <w:tc>
          <w:tcPr>
            <w:tcW w:type="dxa" w:w="2438"/>
          </w:tcPr>
          <w:p>
            <w:pPr>
              <w:bidi/>
              <w:jc w:val="right"/>
            </w:pPr>
            <w:r>
              <w:rPr>
                <w:rFonts w:ascii="Arial" w:hAnsi="Arial" w:cs="Arial"/>
                <w:rtl/>
              </w:rPr>
            </w:r>
            <w:r>
              <w:rPr>
                <w:rFonts w:ascii="Arial" w:hAnsi="Arial" w:cs="Arial"/>
                <w:b w:val="0"/>
                <w:sz w:val="17"/>
                <w:rtl/>
              </w:rPr>
              <w:t>عدم تقارن اطلاعات؛ برجستگی نقش</w:t>
            </w:r>
          </w:p>
        </w:tc>
        <w:tc>
          <w:tcPr>
            <w:tcW w:type="dxa" w:w="2835"/>
          </w:tcPr>
          <w:p>
            <w:pPr>
              <w:jc w:val="left"/>
            </w:pPr>
            <w:r/>
            <w:r>
              <w:rPr>
                <w:b w:val="0"/>
                <w:sz w:val="17"/>
              </w:rPr>
              <w:t>Jensen &amp; Meckling (1976); تحلیل چندگروهی با MICOM</w:t>
            </w:r>
          </w:p>
        </w:tc>
      </w:tr>
    </w:tbl>
    <w:p/>
    <w:p>
      <w:pPr>
        <w:spacing w:after="140" w:line="336" w:lineRule="auto"/>
        <w:bidi/>
        <w:jc w:val="right"/>
      </w:pPr>
      <w:r>
        <w:rPr>
          <w:rFonts w:ascii="Arial" w:hAnsi="Arial" w:cs="Arial"/>
          <w:b w:val="0"/>
          <w:i w:val="0"/>
          <w:rtl/>
        </w:rPr>
        <w:t>نظریه بدین‌ترتیب کاری را که می‌خواست انجام می‌دهد. موضوع را چنان تعریف می‌کند که بتوان آن را تجزیه کرد؛ توضیح می‌دهد چرا مولفه‌ها باید زنجیره‌ای از شناسایی و ارزیابی، از راه قضاوت، به یادگیری و اثربخشی بسازند؛ و می‌گوید نقطه دید و زمینه کجا باید این زنجیره را خم کنند. اگر زنجیره برقرار باشد، مولفه‌ها ساختارند نه فهرست بازبینی؛ و اگر همان‌جا که نظریه می‌گوید خم شود، خم‌ها اختلاف‌های حرفه‌اند که اکنون مکان‌یابی و اندازه‌گیری شده‌اند.</w:t>
      </w:r>
    </w:p>
    <w:p>
      <w:r>
        <w:br w:type="page"/>
      </w:r>
    </w:p>
    <w:p>
      <w:pPr>
        <w:spacing w:after="140" w:line="288" w:lineRule="auto"/>
        <w:jc w:val="left"/>
      </w:pPr>
      <w:r>
        <w:rPr>
          <w:b/>
          <w:i w:val="0"/>
          <w:color w:val="1F3864"/>
          <w:sz w:val="26"/>
        </w:rPr>
        <w:t>References</w:t>
      </w:r>
    </w:p>
    <w:p>
      <w:pPr>
        <w:spacing w:after="60" w:line="264" w:lineRule="auto"/>
        <w:ind w:left="567" w:hanging="567"/>
        <w:jc w:val="left"/>
      </w:pPr>
      <w:r>
        <w:rPr>
          <w:b w:val="0"/>
          <w:i w:val="0"/>
          <w:sz w:val="20"/>
        </w:rPr>
        <w:t>Armenia, S., Angelini, M., Nonino, F., Palombi, G., &amp; Schlitzer, M. F. (2021). A dynamic simulation approach to support the evaluation of cyber risks and security investments in SMEs. Decision Support Systems, 147, 113580. https://doi.org/10.1016/j.dss.2021.113580</w:t>
      </w:r>
    </w:p>
    <w:p>
      <w:pPr>
        <w:spacing w:after="60" w:line="264" w:lineRule="auto"/>
        <w:ind w:left="567" w:hanging="567"/>
        <w:jc w:val="left"/>
      </w:pPr>
      <w:r>
        <w:rPr>
          <w:b w:val="0"/>
          <w:i w:val="0"/>
          <w:sz w:val="20"/>
        </w:rPr>
        <w:t>Barney, J. (1991). Firm resources and sustained competitive advantage. Journal of Management, 17(1), 99–120.</w:t>
      </w:r>
    </w:p>
    <w:p>
      <w:pPr>
        <w:spacing w:after="60" w:line="264" w:lineRule="auto"/>
        <w:ind w:left="567" w:hanging="567"/>
        <w:jc w:val="left"/>
      </w:pPr>
      <w:r>
        <w:rPr>
          <w:b w:val="0"/>
          <w:i w:val="0"/>
          <w:sz w:val="20"/>
        </w:rPr>
        <w:t>Bedard, J. C., Graham, L., &amp; Jackson, C. (2005). Information systems risk and audit planning. International Journal of Auditing, 9, 147–163. https://doi.org/10.1111/j.1099-1123.2005.00267.x</w:t>
      </w:r>
    </w:p>
    <w:p>
      <w:pPr>
        <w:spacing w:after="60" w:line="264" w:lineRule="auto"/>
        <w:ind w:left="567" w:hanging="567"/>
        <w:jc w:val="left"/>
      </w:pPr>
      <w:r>
        <w:rPr>
          <w:b w:val="0"/>
          <w:i w:val="0"/>
          <w:sz w:val="20"/>
        </w:rPr>
        <w:t>DiMaggio, P. J., &amp; Powell, W. W. (1983). The iron cage revisited: Institutional isomorphism and collective rationality in organizational fields. American Sociological Review, 48(2), 147–160.</w:t>
      </w:r>
    </w:p>
    <w:p>
      <w:pPr>
        <w:spacing w:after="60" w:line="264" w:lineRule="auto"/>
        <w:ind w:left="567" w:hanging="567"/>
        <w:jc w:val="left"/>
      </w:pPr>
      <w:r>
        <w:rPr>
          <w:b w:val="0"/>
          <w:i w:val="0"/>
          <w:sz w:val="20"/>
        </w:rPr>
        <w:t>Donaldson, L. (2001). The contingency theory of organizations. Sage.</w:t>
      </w:r>
    </w:p>
    <w:p>
      <w:pPr>
        <w:spacing w:after="60" w:line="264" w:lineRule="auto"/>
        <w:ind w:left="567" w:hanging="567"/>
        <w:jc w:val="left"/>
      </w:pPr>
      <w:r>
        <w:rPr>
          <w:b w:val="0"/>
          <w:i w:val="0"/>
          <w:sz w:val="20"/>
        </w:rPr>
        <w:t>Ganin, A. A., Quach, P., Panwar, M., Collier, Z. A., Keisler, J. M., Marchese, D., &amp; Linkov, I. (2020). Multicriteria decision framework for cybersecurity risk assessment and management. Risk Analysis, 40(1), 183–199.</w:t>
      </w:r>
    </w:p>
    <w:p>
      <w:pPr>
        <w:spacing w:after="60" w:line="264" w:lineRule="auto"/>
        <w:ind w:left="567" w:hanging="567"/>
        <w:jc w:val="left"/>
      </w:pPr>
      <w:r>
        <w:rPr>
          <w:b w:val="0"/>
          <w:i w:val="0"/>
          <w:sz w:val="20"/>
        </w:rPr>
        <w:t>Gordon, L. A., &amp; Loeb, M. P. (2002). The economics of information security investment. ACM Transactions on Information and System Security, 5(4), 438–457. https://doi.org/10.1145/581271.581274</w:t>
      </w:r>
    </w:p>
    <w:p>
      <w:pPr>
        <w:spacing w:after="60" w:line="264" w:lineRule="auto"/>
        <w:ind w:left="567" w:hanging="567"/>
        <w:jc w:val="left"/>
      </w:pPr>
      <w:r>
        <w:rPr>
          <w:b w:val="0"/>
          <w:i w:val="0"/>
          <w:sz w:val="20"/>
        </w:rPr>
        <w:t>Hermanson, D. R., Hill, M. C., &amp; Ivancevich, D. M. (2000). Information technology-related activities of internal auditors. Journal of Information Systems, 14(Supplement), 40–53.</w:t>
      </w:r>
    </w:p>
    <w:p>
      <w:pPr>
        <w:spacing w:after="60" w:line="264" w:lineRule="auto"/>
        <w:ind w:left="567" w:hanging="567"/>
        <w:jc w:val="left"/>
      </w:pPr>
      <w:r>
        <w:rPr>
          <w:b w:val="0"/>
          <w:i w:val="0"/>
          <w:sz w:val="20"/>
        </w:rPr>
        <w:t>IAASB. (2019). International Standard on Auditing 315 (Revised 2019): Identifying and assessing the risks of material misstatement. International Auditing and Assurance Standards Board.</w:t>
      </w:r>
    </w:p>
    <w:p>
      <w:pPr>
        <w:spacing w:after="60" w:line="264" w:lineRule="auto"/>
        <w:ind w:left="567" w:hanging="567"/>
        <w:jc w:val="left"/>
      </w:pPr>
      <w:r>
        <w:rPr>
          <w:b w:val="0"/>
          <w:i w:val="0"/>
          <w:sz w:val="20"/>
        </w:rPr>
        <w:t>IIA. (2024). Global Internal Audit Standards. Institute of Internal Auditors.</w:t>
      </w:r>
    </w:p>
    <w:p>
      <w:pPr>
        <w:spacing w:after="60" w:line="264" w:lineRule="auto"/>
        <w:ind w:left="567" w:hanging="567"/>
        <w:jc w:val="left"/>
      </w:pPr>
      <w:r>
        <w:rPr>
          <w:b w:val="0"/>
          <w:i w:val="0"/>
          <w:sz w:val="20"/>
        </w:rPr>
        <w:t>IIA. (2025). Cybersecurity topical requirement. Institute of Internal Auditors.</w:t>
      </w:r>
    </w:p>
    <w:p>
      <w:pPr>
        <w:spacing w:after="60" w:line="264" w:lineRule="auto"/>
        <w:ind w:left="567" w:hanging="567"/>
        <w:jc w:val="left"/>
      </w:pPr>
      <w:r>
        <w:rPr>
          <w:b w:val="0"/>
          <w:i w:val="0"/>
          <w:sz w:val="20"/>
        </w:rPr>
        <w:t>Islam, M. S., Farah, N., &amp; Stafford, T. F. (2018). Factors associated with security/cybersecurity audit by internal audit function: An international study. Managerial Auditing Journal, 33(4), 377–409. https://doi.org/10.1108/MAJ-07-2017-1595</w:t>
      </w:r>
    </w:p>
    <w:p>
      <w:pPr>
        <w:spacing w:after="60" w:line="264" w:lineRule="auto"/>
        <w:ind w:left="567" w:hanging="567"/>
        <w:jc w:val="left"/>
      </w:pPr>
      <w:r>
        <w:rPr>
          <w:b w:val="0"/>
          <w:i w:val="0"/>
          <w:sz w:val="20"/>
        </w:rPr>
        <w:t>ISO. (2018). ISO 31000:2018 Risk management — Guidelines. International Organization for Standardization.</w:t>
      </w:r>
    </w:p>
    <w:p>
      <w:pPr>
        <w:spacing w:after="60" w:line="264" w:lineRule="auto"/>
        <w:ind w:left="567" w:hanging="567"/>
        <w:jc w:val="left"/>
      </w:pPr>
      <w:r>
        <w:rPr>
          <w:b w:val="0"/>
          <w:i w:val="0"/>
          <w:sz w:val="20"/>
        </w:rPr>
        <w:t>ISO/IEC. (2022). ISO/IEC 27005:2022 Information security, cybersecurity and privacy protection — Guidance on managing information security risks (4th ed.). International Organization for Standardization.</w:t>
      </w:r>
    </w:p>
    <w:p>
      <w:pPr>
        <w:spacing w:after="60" w:line="264" w:lineRule="auto"/>
        <w:ind w:left="567" w:hanging="567"/>
        <w:jc w:val="left"/>
      </w:pPr>
      <w:r>
        <w:rPr>
          <w:b w:val="0"/>
          <w:i w:val="0"/>
          <w:sz w:val="20"/>
        </w:rPr>
        <w:t>Jensen, M. C., &amp; Meckling, W. H. (1976). Theory of the firm: Managerial behavior, agency costs and ownership structure. Journal of Financial Economics, 3(4), 305–360.</w:t>
      </w:r>
    </w:p>
    <w:p>
      <w:pPr>
        <w:spacing w:after="60" w:line="264" w:lineRule="auto"/>
        <w:ind w:left="567" w:hanging="567"/>
        <w:jc w:val="left"/>
      </w:pPr>
      <w:r>
        <w:rPr>
          <w:b w:val="0"/>
          <w:i w:val="0"/>
          <w:sz w:val="20"/>
        </w:rPr>
        <w:t>Li, H., No, W. G., &amp; Boritz, J. E. (2020). Are external auditors concerned about cyber incidents? Evidence from audit fees. Auditing: A Journal of Practice &amp; Theory, 39(1), 151–171.</w:t>
      </w:r>
    </w:p>
    <w:p>
      <w:pPr>
        <w:spacing w:after="60" w:line="264" w:lineRule="auto"/>
        <w:ind w:left="567" w:hanging="567"/>
        <w:jc w:val="left"/>
      </w:pPr>
      <w:r>
        <w:rPr>
          <w:b w:val="0"/>
          <w:i w:val="0"/>
          <w:sz w:val="20"/>
        </w:rPr>
        <w:t>NIST. (2024). The NIST Cybersecurity Framework (CSF) 2.0 (NIST CSWP 29). National Institute of Standards and Technology. https://doi.org/10.6028/NIST.CSWP.29</w:t>
      </w:r>
    </w:p>
    <w:p>
      <w:pPr>
        <w:spacing w:after="60" w:line="264" w:lineRule="auto"/>
        <w:ind w:left="567" w:hanging="567"/>
        <w:jc w:val="left"/>
      </w:pPr>
      <w:r>
        <w:rPr>
          <w:b w:val="0"/>
          <w:i w:val="0"/>
          <w:sz w:val="20"/>
        </w:rPr>
        <w:t>Slapničar, S., Vuko, T., Čular, M., &amp; Drašček, M. (2022). Effectiveness of cybersecurity audit. International Journal of Accounting Information Systems, 44, 100548. https://doi.org/10.1016/j.accinf.2021.100548</w:t>
      </w:r>
    </w:p>
    <w:p>
      <w:pPr>
        <w:spacing w:after="60" w:line="264" w:lineRule="auto"/>
        <w:ind w:left="567" w:hanging="567"/>
        <w:jc w:val="left"/>
      </w:pPr>
      <w:r>
        <w:rPr>
          <w:b w:val="0"/>
          <w:i w:val="0"/>
          <w:sz w:val="20"/>
        </w:rPr>
        <w:t>Steinbart, P. J., Raschke, R. L., Gal, G., &amp; Dilla, W. N. (2018). The influence of a good relationship between the internal audit and information security functions on information security outcomes. Accounting, Organizations and Society, 71, 15–29. https://doi.org/10.1016/j.aos.2018.04.005</w:t>
      </w:r>
    </w:p>
    <w:p>
      <w:pPr>
        <w:spacing w:after="60" w:line="264" w:lineRule="auto"/>
        <w:ind w:left="567" w:hanging="567"/>
        <w:jc w:val="left"/>
      </w:pPr>
      <w:r>
        <w:rPr>
          <w:b w:val="0"/>
          <w:i w:val="0"/>
          <w:sz w:val="20"/>
        </w:rPr>
        <w:t>Teece, D. J., Pisano, G., &amp; Shuen, A. (1997). Dynamic capabilities and strategic management. Strategic Management Journal, 18(7), 509–533.</w:t>
      </w:r>
    </w:p>
    <w:p>
      <w:pPr>
        <w:spacing w:after="60" w:line="264" w:lineRule="auto"/>
        <w:ind w:left="567" w:hanging="567"/>
        <w:jc w:val="left"/>
      </w:pPr>
      <w:r>
        <w:rPr>
          <w:b w:val="0"/>
          <w:i w:val="0"/>
          <w:sz w:val="20"/>
        </w:rPr>
        <w:t>Vuko, T., Slapničar, S., Čular, M., &amp; Drašček, M. (2024). Key drivers of cybersecurity audit effectiveness: A neo-institutional perspective. International Journal of Auditing, 29(1), 188–206. https://doi.org/10.1111/ijau.12365</w:t>
      </w:r>
    </w:p>
    <w:p>
      <w:pPr>
        <w:spacing w:after="60" w:line="264" w:lineRule="auto"/>
        <w:ind w:left="567" w:hanging="567"/>
        <w:jc w:val="left"/>
      </w:pPr>
      <w:r>
        <w:rPr>
          <w:b w:val="0"/>
          <w:i w:val="0"/>
          <w:sz w:val="20"/>
        </w:rPr>
        <w:t>Wang, J., Neil, M., &amp; Fenton, N. (2020). A Bayesian network approach for cybersecurity risk assessment implementing and extending the FAIR model. Computers &amp; Security, 89, 101659. https://doi.org/10.1016/j.cose.2019.101659</w:t>
      </w:r>
    </w:p>
    <w:p>
      <w:pPr>
        <w:spacing w:after="60" w:line="264" w:lineRule="auto"/>
        <w:ind w:left="567" w:hanging="567"/>
        <w:jc w:val="left"/>
      </w:pPr>
      <w:r>
        <w:rPr>
          <w:b w:val="0"/>
          <w:i w:val="0"/>
          <w:sz w:val="20"/>
        </w:rPr>
        <w:t>Wangen, G., Hallstensen, C., &amp; Snekkenes, E. (2018). A framework for estimating information security risk assessment method completeness: Core Unified Risk Framework, CURF. International Journal of Information Security, 17(6), 681–699. https://doi.org/10.1007/s10207-017-0382-0</w:t>
      </w:r>
    </w:p>
    <w:sectPr w:rsidR="00FC693F" w:rsidRPr="0006063C" w:rsidSect="00034616">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