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پرسشنامهٔ پژوهش — مقالهٔ اول</w:t>
      </w:r>
    </w:p>
    <w:p>
      <w:pPr>
        <w:bidi/>
        <w:spacing w:before="0" w:after="120" w:line="240" w:lineRule="auto"/>
        <w:jc w:val="center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اثر مواجهه با محتوای سرمایه‌گذاری شبکه‌های اجتماعی بر کیفیت تصمیم سرمایه‌گذاران حقیقی بورس تهران: نقش میانجی متوالی فومو و رفتار توده‌وار و نقش تعدیل‌گر استفاده از اطلاعات حسابداری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سرمایه‌گذار گرامی</w:t>
      </w:r>
    </w:p>
    <w:p>
      <w:pPr>
        <w:bidi/>
        <w:spacing w:before="0" w:after="50" w:line="240" w:lineRule="auto"/>
        <w:ind w:firstLine="360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این پرسشنامه برای یک پژوهش دانشگاهی دربارهٔ تصمیم‌های سرمایه‌گذاران حقیقی در بازار سرمایهٔ ایران تهیه شده است. شرکت در پژوهش اختیاری است و پاسخ‌ها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کاملاً بی‌نام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گردآوری و فقط به‌صورت آماری و گروهی تحلیل می‌شود. پاسخ درست یا نادرست وجود ندارد؛ لطفاً مطابق رفتار واقعی خود در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۱۲ ماه گذشته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پاسخ دهید. تکمیل پرسشنامه حدود ۱۰ دقیقه زمان می‌برد. با تکمیل و ارسال پرسشنامه، رضایت آگاهانهٔ خود را برای استفادهٔ پژوهشی از پاسخ‌ها اعلام می‌کنید.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شرط ورود: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حداقل یک سال سابقهٔ معاملهٔ مستقل در بازار سهام (بورس یا فرابورس) به‌صورت حقیقی.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تماس با پژوهشگر: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</w:t>
      </w:r>
      <w:r>
        <w:rPr>
          <w:rFonts w:ascii="Times New Roman" w:hAnsi="Times New Roman" w:cs="B Nazanin" w:eastAsia="Times New Roman"/>
          <w:sz w:val="24"/>
          <w:szCs w:val="24"/>
          <w:highlight w:val="yellow"/>
          <w:lang w:val="en-US" w:bidi="fa-IR"/>
        </w:rPr>
        <w:t xml:space="preserve">ایمیل پژوهشگر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الف) اطلاعات عمومی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الف. سؤال‌های جمعیت‌شناختی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700"/>
        <w:gridCol w:w="4300"/>
        <w:gridCol w:w="4000"/>
      </w:tblGrid>
      <w:tr>
        <w:trPr>
          <w:tblHeader/>
        </w:trPr>
        <w:tc>
          <w:tcPr>
            <w:tcW w:w="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4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سؤال</w:t>
            </w:r>
          </w:p>
        </w:tc>
        <w:tc>
          <w:tcPr>
            <w:tcW w:w="40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گزینه‌ها / پاسخ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D۱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جنسیت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زن  ○ مرد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D۲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سن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D۳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تحصیلات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دیپلم و کمتر  ○ کارشناسی  ○ کارشناسی ارشد  ○ دکتری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D۴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سابقهٔ معامله در بازار سهام (سال)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سال</w:t>
            </w:r>
          </w:p>
        </w:tc>
      </w:tr>
      <w:tr>
        <w:trPr>
          <w:cantSplit/>
        </w:trPr>
        <w:tc>
          <w:tcPr>
            <w:tcW w:w="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D۵</w:t>
            </w:r>
          </w:p>
        </w:tc>
        <w:tc>
          <w:tcPr>
            <w:tcW w:w="4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ارزش تقریبی سبد سهام (میلیون تومان)</w:t>
            </w:r>
          </w:p>
        </w:tc>
        <w:tc>
          <w:tcPr>
            <w:tcW w:w="40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........ میلیون تومان</w:t>
            </w:r>
          </w:p>
        </w:tc>
      </w:tr>
      <w:tr>
        <w:trPr>
          <w:cantSplit/>
        </w:trPr>
        <w:tc>
          <w:tcPr>
            <w:tcW w:w="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D۷</w:t>
            </w:r>
          </w:p>
        </w:tc>
        <w:tc>
          <w:tcPr>
            <w:tcW w:w="4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کدام شبکه‌ها را بیشتر برای محتوای بورس دنبال می‌کنید؟ (چندگزینه‌ای؛ فقط توصیفی)</w:t>
            </w:r>
          </w:p>
        </w:tc>
        <w:tc>
          <w:tcPr>
            <w:tcW w:w="40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○ تلگرام  ○ اینستاگرام  ○ ایتا/روبیکا  ○ ایکس  ○ آپارات/یوتیوب  ○ سایر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بخش ب) گویه‌های اصلی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مقیاس پاسخ (لیکرت ۵ درجه‌ای):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= کاملاً مخالفم | ۲ = مخالفم | ۳ = نظری ندارم | ۴ = موافقم | ۵ = کاملاً موافقم. برای هر گویه فقط یک گزینه را علامت بزنید.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۱) مواجهه با محتوای سرمایه‌گذاری در شبکه‌های اجتماعی — Exposure to investment content on social media (SME)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گویه‌های سازهٔ SME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هر روز محتوای مربوط به بورس و سرمایه‌گذاری را در شبکه‌های اجتماعی (تلگرام، اینستاگرام، ایتا، ایکس و مانند آن) دنبال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بخش قابل‌توجهی از وقتم در شبکه‌های اجتماعی صرف دیدن تحلیل‌ها و اخبار بازار سرمایه می‌شود.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عضو چند کانال، گروه یا صفحهٔ سرمایه‌گذاری هستم و پیام‌های آن‌ها را مرتب می‌خوانم.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تحلیل‌ها و نظرهای منتشرشده در شبکه‌های اجتماعی از منابع اصلی اطلاعات من دربارهٔ سهام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SME۵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معمولاً محتوای سرمایه‌گذاری را با دیگران به اشتراک می‌گذارم یا دربارهٔ آن گفت‌وگو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۲) ترس از دست دادن فرصت سرمایه‌گذاری (فومو) — Investment-related fear of missing out (FOMO) (FOMO)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گویه‌های سازهٔ FOMO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می‌شنوم دیگران از یک سهم سود زیادی کرده‌اند، نگران می‌شوم که فرصت سودآوری را از دست داده‌ام.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نگرانم سایر سرمایه‌گذاران فرصت‌های سودآورتری از من پیدا کنند.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وقتی گروهی از سرمایه‌گذاران آشنا سهمی را می‌خرند و من در آن نیستم، مضطرب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مدتی از جریان بازار و خبرهای آن دور باشم، احساس نگرانی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FOMO۵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اینکه فرصت ورود به یک سهم در حال رشد را از دست بدهم ناراحت می‌شوم.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FOMO۶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گاهی احساس می‌کنم اگر همین حالا وارد نشوم، دیگر خیلی دیر خواهد شد.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۳) رفتار توده‌وار — Herding behavior (HRD)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گویه‌های سازهٔ HRD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 تغییر تصمیم‌های سایر سرمایه‌گذاران به‌سرعت واکنش نشان می‌دهم و از آن‌ها پیروی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برای خرید یا فروش، به حجم معاملات و صف‌های خرید و فروش توجه می‌کنم تا هم‌جهت با بازار باشم.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اگر بیشتر سرمایه‌گذاران سهمی را بخرند، من هم تمایل به خرید آن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در تصمیم‌گیری، نظر جمع را به تحلیل شخصی‌ام ترجیح می‌دهم.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HRD۵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تحت‌تأثیر تصمیم دوستان و اطرافیان فعال در بورس است.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۴) استفاده از اطلاعات حسابداری — Use of accounting information (AIU)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گویه‌های سازهٔ AIU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پیش از خرید یک سهم، صورت‌های مالی شرکت را بررسی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اطلاعات منتشرشده در سامانهٔ کدال (مانند گزارش فعالیت ماهانه و اطلاعیه‌های بااهمیت) استفاده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سود هر سهم (EPS)، نسبت قیمت به سود (P/E) و سایر نسبت‌های مالی را در تصمیمم لحاظ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 گزارش حسابرس مستقل و یادداشت‌های توضیحی صورت‌های مالی توجه می‌کنم.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AIU۵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سود و جریان‌های نقدی شرکت را پیش از تصمیم ارزیابی می‌کنم.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۵) کیفیت تصمیم سرمایه‌گذاری — Investment decision quality (IDQ)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۵. گویه‌های سازهٔ IDQ</w:t>
      </w:r>
    </w:p>
    <w:tbl>
      <w:tblPr>
        <w:bidiVisual/>
        <w:tblW w:w="9072" w:type="dxa"/>
        <w:jc w:val="center"/>
        <w:tblLayout w:type="fixed"/>
        <w:tblCellMar>
          <w:left w:w="60" w:type="dxa"/>
          <w:right w:w="60" w:type="dxa"/>
        </w:tblCellMar>
      </w:tblPr>
      <w:tblGrid>
        <w:gridCol w:w="800"/>
        <w:gridCol w:w="5372"/>
        <w:gridCol w:w="580"/>
        <w:gridCol w:w="580"/>
        <w:gridCol w:w="580"/>
        <w:gridCol w:w="580"/>
        <w:gridCol w:w="580"/>
      </w:tblGrid>
      <w:tr>
        <w:trPr>
          <w:tblHeader/>
        </w:trPr>
        <w:tc>
          <w:tcPr>
            <w:tcW w:w="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کد</w:t>
            </w:r>
          </w:p>
        </w:tc>
        <w:tc>
          <w:tcPr>
            <w:tcW w:w="5372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گویه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۱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۲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۳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۴</w:t>
            </w:r>
          </w:p>
        </w:tc>
        <w:tc>
          <w:tcPr>
            <w:tcW w:w="58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۵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IDQ۱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سرمایه‌گذاری من معمولاً بر تحلیل مستند استوارند.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IDQ۲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از نتیجهٔ تصمیم‌های سرمایه‌گذاری خود در یک سال گذشته رضایت دارم.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IDQ۳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بازده سبد من در یک سال گذشته مطابق انتظارم بوده است.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IDQ۴</w:t>
            </w:r>
          </w:p>
        </w:tc>
        <w:tc>
          <w:tcPr>
            <w:tcW w:w="5372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تصمیم‌های من با اهداف مالی بلندمدتم هم‌راستا هستند.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  <w:tr>
        <w:trPr>
          <w:cantSplit/>
        </w:trPr>
        <w:tc>
          <w:tcPr>
            <w:tcW w:w="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IDQ۵</w:t>
            </w:r>
          </w:p>
        </w:tc>
        <w:tc>
          <w:tcPr>
            <w:tcW w:w="5372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به‌ندرت از تصمیم‌های معاملاتی خود پشیمان می‌شوم.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  <w:tc>
          <w:tcPr>
            <w:tcW w:w="58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☐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گویهٔ کنترل دقت (نسخهٔ آنلاین؛ در میان گویه‌ها قرار می‌گیرد):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«برای نشان‌دادن دقت، در این ردیف گزینهٔ ۴ را انتخاب کنید.» پاسخ‌دهندهٔ ناموفق از تحلیل کنار گذاشته می‌شود.</w:t>
      </w:r>
    </w:p>
    <w:p>
      <w:pPr>
        <w:bidi/>
        <w:spacing w:before="0" w:after="50" w:line="240" w:lineRule="auto"/>
        <w:jc w:val="center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با سپاس از وقتی که گذاشتید.</w:t>
      </w:r>
    </w:p>
    <w:p>
      <w:r>
        <w:br w:type="page"/>
      </w:r>
    </w:p>
    <w:p>
      <w:pPr>
        <w:bidi/>
        <w:spacing w:before="0" w:after="20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4"/>
          <w:szCs w:val="24"/>
          <w:lang w:val="en-US" w:bidi="fa-IR"/>
        </w:rPr>
        <w:t xml:space="preserve">پیوست پژوهشگر: منابع، نمره‌دهی و اعتبارسنجی (در نسخهٔ توزیع‌شده حذف شود)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۱. مبنای نظری و منبع هر سازه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۱. منبع و وضعیت گویه‌ها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400"/>
        <w:gridCol w:w="600"/>
        <w:gridCol w:w="3600"/>
        <w:gridCol w:w="2400"/>
      </w:tblGrid>
      <w:tr>
        <w:trPr>
          <w:tblHeader/>
        </w:trPr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</w:t>
            </w:r>
          </w:p>
        </w:tc>
        <w:tc>
          <w:tcPr>
            <w:tcW w:w="3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منابع مبنا</w:t>
            </w:r>
          </w:p>
        </w:tc>
        <w:tc>
          <w:tcPr>
            <w:tcW w:w="24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وضعیت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Ellison, N. B., Steinfield, C., &amp; Lampe, C. (۲۰۰۷)؛ Cookson, J. A., Engelberg, J. E., &amp; Mullins, W. (۲۰۲۳)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 توسط پژوهشگر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Przybylski, A. K., Murayama, K., DeHaan, C. R., &amp; Gladwell, V. (۲۰۱۳)؛ Abel, J. P., Buff, C. L., &amp; Burr, S. A. (۲۰۱۶)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تطبیق با زمینهٔ سرمایه‌گذاری؛ ترجمه و بازنویسی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Bakar, S., &amp; Yi, A. N. C. (۲۰۱۶)؛ Kumar, S., &amp; Goyal, N.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بازنویسی و بومی‌سازی</w:t>
            </w:r>
          </w:p>
        </w:tc>
      </w:tr>
      <w:tr>
        <w:trPr>
          <w:cantSplit/>
        </w:trPr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Lawrence, A. (۲۰۱۳)؛ Miller, G. S., &amp; Skinner, D. J. (۲۰۱۵)</w:t>
            </w:r>
          </w:p>
        </w:tc>
        <w:tc>
          <w:tcPr>
            <w:tcW w:w="24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  <w:tr>
        <w:trPr>
          <w:cantSplit/>
        </w:trPr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Parker, A. M., &amp; Fischhoff, B. (۲۰۰۵)؛ Bruine de Bruin, W., Parker, A. M., &amp; Fischhoff, B. (۲۰۰۷)</w:t>
            </w:r>
          </w:p>
        </w:tc>
        <w:tc>
          <w:tcPr>
            <w:tcW w:w="24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توسعه‌یافته توسط پژوهشگر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هشدار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هیچ‌یک از گویه‌ها نسخهٔ استانداردشدهٔ فارسی نیست؛ همه از مقیاس‌های بین‌المللی بازنویسی یا بر پایهٔ تعریف نظری سازه توسط پژوهشگر ساخته شده‌اند و پیش از جمع‌آوری داده‌ٔ واقعی باید اعتبارسنجی شوند (بخش ۴).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۲. راهنمای نمره‌دهی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کدگذاری پاسخ‌ها: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گزینه‌ها به ترتیب ۱ تا ۵ کد می‌شوند. هیچ گویهٔ معکوسی وجود ندارد، بنابراین بازکدگذاری لازم نیست.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نمرهٔ سازه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= میانگین حسابی گویه‌های آن سازه (دامنه ۱ تا ۵)؛ نمرهٔ بالاتر یعنی شدت بیشتر سازه (در کیفیت تصمیم: کیفیت بهتر).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داده‌های گم‌شده: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دست‌کم ۸۰٪ گویه‌های یک سازه پاسخ داده شده باشد، میانگین گویه‌های پاسخ‌داده‌شده محاسبه می‌شود، وگرنه نمرهٔ آن سازه گم‌شده است.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۲. فرمول نمره‌دهی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2300"/>
        <w:gridCol w:w="2700"/>
        <w:gridCol w:w="1500"/>
        <w:gridCol w:w="1300"/>
        <w:gridCol w:w="1200"/>
      </w:tblGrid>
      <w:tr>
        <w:trPr>
          <w:tblHeader/>
        </w:trPr>
        <w:tc>
          <w:tcPr>
            <w:tcW w:w="2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سازه</w:t>
            </w:r>
          </w:p>
        </w:tc>
        <w:tc>
          <w:tcPr>
            <w:tcW w:w="27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گویه‌ها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فرمول</w:t>
            </w:r>
          </w:p>
        </w:tc>
        <w:tc>
          <w:tcPr>
            <w:tcW w:w="1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جمع خام</w:t>
            </w:r>
          </w:p>
        </w:tc>
        <w:tc>
          <w:tcPr>
            <w:tcW w:w="12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نمرهٔ میانگین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SME۱، SME۲، SME۳، SME۴، SME۵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FOMO۱، FOMO۲، FOMO۳، FOMO۴، FOMO۵، FOMO۶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۶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۶ تا ۳۰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رفتار توده‌وار (HRD)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HRD۱، HRD۲، HRD۳، HRD۴، HRD۵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27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AIU۱، AIU۲، AIU۳، AIU۴، AIU۵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  <w:tr>
        <w:trPr>
          <w:cantSplit/>
        </w:trPr>
        <w:tc>
          <w:tcPr>
            <w:tcW w:w="2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27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IDQ۱، IDQ۲، IDQ۳، IDQ۴، IDQ۵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میانگین ۵ گویه</w:t>
            </w:r>
          </w:p>
        </w:tc>
        <w:tc>
          <w:tcPr>
            <w:tcW w:w="1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۵ تا ۲۵</w:t>
            </w:r>
          </w:p>
        </w:tc>
        <w:tc>
          <w:tcPr>
            <w:tcW w:w="12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تا ۵</w:t>
            </w: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تفسیر نمرهٔ میانگین (پیشنهادی):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۱ تا ۲٫۳۳ = پایین؛ ۲٫۳۴ تا ۳٫۶۷ = متوسط؛ ۳٫۶۸ تا ۵ = بالا.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مثال محاسبه: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اگر پاسخ‌های یک نفر به گویه‌های FOMO۱ تا FOMO۶ برابر ۴، ۵، ۳، ۴، ۴ و ۵ باشد، نمرهٔ فومو = (۴+۵+۳+۴+۴+۵) ÷ ۶ = ۴٫۱۷ (سطح بالا). </w:t>
      </w: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متغیرهای دیگر: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جنسیت (۱ = مرد، ۰ = زن)، تحصیلات (۱ تا ۴).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تذکر روش‌شناختی: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میانگین یا جمع گویه‌ها فقط برای گزارش توصیفی و بازخورد به پاسخ‌دهنده مناسب است. در مقالهٔ مربوط، همهٔ تحلیل‌ها بر پایهٔ مدل متغیر پنهان انجام شده است (هر گویه مستقیماً به سازهٔ خود متصل است و هیچ نمرهٔ ترکیبی ساخته نمی‌شود)؛ اگر نمرهٔ فردی برای هر پاسخ‌دهنده لازم باشد، نمرهٔ عاملی مبتنی بر بارهای مدل اندازه‌گیری (روش رگرسیونی) توصیه می‌شود.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۳. شاخص‌های مورد انتظار پایایی و روایی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۳. پایایی و روایی همگرا در داده‌ٔ شبیه‌سازی‌شده (مرجع مقایسه؛ نه نتیجهٔ تجربی)</w:t>
      </w:r>
    </w:p>
    <w:tbl>
      <w:tblPr>
        <w:bidiVisual/>
        <w:tblW w:w="91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600"/>
        <w:gridCol w:w="1500"/>
        <w:gridCol w:w="1500"/>
        <w:gridCol w:w="1500"/>
      </w:tblGrid>
      <w:tr>
        <w:trPr>
          <w:tblHeader/>
        </w:trPr>
        <w:tc>
          <w:tcPr>
            <w:tcW w:w="46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سازه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آلفا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CR</w:t>
            </w:r>
          </w:p>
        </w:tc>
        <w:tc>
          <w:tcPr>
            <w:tcW w:w="15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2"/>
                <w:szCs w:val="22"/>
                <w:lang w:val="en-US" w:bidi="fa-IR"/>
              </w:rPr>
              <w:t xml:space="preserve">AVE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مواجهه با محتوای سرمایه‌گذاری در شبکه‌های اجتماعی (SME)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۰٫۸۲۹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۰٫۸۳۱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۰٫۵۰۰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ترس از دست دادن فرصت سرمایه‌گذاری (فومو) (FOMO)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۰٫۸۷۵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۰٫۵۴۰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رفتار توده‌وار (HRD)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۰٫۵۲۴</w:t>
            </w:r>
          </w:p>
        </w:tc>
      </w:tr>
      <w:tr>
        <w:trPr>
          <w:cantSplit/>
        </w:trPr>
        <w:tc>
          <w:tcPr>
            <w:tcW w:w="46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استفاده از اطلاعات حسابداری (AIU)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۰٫۸۴۴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۰٫۵۲۵</w:t>
            </w:r>
          </w:p>
        </w:tc>
      </w:tr>
      <w:tr>
        <w:trPr>
          <w:cantSplit/>
        </w:trPr>
        <w:tc>
          <w:tcPr>
            <w:tcW w:w="46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کیفیت تصمیم سرمایه‌گذاری (IDQ)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۰٫۸۴۵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۰٫۸۴۶</w:t>
            </w:r>
          </w:p>
        </w:tc>
        <w:tc>
          <w:tcPr>
            <w:tcW w:w="15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2"/>
                <w:szCs w:val="22"/>
                <w:lang w:val="en-US" w:bidi="fa-IR"/>
              </w:rPr>
              <w:t xml:space="preserve">۰٫۵۲۶</w:t>
            </w:r>
          </w:p>
        </w:tc>
      </w:tr>
    </w:tbl>
    <w:p>
      <w:pPr>
        <w:bidi/>
        <w:spacing w:before="40" w:after="120" w:line="240" w:lineRule="auto"/>
        <w:jc w:val="both"/>
      </w:pPr>
      <w:r>
        <w:rPr>
          <w:rFonts w:ascii="Times New Roman" w:hAnsi="Times New Roman" w:cs="B Nazanin" w:eastAsia="Times New Roman"/>
          <w:sz w:val="20"/>
          <w:szCs w:val="20"/>
          <w:lang w:val="en-US" w:bidi="fa-IR"/>
        </w:rPr>
        <w:t xml:space="preserve">آستانه‌ها: آلفا و CR ≥ ۰٫۷۰؛ AVE ≥ ۰٫۵۰ (فورنل و لارکر)؛ HTMT &lt; ۰٫۸۵ (هنسلر و همکاران)؛ بار عاملی استاندارد ≥ ۰٫۵۰؛ برازش: CFI و TLI ≥ ۰٫۹۵، RMSEA ≤ ۰٫۰۶، SRMR ≤ ۰٫۰۸ (هو و بنتلر).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۴. پروتکل اعتبارسنجی پیش از گردآوری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۱.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صوری: ارزیابی خوانایی و وضوح گویه‌ها با ۱۰ تا ۱۵ سرمایه‌گذار فعال؛ اصلاح واژه‌های مبهم.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۲.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روایی محتوا (کمّی): ارزیابی ۸ تا ۱۰ متخصص (حسابداری، مالی رفتاری، روان‌شناسی). برای هر گویه نسبت روایی محتوا (CVR) به روش لاوشه: CVR = (n_e − N/۲) ÷ (N/۲). حداقل مقدار پذیرفتنی برای N = ۸، ۱۰، ۱۲ و ۱۵ به ترتیب ۰٫۷۵، ۰٫۶۲، ۰٫۵۶ و ۰٫۴۹ است. شاخص روایی محتوا (CVI) برای ارتباط گویه (مقیاس ۱ تا ۴؛ نسبت امتیاز ۳ و ۴)؛ پذیرش I-CVI ≥ ۰٫۷۸ و S-CVI/Ave ≥ ۰٫۹۰ (پولیت و بک).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۳.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ترجمه و ترجمهٔ معکوس برای گویه‌های برگرفته از مقیاس‌های انگلیسی (بریسلین)؛ مقایسهٔ دو مترجم مستقل و رفع اختلاف‌ها.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۴.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مقدماتی ۳۰ تا ۵۰ نفره: آلفای کرونباخ، همبستگی گویه-کل (≥ ۰٫۳۰)، بررسی گویه‌های پرت و زمان تکمیل.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۵.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مطالعهٔ اصلی: حداقل ۳۵۰ پرسشنامهٔ معتبر (ترجیحاً ۴۰۰ تا ۴۵۰)؛ تحلیل عاملی تأییدی، پایایی ترکیبی، AVE، HTMT، سوگیری روش مشترک (آزمون تک‌عاملی هارمن و مدل عامل روش مشترک).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گام ۶.</w:t>
      </w: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 اخلاق: رضایت آگاهانه، بی‌نامی، حذف دادهٔ شناسایی‌کننده، و دریافت کد اخلاق از کمیتهٔ اخلاق دانشگاه پیش از توزیع.</w:t>
      </w: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۵. فرم پانل متخصصان (CVR و CVI)</w:t>
      </w:r>
    </w:p>
    <w:p>
      <w:pPr>
        <w:bidi/>
        <w:spacing w:before="0" w:after="50" w:line="240" w:lineRule="auto"/>
        <w:jc w:val="both"/>
      </w:pPr>
      <w:r>
        <w:rPr>
          <w:rFonts w:ascii="Times New Roman" w:hAnsi="Times New Roman" w:cs="B Nazanin" w:eastAsia="Times New Roman"/>
          <w:sz w:val="24"/>
          <w:szCs w:val="24"/>
          <w:lang w:val="en-US" w:bidi="fa-IR"/>
        </w:rPr>
        <w:t xml:space="preserve">برای هر گویه، «ضروری بودن» را با یکی از سه گزینه (ضروری / مفید اما غیرضروری / غیرضروری) و «ارتباط گویه با سازه» را با نمرهٔ ۱ (نامرتبط) تا ۴ (کاملاً مرتبط) مشخص کنید.</w:t>
      </w:r>
    </w:p>
    <w:p>
      <w:pPr>
        <w:keepNext/>
        <w:bidi/>
        <w:spacing w:before="120" w:after="60" w:line="240" w:lineRule="auto"/>
        <w:jc w:val="center"/>
      </w:pPr>
      <w:r>
        <w:rPr>
          <w:rFonts w:ascii="Times New Roman" w:hAnsi="Times New Roman" w:cs="B Zar" w:eastAsia="Times New Roman"/>
          <w:b/>
          <w:bCs/>
          <w:sz w:val="20"/>
          <w:szCs w:val="20"/>
          <w:lang w:val="en-US" w:bidi="fa-IR"/>
        </w:rPr>
        <w:t xml:space="preserve">جدول ۴. فرم ارزیابی متخصصان</w:t>
      </w:r>
    </w:p>
    <w:tbl>
      <w:tblPr>
        <w:bidiVisual/>
        <w:tblW w:w="9000" w:type="dxa"/>
        <w:jc w:val="center"/>
        <w:tblLayout w:type="fixed"/>
        <w:tblCellMar>
          <w:left w:w="60" w:type="dxa"/>
          <w:right w:w="60" w:type="dxa"/>
        </w:tblCellMar>
      </w:tblPr>
      <w:tblGrid>
        <w:gridCol w:w="1100"/>
        <w:gridCol w:w="2800"/>
        <w:gridCol w:w="1800"/>
        <w:gridCol w:w="3300"/>
      </w:tblGrid>
      <w:tr>
        <w:trPr>
          <w:tblHeader/>
        </w:trPr>
        <w:tc>
          <w:tcPr>
            <w:tcW w:w="11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کد گویه</w:t>
            </w:r>
          </w:p>
        </w:tc>
        <w:tc>
          <w:tcPr>
            <w:tcW w:w="2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ضروری | مفید | غیرضروری</w:t>
            </w:r>
          </w:p>
        </w:tc>
        <w:tc>
          <w:tcPr>
            <w:tcW w:w="18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ارتباط (۱ تا ۴)</w:t>
            </w:r>
          </w:p>
        </w:tc>
        <w:tc>
          <w:tcPr>
            <w:tcW w:w="3300" w:type="dxa"/>
            <w:tcBorders>
              <w:top w:val="single" w:sz="8" w:space="0" w:color="000000"/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b/>
                <w:bCs/>
                <w:sz w:val="20"/>
                <w:szCs w:val="20"/>
                <w:lang w:val="en-US" w:bidi="fa-IR"/>
              </w:rPr>
              <w:t xml:space="preserve">پیشنهاد اصلاح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SME۵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FOMO۶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HRD۵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AIU۵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IDQ۱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IDQ۲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IDQ۳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IDQ۴</w:t>
            </w:r>
          </w:p>
        </w:tc>
        <w:tc>
          <w:tcPr>
            <w:tcW w:w="2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  <w:tr>
        <w:trPr>
          <w:cantSplit/>
        </w:trPr>
        <w:tc>
          <w:tcPr>
            <w:tcW w:w="11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IDQ۵</w:t>
            </w:r>
          </w:p>
        </w:tc>
        <w:tc>
          <w:tcPr>
            <w:tcW w:w="2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☐ ☐ ☐</w:t>
            </w:r>
          </w:p>
        </w:tc>
        <w:tc>
          <w:tcPr>
            <w:tcW w:w="18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  <w:r>
              <w:rPr>
                <w:rFonts w:ascii="Times New Roman" w:hAnsi="Times New Roman" w:cs="B Nazanin" w:eastAsia="Times New Roman"/>
                <w:sz w:val="20"/>
                <w:szCs w:val="20"/>
                <w:lang w:val="en-US" w:bidi="fa-IR"/>
              </w:rPr>
              <w:t xml:space="preserve">۱ ۲ ۳ ۴</w:t>
            </w:r>
          </w:p>
        </w:tc>
        <w:tc>
          <w:tcPr>
            <w:tcW w:w="3300" w:type="dxa"/>
            <w:tcBorders>
              <w:bottom w:val="single" w:sz="8" w:space="0" w:color="000000"/>
            </w:tcBorders>
            <w:vAlign w:val="center"/>
          </w:tcPr>
          <w:p>
            <w:pPr>
              <w:bidi/>
              <w:spacing w:before="40" w:after="40" w:line="240" w:lineRule="auto"/>
              <w:jc w:val="center"/>
            </w:pPr>
          </w:p>
        </w:tc>
      </w:tr>
    </w:tbl>
    <w:p>
      <w:pPr>
        <w:bidi/>
        <w:spacing w:before="0" w:after="100" w:line="240" w:lineRule="auto"/>
        <w:ind w:firstLine="360"/>
        <w:jc w:val="both"/>
      </w:pPr>
    </w:p>
    <w:p>
      <w:pPr>
        <w:keepNext/>
        <w:bidi/>
        <w:spacing w:before="110" w:after="50" w:line="240" w:lineRule="auto"/>
        <w:jc w:val="left"/>
      </w:pPr>
      <w:r>
        <w:rPr>
          <w:rFonts w:ascii="Times New Roman" w:hAnsi="Times New Roman" w:cs="B Nazanin" w:eastAsia="Times New Roman"/>
          <w:b/>
          <w:bCs/>
          <w:sz w:val="24"/>
          <w:szCs w:val="24"/>
          <w:lang w:val="en-US" w:bidi="fa-IR"/>
        </w:rPr>
        <w:t xml:space="preserve">۶. منابع (APA)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Abel, J. P., Buff, C. L., &amp; Burr, S. A. (2016). Social media and the fear of missing out: Scale development and assessment. Journal of Business &amp; Economic Research, 14(1), 33–44. https://doi.org/10.19030/jber.v14i1.9554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Bakar, S., &amp; Yi, A. N. C. (2016). The impact of psychological factors on investors' decision making in Malaysian stock market: A case of Klang Valley and Pahang. Procedia Economics and Finance, 35, 319–328. https://doi.org/10.1016/S2212-5671(16)00040-X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Brislin, R. W. (1970). Back-translation for cross-cultural research. Journal of Cross-Cultural Psychology, 1(3), 185–216. https://doi.org/10.1177/135910457000100301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Bruine de Bruin, W., Parker, A. M., &amp; Fischhoff, B. (2007). Individual differences in adult decision-making competence. Journal of Personality and Social Psychology, 92(5), 938–956. https://doi.org/10.1037/0022-3514.92.5.938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Cookson, J. A., Engelberg, J. E., &amp; Mullins, W. (2023). Echo chambers. The Review of Financial Studies, 36(2), 450–500. https://doi.org/10.1093/rfs/hhac058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Ellison, N. B., Steinfield, C., &amp; Lampe, C. (2007). The benefits of Facebook "friends": Social capital and college students' use of online social network sites. Journal of Computer-Mediated Communication, 12(4), 1143–1168. https://doi.org/10.1111/j.1083-6101.2007.00367.x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Fornell, C., &amp; Larcker, D. F. (1981). Evaluating structural equation models with unobservable variables and measurement error. Journal of Marketing Research, 18(1), 39–50. https://doi.org/10.1177/002224378101800104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Henseler, J., Ringle, C. M., &amp; Sarstedt, M. (2015). A new criterion for assessing discriminant validity in variance-based structural equation modeling. Journal of the Academy of Marketing Science, 43(1), 115–135. https://doi.org/10.1007/s11747-014-0403-8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Hu, L., &amp; Bentler, P. M. (1999). Cutoff criteria for fit indexes in covariance structure analysis: Conventional criteria versus new alternatives. Structural Equation Modeling, 6(1), 1–55. https://doi.org/10.1080/10705519909540118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Kumar, S., &amp; Goyal, N. (2015). Behavioural biases in investment decision making – a systematic literature review. Qualitative Research in Financial Markets, 7(1), 88–108. https://doi.org/10.1108/QRFM-06-2014-0022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Lawrence, A. (2013). Individual investors and financial disclosure. Journal of Accounting and Economics, 56(1), 130–147. https://doi.org/10.1016/j.jacceco.2013.05.001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Lawshe, C. H. (1975). A quantitative approach to content validity. Personnel Psychology, 28(4), 563–575. https://doi.org/10.1111/j.1744-6570.1975.tb01393.x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Miller, G. S., &amp; Skinner, D. J. (2015). The evolving disclosure landscape: How changes in technology, the media, and capital markets are affecting disclosure. Journal of Accounting Research, 53(2), 221–239. https://doi.org/10.1111/1475-679X.12075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Parker, A. M., &amp; Fischhoff, B. (2005). Decision-making competence: External validation through an individual-differences approach. Journal of Behavioral Decision Making, 18(1), 1–27. https://doi.org/10.1002/bdm.481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Podsakoff, P. M., MacKenzie, S. B., Lee, J.-Y., &amp; Podsakoff, N. P. (2003). Common method biases in behavioral research: A critical review of the literature and recommended remedies. Journal of Applied Psychology, 88(5), 879–903. https://doi.org/10.1037/0021-9010.88.5.879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Polit, D. F., &amp; Beck, C. T. (2006). The content validity index: Are you sure you know what's being reported? Critique and recommendations. Research in Nursing &amp; Health, 29(5), 489–497. https://doi.org/10.1002/nur.20147</w:t>
      </w:r>
    </w:p>
    <w:p>
      <w:pPr>
        <w:spacing w:before="0" w:after="30" w:line="240" w:lineRule="auto"/>
        <w:jc w:val="left"/>
      </w:pPr>
      <w:r>
        <w:rPr>
          <w:rFonts w:ascii="Times New Roman" w:hAnsi="Times New Roman" w:cs="Times New Roman" w:eastAsia="Times New Roman"/>
          <w:sz w:val="24"/>
          <w:szCs w:val="24"/>
          <w:lang w:val="en-US" w:bidi="fa-IR"/>
        </w:rPr>
        <w:t xml:space="preserve">Przybylski, A. K., Murayama, K., DeHaan, C. R., &amp; Gladwell, V. (2013). Motivational, emotional, and behavioral correlates of fear of missing out. Computers in Human Behavior, 29(4), 1841–1848. https://doi.org/10.1016/j.chb.2013.02.014</w:t>
      </w:r>
    </w:p>
    <w:sectPr>
      <w:footerReference w:type="default" r:id="rIdFooter"/>
      <w:pgSz w:w="11906" w:h="16838"/>
      <w:pgMar w:top="1417" w:right="1417" w:bottom="1417" w:left="1417" w:header="708" w:footer="708" w:gutter="0"/>
      <w:bidi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jc w:val="center"/>
    </w:pPr>
    <w:r>
      <w:rPr>
        <w:sz w:val="20"/>
      </w:rP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  <w:themeFontLang w:val="en-US" w:bidi="fa-IR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B Nazanin"/>
        <w:sz w:val="24"/>
        <w:szCs w:val="24"/>
        <w:lang w:val="en-US" w:bidi="fa-IR"/>
      </w:rPr>
    </w:rPrDefault>
    <w:pPrDefault>
      <w:pPr>
        <w:bidi/>
      </w:pPr>
    </w:pPrDefault>
  </w:docDefaults>
  <w:style w:type="paragraph" w:default="1" w:styleId="Normal">
    <w:name w:val="Normal"/>
  </w:style>
  <w:style w:type="character" w:styleId="FootnoteReference">
    <w:name w:val="footnote reference"/>
    <w:rPr>
      <w:vertAlign w:val="superscript"/>
    </w:rPr>
  </w:style>
</w:styles>
</file>

<file path=word/_rels/document.xml.rels><?xml version="1.0" encoding="UTF-8" standalone="yes"?><Relationships xmlns="http://schemas.openxmlformats.org/package/2006/relationships"><Relationship Id="rIdSt" Type="http://schemas.openxmlformats.org/officeDocument/2006/relationships/styles" Target="styles.xml"/><Relationship Id="rIdSe" Type="http://schemas.openxmlformats.org/officeDocument/2006/relationships/settings" Target="settings.xml"/><Relationship Id="rIdFn" Type="http://schemas.openxmlformats.org/officeDocument/2006/relationships/footnotes" Target="footnotes.xml"/><Relationship Id="rIdFoote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Article</dc:title>
  <dc:language>fa-IR</dc:language>
</cp:coreProperties>
</file>