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Form or Substance? Institutional Pressures and Accountability in Public-Sector Financial Reforms</w:t>
      </w:r>
    </w:p>
    <w:p>
      <w:pPr>
        <w:spacing w:before="0" w:after="100" w:line="276" w:lineRule="auto"/>
        <w:jc w:val="center"/>
      </w:pPr>
      <w:r>
        <w:rPr>
          <w:rFonts w:ascii="Times New Roman" w:hAnsi="Times New Roman" w:cs="Times New Roman" w:eastAsia="Times New Roman"/>
          <w:b/>
          <w:bCs/>
          <w:sz w:val="26"/>
          <w:szCs w:val="26"/>
          <w:lang w:val="en-US" w:bidi="fa-IR"/>
        </w:rPr>
        <w:t xml:space="preserve">Extended Abstract</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Background and problem</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Performance-based budgeting and accrual accounting have been promoted in many countries through legislation and standards, yet evidence points to a gap between formal adoption and real use. Iranian studies likewise report partial implementation and legal, structural and technological obstacles. Institutional theory suggests that organisations adopt structures to gain legitimacy even when those structures are decoupled from day-to-day technical activity. The problem addressed here is how institutional pressures push executive agencies towards substantive implementation or symbolic compliance, and what each response means for financial accountability.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Objectives and research questions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tests a model in which three institutional pressures (coercive, normative, mimetic) shape two organisational responses (substantive implementation, symbolic compliance); these affect the perceived usefulness of reported information and, through it, financial accountability, while financial information-system maturity conditions two paths. Questions: What does each pressure do to each response? How does usefulness of information link the responses to accountability? What role does system maturity play?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Theoretical framework</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framework integrates institutional isomorphism, decoupling and ceremonial adoption, the literature on performance-information use, the accountability framework of information, justification and consequences, and the information-systems success model. The core argument is that institutional pressure is not a single cause with a single effect: coercion makes behaviour visible and may encourage both real implementation and display; professional norms internalise implementation; imitation breeds templates. Information usefulness is the bridge from implementation to accountability, and a mature system with auditable trails raises the cost of ceremonial behaviour. Thirteen hypotheses were derived.</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Method</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is applied and survey-based. A 34-item questionnaire (eight constructs, five-point Likert) was administered to 336 financial managers, comptrollers, budget experts and accountants of executive agencies. Analysis used covariance-based structural equation modelling with fully latent variables (no item sums or means), latent interactions built from matched-pair product indicators, a 2,000-draw bootstrap for indirect and conditional indirect effects, and comparison of five competing models. Robustness was assessed with DWLS estimation, residual-centred indicators, a respecified model, outlier trimming and an experienced-respondent subsample.</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Findings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measurement model fitted well (CFI = 0.990; RMSEA = 0.017; composite reliability 0.81–0.87; maximum HTMT = 0.52). Coercive pressure raised both substantive implementation (β = 0.32) and symbolic compliance (β = 0.38); normative pressure strengthened the former (β = 0.37) and weakened the latter (β = -0.22); mimetic pressure raised symbolic compliance (β = 0.33) without a significant effect on substantive implementation. Substantive implementation increased usefulness (β = 0.35) and accountability (β = 0.28); symbolic compliance reduced both (β = -0.22; -0.17); usefulness improved accountability (β = 0.36). System maturity strengthened the usefulness effect of substantive implementation (β = 0.16) and weakened the link between coercive pressure and symbolic compliance (β = -0.25). The total indirect effect of normative pressure was positive (estimate = 0.21, 95% CI [0.13, 0.30]), whereas that of coercive pressure was small (0.03) because its constructive and ceremonial routes largely offset each other. Adding direct paths from pressures to accountability did not improve fit, supporting full mediation. Results were stable across all robustness checks.</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Conclusions and implications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effect of financial reforms depends less on the intensity of legal mandates than on the type of organisational response and the information infrastructure that makes it visible and usable. Strengthening professional norms, monitoring the use rather than the submission of reports, investing in integrated, real-time and auditable systems, and avoiding template imitation without localisation are the main recommendations. The study extends institutional analysis from adoption versus non-adoption to the quality of adoption.</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Limitations and future research</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cross-sectional, self-reported design, the newness of some scales and possible differences across agency types limit inference. Objective data (budget variance, performance-audit results), longitudinal and multi-source designs and cross-group measurement invariance are recommended.</w:t>
      </w:r>
    </w:p>
    <w:p>
      <w:pPr>
        <w:spacing w:before="8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Financial accountability; information system maturity; institutional pressures; substantive implementation; symbolic compliance</w:t>
      </w: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Extended Abstract</dc:title>
  <dc:language>en-US</dc:language>
</cp:coreProperties>
</file>