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1392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excluding the firm itself (industry leverage norm).</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separately for each industry-year with at least 15 firms, which is three times the number of inputs and outputs (Cooper, Seiford &amp; Tone, 2007). Smaller industry-years are pooled within the industry across years, with monetary values deflated to 1392 prices with the consumer price index, because nominal values are not comparable across years under high inflation.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FirstParagraph"/>
      </w:pPr>
      <w:r>
        <w:t xml:space="preserve">All controls are measured at t−1, as in Biddle et al. (2009).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r>
            <m:t>ϕ</m:t>
          </m:r>
          <m:r>
            <m:t> </m:t>
          </m:r>
          <m:r>
            <m:t>U</m:t>
          </m:r>
          <m:r>
            <m:t>N</m:t>
          </m:r>
          <m:r>
            <m:t>D</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r>
            <m:t>ϕ</m:t>
          </m:r>
          <m:r>
            <m:t> </m:t>
          </m:r>
          <m:r>
            <m:t>O</m:t>
          </m:r>
          <m:r>
            <m:t>V</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8</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CSD⁺ and CSD⁻ are jointly determined with InvEff. This mechanical link works against H1a and H1b.</w:t>
      </w:r>
    </w:p>
    <w:p>
      <w:pPr>
        <w:pStyle w:val="Compact"/>
        <w:numPr>
          <w:ilvl w:val="0"/>
          <w:numId w:val="1004"/>
        </w:numPr>
      </w:pPr>
      <w:r>
        <w:rPr>
          <w:b/>
          <w:bCs/>
        </w:rPr>
        <w:t xml:space="preserve">Unobserved heterogeneity and measurement error.</w:t>
      </w:r>
      <w:r>
        <w:t xml:space="preserve"> </w:t>
      </w:r>
      <w:r>
        <w:t xml:space="preserve">MA is constructed from same-year sales efficiency,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the first-differenced equation, which removes η</w:t>
      </w:r>
      <w:r>
        <w:rPr>
          <w:vertAlign w:val="subscript"/>
        </w:rPr>
        <w:t xml:space="preserve">i</w:t>
      </w:r>
      <w:r>
        <w:t xml:space="preserve"> </w:t>
      </w:r>
      <w:r>
        <w:t xml:space="preserve">and is instrumented with lagged levels, and the levels equation, instrumented with lagged first differences.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Differenced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UNDER, OVER,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 (at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first-differencing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w:t>
            </w:r>
          </w:p>
        </w:tc>
        <w:tc>
          <w:tcPr/>
          <w:p>
            <w:pPr>
              <w:pStyle w:val="Compact"/>
            </w:pPr>
            <w:r>
              <w:rPr>
                <w:sz w:val="19"/>
              </w:rPr>
              <w:t xml:space="preserve">CSD⁺ and CSD⁻ measured at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minimum frontier size 10, 15 (main), 20</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Lags 2–3 (main), 2–4,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S1–S8</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1392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2026-10-01T10:07:25Z</dcterms:created>
  <dcterms:modified xsi:type="dcterms:W3CDTF">2026-10-01T10:07:25Z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