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often did members of this team disagree about opinions regarding the work being done?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conflict about the work you did was there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what extent were there differences of opinion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were there conflicts about ideas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the literature obedience pressure is usually manipulated through scenarios (DeZoort &amp; Lord 1994; Lord &amp; DeZoort 2001), not measured with a multi-item scale. If Tsunogaya et al. also has no self-report scale, Situation 2 (the client situation) takes its place and this block is deleted.]</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4 versions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w:t>
      </w:r>
    </w:p>
    <w:p>
      <w:pPr>
        <w:bidi w:val="false"/>
        <w:spacing w:after="100" w:line="300"/>
      </w:pPr>
      <w:r>
        <w:rPr>
          <w:rFonts w:ascii="Arial" w:cs="Arial" w:eastAsia="Arial" w:hAnsi="Arial"/>
          <w:sz w:val="22"/>
          <w:szCs w:val="22"/>
          <w:rtl w:val="false"/>
        </w:rPr>
        <w:t xml:space="preserve">Imagine that on another engagement, while testing inventory valuation, you conclude that a material write-down is needed and has not been recorded.</w:t>
      </w:r>
    </w:p>
    <w:p>
      <w:pPr>
        <w:bidi w:val="false"/>
        <w:spacing w:after="100" w:line="300"/>
      </w:pPr>
      <w:r>
        <w:rPr>
          <w:rFonts w:ascii="Arial" w:cs="Arial" w:eastAsia="Arial" w:hAnsi="Arial"/>
          <w:i/>
          <w:iCs/>
          <w:sz w:val="19"/>
          <w:szCs w:val="19"/>
          <w:rtl w:val="false"/>
        </w:rPr>
        <w:t xml:space="preserve">[Client pressure — one of two texts:]</w:t>
      </w:r>
    </w:p>
    <w:p>
      <w:pPr>
        <w:bidi w:val="false"/>
        <w:spacing w:after="100" w:line="300"/>
      </w:pPr>
      <w:r>
        <w:rPr>
          <w:rFonts w:ascii="Arial" w:cs="Arial" w:eastAsia="Arial" w:hAnsi="Arial"/>
          <w:sz w:val="22"/>
          <w:szCs w:val="22"/>
          <w:rtl w:val="false"/>
        </w:rPr>
        <w:t xml:space="preserve">(A – high pressure) The partner has told you this client is one of the firm's few key clients. The client's finance director asks you not to raise the matter and hints they may switch auditors next year if you insist.</w:t>
      </w:r>
    </w:p>
    <w:p>
      <w:pPr>
        <w:bidi w:val="false"/>
        <w:spacing w:after="100" w:line="300"/>
      </w:pPr>
      <w:r>
        <w:rPr>
          <w:rFonts w:ascii="Arial" w:cs="Arial" w:eastAsia="Arial" w:hAnsi="Arial"/>
          <w:sz w:val="22"/>
          <w:szCs w:val="22"/>
          <w:rtl w:val="false"/>
        </w:rPr>
        <w:t xml:space="preserve">(B – low pressure) The client is an ordinary client of the firm and the finance director says you should report whatever conclusion you consider necessary.</w:t>
      </w:r>
    </w:p>
    <w:p>
      <w:pPr>
        <w:bidi w:val="false"/>
        <w:spacing w:after="100" w:line="300"/>
      </w:pPr>
      <w:r>
        <w:rPr>
          <w:rFonts w:ascii="Arial" w:cs="Arial" w:eastAsia="Arial" w:hAnsi="Arial"/>
          <w:i/>
          <w:iCs/>
          <w:sz w:val="19"/>
          <w:szCs w:val="19"/>
          <w:rtl w:val="false"/>
        </w:rPr>
        <w:t xml:space="preserve">[Firm support — one of two texts:]</w:t>
      </w:r>
    </w:p>
    <w:p>
      <w:pPr>
        <w:bidi w:val="false"/>
        <w:spacing w:after="100" w:line="300"/>
      </w:pPr>
      <w:r>
        <w:rPr>
          <w:rFonts w:ascii="Arial" w:cs="Arial" w:eastAsia="Arial" w:hAnsi="Arial"/>
          <w:sz w:val="22"/>
          <w:szCs w:val="22"/>
          <w:rtl w:val="false"/>
        </w:rPr>
        <w:t xml:space="preserve">(A – explicit support) The firm has a written, actively applied policy of supporting auditors who raise findings.</w:t>
      </w:r>
    </w:p>
    <w:p>
      <w:pPr>
        <w:bidi w:val="false"/>
        <w:spacing w:after="100" w:line="300"/>
      </w:pPr>
      <w:r>
        <w:rPr>
          <w:rFonts w:ascii="Arial" w:cs="Arial" w:eastAsia="Arial" w:hAnsi="Arial"/>
          <w:sz w:val="22"/>
          <w:szCs w:val="22"/>
          <w:rtl w:val="false"/>
        </w:rPr>
        <w:t xml:space="preserve">(B – unclear support) The firm has no clear position on whether it supports auditors in such cases.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Play the matter down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Raise it only verbally and not document it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Insist that the adjustment is recorded and reported.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V2d. In your view, what percentage of auditors at your level would play the matter down or not raise it in such a situation? [0–100%]</w:t>
      </w:r>
    </w:p>
    <w:p>
      <w:pPr>
        <w:bidi w:val="false"/>
        <w:spacing w:after="100" w:line="300"/>
      </w:pPr>
      <w:r>
        <w:rPr>
          <w:rFonts w:ascii="Arial" w:cs="Arial" w:eastAsia="Arial" w:hAnsi="Arial"/>
          <w:sz w:val="20"/>
          <w:szCs w:val="20"/>
          <w:rtl w:val="false"/>
        </w:rPr>
        <w:t xml:space="preserve">Manipulation checks (1 = Not at all … 7 = Very): V2m1: How high was the client pressure?  V2m2: How clear was the firm's support?</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(user-supplied image), Factor 1; "nursing" replaced by "auditing"</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Factor 4</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and reverse keys (1, 3, 5) match your report. Scale: 7-point, Very inaccurate to Very accurate (per republication evidence; the scale paragraph of the paper itself not directly seen).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scale paragraph in Methods; report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 (Factor Analysis of Intragroup Conflict Items)</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 of 8 verified (4 relationship + 3 task: TC1, TC2, TC4). TC3 ("To what extent are there differences of opinion…") is unverified. 5-point: 1 = None to 5 = A lot; midpoint labels not reported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See row 8 of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Work-related burnout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Seven items and response type per item established: EX1–EX3 intensity (To a very high degree … To a very low degree), EX4–EX7 frequency (Always … Never/almost never), EX7 reversed. Source is a republication of the English form, not the 2005 table. Do not rename the subscale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the 2005 table; check terms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item 1 and item domains confirmed by secondary source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 internalization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nine traits, 10 final items (5 internalization + 5 symbolization); items 1, 2, 4(R), 5(R), 7 = MI1–MI5. 5-point, strongly disagree to strongly agree. Only internalization is used here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that only the internalization subscale was used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DeZoort &amp; Lord (1994); 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Items not found. The Tsunogaya abstract only confirms the construct. In this literature obedience pressure is often manipulated through scenarios</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Tsunogaya Methods; Situation 2 may suffice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MI3, MI4; EX7; V2c. Lencioni is used only as a conceptual framework; measurement uses psychological safety and conflict (only "trust" overlaps with Lencioni).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Relationship/task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V2c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 (DOI per your note;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2026-10-08T17:12:55.560Z</dcterms:created>
  <dcterms:modified xsi:type="dcterms:W3CDTF">2026-10-08T17:12:55.560Z</dcterms:modified>
</cp:coreProperties>
</file>

<file path=docProps/custom.xml><?xml version="1.0" encoding="utf-8"?>
<Properties xmlns="http://schemas.openxmlformats.org/officeDocument/2006/custom-properties" xmlns:vt="http://schemas.openxmlformats.org/officeDocument/2006/docPropsVTypes"/>
</file>