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0" w:after="160" w:line="276" w:lineRule="auto"/>
        <w:jc w:val="center"/>
      </w:pPr>
      <w:r>
        <w:rPr>
          <w:rFonts w:ascii="Times New Roman" w:hAnsi="Times New Roman" w:cs="Times New Roman" w:eastAsia="Times New Roman"/>
          <w:b/>
          <w:bCs/>
          <w:sz w:val="32"/>
          <w:szCs w:val="32"/>
          <w:lang w:val="en-US" w:bidi="fa-IR"/>
        </w:rPr>
        <w:t xml:space="preserve">Why Do Auditors Stay Silent? Time-Budget Pressure, Moral Disengagement and the Role of Professional Conscience</w:t>
      </w:r>
    </w:p>
    <w:p>
      <w:pPr>
        <w:spacing w:before="0" w:after="100" w:line="276" w:lineRule="auto"/>
        <w:jc w:val="center"/>
      </w:pPr>
      <w:r>
        <w:rPr>
          <w:rFonts w:ascii="Times New Roman" w:hAnsi="Times New Roman" w:cs="Times New Roman" w:eastAsia="Times New Roman"/>
          <w:b/>
          <w:bCs/>
          <w:sz w:val="26"/>
          <w:szCs w:val="26"/>
          <w:lang w:val="en-US" w:bidi="fa-IR"/>
        </w:rPr>
        <w:t xml:space="preserve">Extended Abstract</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Background and problem</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Auditors regularly meet irregularities that, if left unraised, can undermine the credibility of a report. The choice between raising a concern and staying silent is ethical before it is technical. Iranian studies link time-budget pressure to audit-quality-reducing behaviour and organisational silence to several organisational causes, but the cognitive mechanism that converts pressure into silence has been little tested.</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Objective and questions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study tests a parsimonious five-variable model: time-budget pressure and ethical climate → moral disengagement → silence about a detected irregularity, with professional conscience as a moderator. Does moral disengagement mediate the effects of pressure and climate on silence, and does professional conscience weaken the links of this chain?</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Theory</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Behavioral ethics, ethical fading and moral disengagement (moral justification, euphemistic labelling, advantageous comparison, displacement and diffusion of responsibility) provide the foundations. Ethical climate narrows what can be justified; silence (acquiescent and defensive) is the end point. Professional conscience, defined as internalised ethical and professional values such as trusteeship and accountability to one's conscience, is expected to act as a restraining force. Eight hypotheses were derived.</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Method</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A survey of 364 auditors with a 22-item questionnaire (five constructs) was analysed with covariance-based SEM using fully latent variables (no item sums or means), two latent interactions, a 2,000-draw bootstrap, and five competing models.</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Findings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The measurement model fitted well (CFI = 0.977; RMSEA = 0.033; CR 0.80–0.86; max HTMT = 0.61). Time pressure increased moral disengagement (β = 0.54) and ethical climate reduced it (β = -0.23). Moral disengagement was the strongest predictor of silence (β = 0.43); climate had a direct negative effect (β = -0.14) whereas the direct effect of time pressure was not significant (β = 0.13). Professional conscience weakened both the pressure→disengagement path (β = -0.20) and the disengagement→silence path (β = -0.19); the indirect effect of time pressure on silence fell from 0.47 to 0.10 between low and high conscience. The model explained 46% of the variance in silence. Results were robust; a reverse-path model fitted almost equally well, so causal direction rests on theory.</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Conclusions and implications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Silence is less a decision to conceal than the end of a chain of pressure and justification. Protected time for unusual findings, training that exposes justification mechanisms, ethical leadership, safe channels for raising concerns and the selection and development of internalised professional values are the main recommendations.</w:t>
      </w:r>
    </w:p>
    <w:p>
      <w:pPr>
        <w:keepNext/>
        <w:spacing w:before="100" w:after="30" w:line="276" w:lineRule="auto"/>
        <w:jc w:val="left"/>
      </w:pPr>
      <w:r>
        <w:rPr>
          <w:rFonts w:ascii="Times New Roman" w:hAnsi="Times New Roman" w:cs="Times New Roman" w:eastAsia="Times New Roman"/>
          <w:b/>
          <w:bCs/>
          <w:sz w:val="24"/>
          <w:szCs w:val="24"/>
          <w:lang w:val="en-US" w:bidi="fa-IR"/>
        </w:rPr>
        <w:t xml:space="preserve">Limitations</w:t>
      </w:r>
    </w:p>
    <w:p>
      <w:pPr>
        <w:spacing w:before="0" w:after="60" w:line="276" w:lineRule="auto"/>
        <w:ind w:firstLine="425"/>
        <w:jc w:val="both"/>
      </w:pPr>
      <w:r>
        <w:rPr>
          <w:rFonts w:ascii="Times New Roman" w:hAnsi="Times New Roman" w:cs="Times New Roman" w:eastAsia="Times New Roman"/>
          <w:sz w:val="24"/>
          <w:szCs w:val="24"/>
          <w:lang w:val="en-US" w:bidi="fa-IR"/>
        </w:rPr>
        <w:t xml:space="preserve">Cross-sectional, self-reported data on a sensitive topic, two new scales and the equivalence of the reverse model. Experimental vignettes, diary or longitudinal designs and objective indicators are recommended.</w:t>
      </w:r>
    </w:p>
    <w:p>
      <w:pPr>
        <w:spacing w:before="80" w:after="80" w:line="276" w:lineRule="auto"/>
        <w:jc w:val="both"/>
      </w:pPr>
      <w:r>
        <w:rPr>
          <w:rFonts w:ascii="Times New Roman" w:hAnsi="Times New Roman" w:cs="Times New Roman" w:eastAsia="Times New Roman"/>
          <w:b/>
          <w:bCs/>
          <w:sz w:val="24"/>
          <w:szCs w:val="24"/>
          <w:lang w:val="en-US" w:bidi="fa-IR"/>
        </w:rPr>
        <w:t xml:space="preserve">Keywords:</w:t>
      </w:r>
      <w:r>
        <w:rPr>
          <w:rFonts w:ascii="Times New Roman" w:hAnsi="Times New Roman" w:cs="Times New Roman" w:eastAsia="Times New Roman"/>
          <w:sz w:val="24"/>
          <w:szCs w:val="24"/>
          <w:lang w:val="en-US" w:bidi="fa-IR"/>
        </w:rPr>
        <w:t xml:space="preserve"> Ethical climate; auditing; moral disengagement; silence; time-budget pressure; professional conscience</w:t>
      </w:r>
    </w:p>
    <w:sectPr>
      <w:footerReference w:type="default" r:id="rIdFooter"/>
      <w:pgSz w:w="11906" w:h="16838"/>
      <w:pgMar w:top="1417" w:right="1417" w:bottom="1417" w:left="1417" w:header="708" w:footer="708"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view w:val="print"/>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Times New Roman"/>
        <w:sz w:val="24"/>
        <w:szCs w:val="24"/>
        <w:lang w:val="en-US" w:bidi="fa-IR"/>
      </w:rPr>
    </w:rPrDefault>
    <w:pPrDefault>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Extended Abstract</dc:title>
  <dc:language>en-US</dc:language>
</cp:coreProperties>
</file>