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Zar" w:eastAsia="Times New Roman"/>
          <w:b/>
          <w:bCs/>
          <w:sz w:val="24"/>
          <w:szCs w:val="24"/>
          <w:lang w:val="en-US" w:bidi="fa-IR"/>
        </w:rPr>
        <w:t xml:space="preserve">اثر مواجهه با محتوای سرمایه‌گذاری شبکه‌های اجتماعی بر کیفیت تصمیم سرمایه‌گذاران حقیقی بورس تهران: نقش میانجی متوالی فومو و رفتار توده‌وار و نقش تعدیل‌گر استفاده از اطلاعات حسابداری</w:t>
      </w:r>
    </w:p>
    <w:p>
      <w:pPr>
        <w:bidi/>
        <w:spacing w:before="0" w:after="100" w:line="240" w:lineRule="auto"/>
        <w:jc w:val="center"/>
      </w:pPr>
      <w:r>
        <w:rPr>
          <w:rFonts w:ascii="Times New Roman" w:hAnsi="Times New Roman" w:cs="B Nazanin" w:eastAsia="Times New Roman"/>
          <w:b/>
          <w:bCs/>
          <w:sz w:val="26"/>
          <w:szCs w:val="26"/>
          <w:lang w:val="en-US" w:bidi="fa-IR"/>
        </w:rPr>
        <w:t xml:space="preserve">چکیدهٔ گسترده</w:t>
      </w:r>
    </w:p>
    <w:p>
      <w:pPr>
        <w:bidi/>
        <w:spacing w:before="0" w:after="100" w:line="240" w:lineRule="auto"/>
        <w:jc w:val="both"/>
      </w:pPr>
      <w:r>
        <w:rPr>
          <w:rFonts w:ascii="Times New Roman" w:hAnsi="Times New Roman" w:cs="B Nazanin" w:eastAsia="Times New Roman"/>
          <w:i/>
          <w:iCs/>
          <w:sz w:val="24"/>
          <w:szCs w:val="24"/>
          <w:lang w:val="en-US" w:bidi="fa-IR"/>
        </w:rPr>
        <w:t xml:space="preserve">اعلان شفافیت: داده‌های این پژوهش شبیه‌سازی‌شده‌اند و نتایج جنبهٔ نمایشی و روش‌شناختی دارند.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مقدمه و هدف</w:t>
      </w:r>
    </w:p>
    <w:p>
      <w:pPr>
        <w:bidi/>
        <w:spacing w:before="0" w:after="50" w:line="240" w:lineRule="auto"/>
        <w:jc w:val="both"/>
      </w:pPr>
      <w:r>
        <w:rPr>
          <w:rFonts w:ascii="Times New Roman" w:hAnsi="Times New Roman" w:cs="B Nazanin" w:eastAsia="Times New Roman"/>
          <w:sz w:val="24"/>
          <w:szCs w:val="24"/>
          <w:lang w:val="en-US" w:bidi="fa-IR"/>
        </w:rPr>
        <w:t xml:space="preserve">ریزش بورس تهران پس از رونق سال‌های ۱۳۹۹ و ۱۴۰۰ پرسشی جدی را مطرح کرد: آیا مواجهه مکرر سرمایه‌گذاران حقیقی با محتوای سرمایه‌گذاری در شبکه‌های اجتماعی تنها اطلاعات می‌افزاید یا از راه سازوکارهای هیجانی و اجتماعی کیفیت تصمیم را کاهش می‌دهد؟ هدف این پژوهش آزمون مسیر مواجهه با محتوا ← ترس از دست دادن فرصت (فومو) ← رفتار توده‌وار ← کیفیت تصمیم و بررسی نقش تعدیل‌گر استفاده از اطلاعات حسابداری در این مسیر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مبانی نظری و فرضیه‌ها</w:t>
      </w:r>
    </w:p>
    <w:p>
      <w:pPr>
        <w:bidi/>
        <w:spacing w:before="0" w:after="50" w:line="240" w:lineRule="auto"/>
        <w:jc w:val="both"/>
      </w:pPr>
      <w:r>
        <w:rPr>
          <w:rFonts w:ascii="Times New Roman" w:hAnsi="Times New Roman" w:cs="B Nazanin" w:eastAsia="Times New Roman"/>
          <w:sz w:val="24"/>
          <w:szCs w:val="24"/>
          <w:lang w:val="en-US" w:bidi="fa-IR"/>
        </w:rPr>
        <w:t xml:space="preserve">چارچوب نظری بر نظریهٔ آبشارهای اطلاعاتی (بیکچندانی و همکاران، ۱۹۹۲)، نظریهٔ مقایسهٔ اجتماعی (فستینگر، ۱۹۵۴) و ادبیات فومو (پرزیبیلسکی و همکاران، ۲۰۱۳) استوار است. هشت فرضیه تدوین شد: اثر مثبت مواجهه بر فومو، اثر مثبت فومو بر رفتار توده‌وار، اثر منفی رفتار توده‌وار بر کیفیت تصمیم، اثر مستقیم مثبت مواجهه بر توده‌واری، میانجی‌گری متوالی، تعامل منفی فومو و اطلاعات حسابداری بر توده‌واری، میانجی‌گری تعدیل‌شده، و اثر مثبت اطلاعات حسابداری بر کیفیت تصمیم.</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روش‌شناسی</w:t>
      </w:r>
    </w:p>
    <w:p>
      <w:pPr>
        <w:bidi/>
        <w:spacing w:before="0" w:after="50" w:line="240" w:lineRule="auto"/>
        <w:jc w:val="both"/>
      </w:pPr>
      <w:r>
        <w:rPr>
          <w:rFonts w:ascii="Times New Roman" w:hAnsi="Times New Roman" w:cs="B Nazanin" w:eastAsia="Times New Roman"/>
          <w:sz w:val="24"/>
          <w:szCs w:val="24"/>
          <w:lang w:val="en-US" w:bidi="fa-IR"/>
        </w:rPr>
        <w:t xml:space="preserve">پژوهش کمّی و پیمایشی با مدل‌سازی معادلات ساختاری مبتنی بر کوواریانس است. ابزار، پرسشنامه‌ای ۲۶ گویه‌ای لیکرت پنج‌درجه‌ای برای پنج سازه است. داده‌های ۳۸۶ سرمایه‌گذار حقیقی با شبیه‌سازی واقع‌نما (بارهای عاملی ۰٫۶۰ تا ۰٫۸۰، بارگذاری‌های متقاطع کوچک، همبستگی خطا و عامل روش ضعیف) تولید شد؛ بنابراین نتایج جنبهٔ نمایشی و روش‌شناختی دارند. تحلیل شامل CFA، پایایی و روایی، سوگیری روش مشترک، مدل ساختاری مکنون با تعامل مکنون (شاخص‌های حاصل‌ضرب جفت‌شده)، خودگردان‌سازی ۲۰۰۰ تکراری و آزمون‌های استحکام (مدل‌های رقیب، DWLS، حذف دورترین مشاهدات) بود.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یافته‌ها</w:t>
      </w:r>
    </w:p>
    <w:p>
      <w:pPr>
        <w:bidi/>
        <w:spacing w:before="0" w:after="50" w:line="240" w:lineRule="auto"/>
        <w:jc w:val="both"/>
      </w:pPr>
      <w:r>
        <w:rPr>
          <w:rFonts w:ascii="Times New Roman" w:hAnsi="Times New Roman" w:cs="B Nazanin" w:eastAsia="Times New Roman"/>
          <w:sz w:val="24"/>
          <w:szCs w:val="24"/>
          <w:lang w:val="en-US" w:bidi="fa-IR"/>
        </w:rPr>
        <w:t xml:space="preserve">مدل اندازه‌گیری برازش مطلوب داشت (⁦CFI = ۰٫۹۷۷⁩؛ ⁦RMSEA = ۰٫۰۳۰⁩؛ ⁦SRMR = ۰٫۰۳۷⁩) و پایایی و روایی پذیرفتنی بود. مواجهه فومو را افزایش داد (⁦β = ۰٫۴۹⁩، ⁦z = ۸٫۲۳⁩، ⁦p &lt; ۰٫۰۰۱⁩)، فومو رفتار توده‌وار را تقویت کرد (⁦β = ۰٫۴۱⁩، ⁦z = ۶٫۶۲⁩، ⁦p &lt; ۰٫۰۰۱⁩) و رفتار توده‌وار کیفیت تصمیم را کاهش داد (⁦β = −۰٫۳۵⁩، ⁦z = −۴٫۷۳⁩، ⁦p &lt; ۰٫۰۰۱⁩). اثر مستقیم مواجهه بر توده‌واری معنادار بود (⁦β = ۰٫۲۹⁩، ⁦z = ۴٫۷۵⁩، ⁦p &lt; ۰٫۰۰۱⁩). اثر غیرمستقیم متوالی استاندارد ⁦−۰٫۰۷۱⁩ با فاصلهٔ اطمینان [⁦−۰٫۱۱۱⁩، ⁦−۰٫۰۳۸⁩] بود. تعامل فومو × اطلاعات حسابداری منفی و معنادار بود (⁦β = −۰٫۱۸⁩، ⁦z = −۳٫۳۲⁩، ⁦p &lt; ۰٫۰۰۱⁩): شیب فومو ← توده‌واری از ۰٫۶۰ در سطح پایین به ۰٫۲۲ در سطح بالای اطلاعات حسابداری کاهش یافت و شاخص میانجی‌گری تعدیل‌شده ۰٫۰۳۴ [۰٫۰۱۳، ۰٫۰۶۵] بود. اثر مستقیم فومو بر کیفیت تصمیم معنادار نبود.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بحث و نتیجه‌گیری</w:t>
      </w:r>
    </w:p>
    <w:p>
      <w:pPr>
        <w:bidi/>
        <w:spacing w:before="0" w:after="50" w:line="240" w:lineRule="auto"/>
        <w:jc w:val="both"/>
      </w:pPr>
      <w:r>
        <w:rPr>
          <w:rFonts w:ascii="Times New Roman" w:hAnsi="Times New Roman" w:cs="B Nazanin" w:eastAsia="Times New Roman"/>
          <w:sz w:val="24"/>
          <w:szCs w:val="24"/>
          <w:lang w:val="en-US" w:bidi="fa-IR"/>
        </w:rPr>
        <w:t xml:space="preserve">در چارچوب مدل مفروض، همهٔ فرضیه‌ها تأیید شد. بخش عمده‌ای از اثر منفی مواجهه با محتوای شبکه‌ها بر کیفیت تصمیم از مسیر فومو و رفتار توده‌وار منتقل می‌شود و استفاده از اطلاعات حسابداری مانند سپری شناختی اثر فومو بر توده‌واری را تضعیف می‌کند، اما آن را حذف نمی‌کند. ترتیب علّی فومو و توده‌واری از نظر آماری قابل‌تفکیک نیست (مدل‌های هم‌ارز) و باید با طرح‌های طولی یا آزمایشی آزموده 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دانش‌افزایی و کاربرد</w:t>
      </w:r>
    </w:p>
    <w:p>
      <w:pPr>
        <w:bidi/>
        <w:spacing w:before="0" w:after="50" w:line="240" w:lineRule="auto"/>
        <w:jc w:val="both"/>
      </w:pPr>
      <w:r>
        <w:rPr>
          <w:rFonts w:ascii="Times New Roman" w:hAnsi="Times New Roman" w:cs="B Nazanin" w:eastAsia="Times New Roman"/>
          <w:sz w:val="24"/>
          <w:szCs w:val="24"/>
          <w:lang w:val="en-US" w:bidi="fa-IR"/>
        </w:rPr>
        <w:t xml:space="preserve">پژوهش شبکه‌های اجتماعی، فومو و توده‌واری را در یک مدل متوالی پیوند می‌دهد و اطلاعات حسابداری را به‌عنوان تعدیل‌گر رفتاری معرفی می‌کند. پیشنهادهای کاربردی: افشای تعارض منافع در تحلیل‌های شبکه‌ای، انتشار خلاصه‌های قابل‌فهم گزارش‌های مالی در کانال‌های سرمایه‌گذاران خرد، ادغام شاخص‌های بنیادی در پلتفرم‌های معاملاتی و آموزش خواندن صورت‌های مالی.</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محدودیت‌ها</w:t>
      </w:r>
    </w:p>
    <w:p>
      <w:pPr>
        <w:bidi/>
        <w:spacing w:before="0" w:after="50" w:line="240" w:lineRule="auto"/>
        <w:jc w:val="both"/>
      </w:pPr>
      <w:r>
        <w:rPr>
          <w:rFonts w:ascii="Times New Roman" w:hAnsi="Times New Roman" w:cs="B Nazanin" w:eastAsia="Times New Roman"/>
          <w:sz w:val="24"/>
          <w:szCs w:val="24"/>
          <w:lang w:val="en-US" w:bidi="fa-IR"/>
        </w:rPr>
        <w:t xml:space="preserve">داده شبیه‌سازی‌شده است و نتایج شواهد تجربی دربارهٔ بازار واقعی نیستند؛ طرح مقطعی است؛ سازه‌ها خودگزارشی‌اند؛ و گویه‌ها پیش از کاربرد واقعی نیازمند اعتبارسنجی هستند.</w:t>
      </w:r>
    </w:p>
    <w:p>
      <w:pPr>
        <w:bidi/>
        <w:spacing w:before="100" w:after="50" w:line="240" w:lineRule="auto"/>
        <w:jc w:val="both"/>
      </w:pPr>
      <w:r>
        <w:rPr>
          <w:rFonts w:ascii="Times New Roman" w:hAnsi="Times New Roman" w:cs="B Nazanin" w:eastAsia="Times New Roman"/>
          <w:b/>
          <w:bCs/>
          <w:sz w:val="24"/>
          <w:szCs w:val="24"/>
          <w:lang w:val="en-US" w:bidi="fa-IR"/>
        </w:rPr>
        <w:t xml:space="preserve">کلیدواژه‌ها:</w:t>
      </w:r>
      <w:r>
        <w:rPr>
          <w:rFonts w:ascii="Times New Roman" w:hAnsi="Times New Roman" w:cs="B Nazanin" w:eastAsia="Times New Roman"/>
          <w:sz w:val="24"/>
          <w:szCs w:val="24"/>
          <w:lang w:val="en-US" w:bidi="fa-IR"/>
        </w:rPr>
        <w:t xml:space="preserve"> مواجهه با شبکه‌های اجتماعی؛ فومو؛ رفتار توده‌وار؛ اطلاعات حسابداری؛ کیفیت تصمیم سرمایه‌گذاری؛ مدل‌سازی معادلات ساختاری؛ بورس تهران</w:t>
      </w:r>
    </w:p>
    <w:p>
      <w:r>
        <w:br w:type="page"/>
      </w:r>
    </w:p>
    <w:p>
      <w:pPr>
        <w:spacing w:before="0" w:after="120" w:line="240" w:lineRule="auto"/>
        <w:jc w:val="center"/>
      </w:pPr>
      <w:r>
        <w:rPr>
          <w:rFonts w:ascii="Times New Roman" w:hAnsi="Times New Roman" w:cs="Times New Roman" w:eastAsia="Times New Roman"/>
          <w:b/>
          <w:bCs/>
          <w:sz w:val="26"/>
          <w:szCs w:val="26"/>
          <w:lang w:val="en-US" w:bidi="fa-IR"/>
        </w:rPr>
        <w:t xml:space="preserve">The Effect of Exposure to Social-Media Investment Content on the Decision Quality of Individual Investors in the Tehran Stock Exchange: Sequential Mediation of FOMO and Herding and Moderation by Accounting Information Use</w:t>
      </w:r>
    </w:p>
    <w:p>
      <w:pPr>
        <w:spacing w:before="0" w:after="60" w:line="240" w:lineRule="auto"/>
        <w:jc w:val="center"/>
      </w:pPr>
      <w:r>
        <w:rPr>
          <w:rFonts w:ascii="Times New Roman" w:hAnsi="Times New Roman" w:cs="Times New Roman" w:eastAsia="Times New Roman"/>
          <w:b/>
          <w:bCs/>
          <w:sz w:val="24"/>
          <w:szCs w:val="24"/>
          <w:lang w:val="en-US" w:bidi="fa-IR"/>
        </w:rPr>
        <w:t xml:space="preserve">Extended Abstract</w:t>
      </w:r>
    </w:p>
    <w:p>
      <w:pPr>
        <w:spacing w:before="0" w:after="100" w:line="240" w:lineRule="auto"/>
        <w:jc w:val="left"/>
      </w:pPr>
      <w:r>
        <w:rPr>
          <w:rFonts w:ascii="Times New Roman" w:hAnsi="Times New Roman" w:cs="Times New Roman" w:eastAsia="Times New Roman"/>
          <w:i/>
          <w:iCs/>
          <w:sz w:val="24"/>
          <w:szCs w:val="24"/>
          <w:lang w:val="en-US" w:bidi="fa-IR"/>
        </w:rPr>
        <w:t xml:space="preserve">Transparency note: the data in this study are simulated; the results are illustrative and methodological.</w:t>
      </w:r>
    </w:p>
    <w:p>
      <w:pPr>
        <w:spacing w:before="100" w:after="40" w:line="240" w:lineRule="auto"/>
        <w:jc w:val="left"/>
      </w:pPr>
      <w:r>
        <w:rPr>
          <w:rFonts w:ascii="Times New Roman" w:hAnsi="Times New Roman" w:cs="Times New Roman" w:eastAsia="Times New Roman"/>
          <w:b/>
          <w:bCs/>
          <w:sz w:val="24"/>
          <w:szCs w:val="24"/>
          <w:lang w:val="en-US" w:bidi="fa-IR"/>
        </w:rPr>
        <w:t xml:space="preserve">Introduction and objective</w:t>
      </w:r>
    </w:p>
    <w:p>
      <w:pPr>
        <w:spacing w:before="0" w:after="60" w:line="240" w:lineRule="auto"/>
        <w:jc w:val="both"/>
      </w:pPr>
      <w:r>
        <w:rPr>
          <w:rFonts w:ascii="Times New Roman" w:hAnsi="Times New Roman" w:cs="Times New Roman" w:eastAsia="Times New Roman"/>
          <w:sz w:val="24"/>
          <w:szCs w:val="24"/>
          <w:lang w:val="en-US" w:bidi="fa-IR"/>
        </w:rPr>
        <w:t xml:space="preserve">The Tehran Stock Exchange boom of 2020–2021 and the crash that followed raise a pressing question: does repeated exposure to investment content on social media merely add information for individual investors, or does it impair their decisions through emotional and social mechanisms? This study tests the pathway exposure to social-media investment content → fear of missing out (FOMO) → herding → investment decision quality, and examines whether the use of accounting information moderates this pathway.</w:t>
      </w:r>
    </w:p>
    <w:p>
      <w:pPr>
        <w:spacing w:before="100" w:after="40" w:line="240" w:lineRule="auto"/>
        <w:jc w:val="left"/>
      </w:pPr>
      <w:r>
        <w:rPr>
          <w:rFonts w:ascii="Times New Roman" w:hAnsi="Times New Roman" w:cs="Times New Roman" w:eastAsia="Times New Roman"/>
          <w:b/>
          <w:bCs/>
          <w:sz w:val="24"/>
          <w:szCs w:val="24"/>
          <w:lang w:val="en-US" w:bidi="fa-IR"/>
        </w:rPr>
        <w:t xml:space="preserve">Theoretical background and hypotheses</w:t>
      </w:r>
    </w:p>
    <w:p>
      <w:pPr>
        <w:spacing w:before="0" w:after="60" w:line="240" w:lineRule="auto"/>
        <w:jc w:val="both"/>
      </w:pPr>
      <w:r>
        <w:rPr>
          <w:rFonts w:ascii="Times New Roman" w:hAnsi="Times New Roman" w:cs="Times New Roman" w:eastAsia="Times New Roman"/>
          <w:sz w:val="24"/>
          <w:szCs w:val="24"/>
          <w:lang w:val="en-US" w:bidi="fa-IR"/>
        </w:rPr>
        <w:t xml:space="preserve">The framework draws on information-cascade theory (Bikhchandani, Hirshleifer, &amp; Welch, 1992), social-comparison theory (Festinger, 1954), and the FOMO literature (Przybylski et al., 2013). Eight hypotheses were derived: positive effects of exposure on FOMO and of FOMO on herding; a negative effect of herding on decision quality; a direct positive effect of exposure on herding; sequential mediation; a negative FOMO × accounting-information-use interaction on herding; moderated mediation; and a positive effect of accounting information use on decision quality.</w:t>
      </w:r>
    </w:p>
    <w:p>
      <w:pPr>
        <w:spacing w:before="100" w:after="40" w:line="240" w:lineRule="auto"/>
        <w:jc w:val="left"/>
      </w:pPr>
      <w:r>
        <w:rPr>
          <w:rFonts w:ascii="Times New Roman" w:hAnsi="Times New Roman" w:cs="Times New Roman" w:eastAsia="Times New Roman"/>
          <w:b/>
          <w:bCs/>
          <w:sz w:val="24"/>
          <w:szCs w:val="24"/>
          <w:lang w:val="en-US" w:bidi="fa-IR"/>
        </w:rPr>
        <w:t xml:space="preserve">Methodology</w:t>
      </w:r>
    </w:p>
    <w:p>
      <w:pPr>
        <w:spacing w:before="0" w:after="60" w:line="240" w:lineRule="auto"/>
        <w:jc w:val="both"/>
      </w:pPr>
      <w:r>
        <w:rPr>
          <w:rFonts w:ascii="Times New Roman" w:hAnsi="Times New Roman" w:cs="Times New Roman" w:eastAsia="Times New Roman"/>
          <w:sz w:val="24"/>
          <w:szCs w:val="24"/>
          <w:lang w:val="en-US" w:bidi="fa-IR"/>
        </w:rPr>
        <w:t xml:space="preserve">The study is quantitative and survey-based, using covariance-based structural equation modeling. The instrument is a 26-item, five-point Likert questionnaire covering five constructs. Data for 386 individual investors were generated by a realistic simulation (loadings .60–.80, small cross-loadings, correlated residuals, and a weak common-method factor); the results are therefore illustrative and methodological. Analyses comprised confirmatory factor analysis, reliability and validity assessment, common-method-bias checks, a latent structural model with a latent interaction (matched-pair product indicators), 2000 bootstrap resamples, and robustness checks (competing models, DWLS estimation, trimming the 5% most distant observations).</w:t>
      </w:r>
    </w:p>
    <w:p>
      <w:pPr>
        <w:spacing w:before="100" w:after="40" w:line="240" w:lineRule="auto"/>
        <w:jc w:val="left"/>
      </w:pPr>
      <w:r>
        <w:rPr>
          <w:rFonts w:ascii="Times New Roman" w:hAnsi="Times New Roman" w:cs="Times New Roman" w:eastAsia="Times New Roman"/>
          <w:b/>
          <w:bCs/>
          <w:sz w:val="24"/>
          <w:szCs w:val="24"/>
          <w:lang w:val="en-US" w:bidi="fa-IR"/>
        </w:rPr>
        <w:t xml:space="preserve">Findings</w:t>
      </w:r>
    </w:p>
    <w:p>
      <w:pPr>
        <w:spacing w:before="0" w:after="60" w:line="240" w:lineRule="auto"/>
        <w:jc w:val="both"/>
      </w:pPr>
      <w:r>
        <w:rPr>
          <w:rFonts w:ascii="Times New Roman" w:hAnsi="Times New Roman" w:cs="Times New Roman" w:eastAsia="Times New Roman"/>
          <w:sz w:val="24"/>
          <w:szCs w:val="24"/>
          <w:lang w:val="en-US" w:bidi="fa-IR"/>
        </w:rPr>
        <w:t xml:space="preserve">The measurement model fit well (CFI = 0.977, RMSEA = 0.030, SRMR = 0.037) with acceptable reliability and validity. Exposure increased FOMO (β = 0.49, z = 8.23, p &lt; .001), FOMO strengthened herding (β = 0.41, z = 6.62, p &lt; .001), and herding reduced decision quality (β = -0.35, z = -4.73, p &lt; .001). Exposure also had a direct effect on herding (β = 0.29, z = 4.75, p &lt; .001). The standardized sequential indirect effect was -0.071 (95% bootstrap CI [-0.111, -0.038]). The FOMO × accounting-information-use interaction was negative and significant (β = -0.18, z = -3.32, p &lt; .001): the slope of herding on FOMO fell from 0.60 at low to 0.22 at high accounting information use, and the index of moderated mediation was 0.034 [0.013, 0.065]. The direct effect of FOMO on decision quality was not significant.</w:t>
      </w:r>
    </w:p>
    <w:p>
      <w:pPr>
        <w:spacing w:before="100" w:after="40" w:line="240" w:lineRule="auto"/>
        <w:jc w:val="left"/>
      </w:pPr>
      <w:r>
        <w:rPr>
          <w:rFonts w:ascii="Times New Roman" w:hAnsi="Times New Roman" w:cs="Times New Roman" w:eastAsia="Times New Roman"/>
          <w:b/>
          <w:bCs/>
          <w:sz w:val="24"/>
          <w:szCs w:val="24"/>
          <w:lang w:val="en-US" w:bidi="fa-IR"/>
        </w:rPr>
        <w:t xml:space="preserve">Discussion and conclusion</w:t>
      </w:r>
    </w:p>
    <w:p>
      <w:pPr>
        <w:spacing w:before="0" w:after="60" w:line="240" w:lineRule="auto"/>
        <w:jc w:val="both"/>
      </w:pPr>
      <w:r>
        <w:rPr>
          <w:rFonts w:ascii="Times New Roman" w:hAnsi="Times New Roman" w:cs="Times New Roman" w:eastAsia="Times New Roman"/>
          <w:sz w:val="24"/>
          <w:szCs w:val="24"/>
          <w:lang w:val="en-US" w:bidi="fa-IR"/>
        </w:rPr>
        <w:t xml:space="preserve">Within the assumed data-generating model, all hypotheses were supported. Much of the harmful effect of social-media exposure on decision quality is transmitted through FOMO and herding, and accounting information use acts as a cognitive buffer that weakens, but does not eliminate, the effect of FOMO on herding. The causal order of FOMO and herding cannot be distinguished statistically (equivalent models) and needs longitudinal or experimental testing.</w:t>
      </w:r>
    </w:p>
    <w:p>
      <w:pPr>
        <w:spacing w:before="100" w:after="40" w:line="240" w:lineRule="auto"/>
        <w:jc w:val="left"/>
      </w:pPr>
      <w:r>
        <w:rPr>
          <w:rFonts w:ascii="Times New Roman" w:hAnsi="Times New Roman" w:cs="Times New Roman" w:eastAsia="Times New Roman"/>
          <w:b/>
          <w:bCs/>
          <w:sz w:val="24"/>
          <w:szCs w:val="24"/>
          <w:lang w:val="en-US" w:bidi="fa-IR"/>
        </w:rPr>
        <w:t xml:space="preserve">Contribution and implications</w:t>
      </w:r>
    </w:p>
    <w:p>
      <w:pPr>
        <w:spacing w:before="0" w:after="60" w:line="240" w:lineRule="auto"/>
        <w:jc w:val="both"/>
      </w:pPr>
      <w:r>
        <w:rPr>
          <w:rFonts w:ascii="Times New Roman" w:hAnsi="Times New Roman" w:cs="Times New Roman" w:eastAsia="Times New Roman"/>
          <w:sz w:val="24"/>
          <w:szCs w:val="24"/>
          <w:lang w:val="en-US" w:bidi="fa-IR"/>
        </w:rPr>
        <w:t xml:space="preserve">The study links social media, FOMO, and herding in a single sequential model and introduces accounting information use as a behavioral moderator. Practical implications include disclosure of conflicts of interest in online analyses, plain-language summaries of financial statements in the channels used by retail investors, fundamentals embedded in trading platforms, and education in reading financial statements.</w:t>
      </w:r>
    </w:p>
    <w:p>
      <w:pPr>
        <w:spacing w:before="100" w:after="40" w:line="240" w:lineRule="auto"/>
        <w:jc w:val="left"/>
      </w:pPr>
      <w:r>
        <w:rPr>
          <w:rFonts w:ascii="Times New Roman" w:hAnsi="Times New Roman" w:cs="Times New Roman" w:eastAsia="Times New Roman"/>
          <w:b/>
          <w:bCs/>
          <w:sz w:val="24"/>
          <w:szCs w:val="24"/>
          <w:lang w:val="en-US" w:bidi="fa-IR"/>
        </w:rPr>
        <w:t xml:space="preserve">Limitations</w:t>
      </w:r>
    </w:p>
    <w:p>
      <w:pPr>
        <w:spacing w:before="0" w:after="60" w:line="240" w:lineRule="auto"/>
        <w:jc w:val="both"/>
      </w:pPr>
      <w:r>
        <w:rPr>
          <w:rFonts w:ascii="Times New Roman" w:hAnsi="Times New Roman" w:cs="Times New Roman" w:eastAsia="Times New Roman"/>
          <w:sz w:val="24"/>
          <w:szCs w:val="24"/>
          <w:lang w:val="en-US" w:bidi="fa-IR"/>
        </w:rPr>
        <w:t xml:space="preserve">The data are simulated, so the results are not empirical evidence about the real market; the design is cross-sectional; constructs are self-reported; and the items require validation before real-data use.</w:t>
      </w:r>
    </w:p>
    <w:p>
      <w:pPr>
        <w:spacing w:before="100" w:after="50" w:line="240" w:lineRule="auto"/>
        <w:jc w:val="left"/>
      </w:pPr>
      <w:r>
        <w:rPr>
          <w:rFonts w:ascii="Times New Roman" w:hAnsi="Times New Roman" w:cs="Times New Roman" w:eastAsia="Times New Roman"/>
          <w:sz w:val="24"/>
          <w:szCs w:val="24"/>
          <w:lang w:val="en-US" w:bidi="fa-IR"/>
        </w:rPr>
        <w:t xml:space="preserve">Keywords: Social media exposure; FOMO; Herding; Accounting information; Investment decision quality; Structural equation modeling; Tehran Stock Exchange</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view w:val="print"/>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4"/>
        <w:szCs w:val="24"/>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