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p>
      <w:pPr>
        <w:bidi/>
        <w:spacing w:before="0" w:after="20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4"/>
          <w:szCs w:val="24"/>
          <w:lang w:val="en-US" w:bidi="fa-IR"/>
        </w:rPr>
        <w:t xml:space="preserve">پرسشنامهٔ پژوهش — مقالهٔ اول</w:t>
      </w:r>
    </w:p>
    <w:p>
      <w:pPr>
        <w:bidi/>
        <w:spacing w:before="0" w:after="120" w:line="240" w:lineRule="auto"/>
        <w:jc w:val="center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اثر مواجهه با محتوای سرمایه‌گذاری شبکه‌های اجتماعی بر کیفیت تصمیم سرمایه‌گذاران حقیقی بورس تهران: نقش میانجی متوالی فومو و رفتار توده‌وار و نقش تعدیل‌گر استفاده از اطلاعات حسابداری</w:t>
      </w: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سرمایه‌گذار گرامی</w:t>
      </w:r>
    </w:p>
    <w:p>
      <w:pPr>
        <w:bidi/>
        <w:spacing w:before="0" w:after="50" w:line="240" w:lineRule="auto"/>
        <w:ind w:firstLine="360"/>
        <w:jc w:val="both"/>
      </w:pP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این پرسشنامه برای یک پژوهش دانشگاهی دربارهٔ تصمیم‌های سرمایه‌گذاران حقیقی در بازار سرمایهٔ ایران تهیه شده است. شرکت در پژوهش اختیاری است و پاسخ‌ها </w:t>
      </w: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کاملاً بی‌نام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گردآوری و فقط به‌صورت آماری و گروهی تحلیل می‌شود. پاسخ درست یا نادرست وجود ندارد؛ لطفاً مطابق رفتار واقعی خود در </w:t>
      </w: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۱۲ ماه گذشته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پاسخ دهید. تکمیل پرسشنامه حدود ۱۰ دقیقه زمان می‌برد. با تکمیل و ارسال پرسشنامه، رضایت آگاهانهٔ خود را برای استفادهٔ پژوهشی از پاسخ‌ها اعلام می‌کنید.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شرط ورود: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حداقل یک سال سابقهٔ معاملهٔ مستقل در بازار سهام (بورس یا فرابورس) به‌صورت حقیقی. </w:t>
      </w: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تماس با پژوهشگر: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</w:t>
      </w:r>
      <w:r>
        <w:rPr>
          <w:rFonts w:ascii="Times New Roman" w:hAnsi="Times New Roman" w:cs="B Nazanin" w:eastAsia="Times New Roman"/>
          <w:sz w:val="24"/>
          <w:szCs w:val="24"/>
          <w:highlight w:val="yellow"/>
          <w:lang w:val="en-US" w:bidi="fa-IR"/>
        </w:rPr>
        <w:t xml:space="preserve">ایمیل پژوهشگر</w:t>
      </w: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بخش الف) اطلاعات عمومی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الف. سؤال‌های جمعیت‌شناختی</w:t>
      </w:r>
    </w:p>
    <w:tbl>
      <w:tblPr>
        <w:bidiVisual/>
        <w:tblW w:w="9000" w:type="dxa"/>
        <w:jc w:val="center"/>
        <w:tblLayout w:type="fixed"/>
        <w:tblCellMar>
          <w:left w:w="60" w:type="dxa"/>
          <w:right w:w="60" w:type="dxa"/>
        </w:tblCellMar>
      </w:tblPr>
      <w:tblGrid>
        <w:gridCol w:w="700"/>
        <w:gridCol w:w="4300"/>
        <w:gridCol w:w="4000"/>
      </w:tblGrid>
      <w:tr>
        <w:trPr>
          <w:tblHeader/>
        </w:trPr>
        <w:tc>
          <w:tcPr>
            <w:tcW w:w="7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کد</w:t>
            </w:r>
          </w:p>
        </w:tc>
        <w:tc>
          <w:tcPr>
            <w:tcW w:w="43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سؤال</w:t>
            </w:r>
          </w:p>
        </w:tc>
        <w:tc>
          <w:tcPr>
            <w:tcW w:w="40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گزینه‌ها / پاسخ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D۱</w:t>
            </w:r>
          </w:p>
        </w:tc>
        <w:tc>
          <w:tcPr>
            <w:tcW w:w="4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جنسیت</w:t>
            </w:r>
          </w:p>
        </w:tc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○ زن  ○ مرد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D۲</w:t>
            </w:r>
          </w:p>
        </w:tc>
        <w:tc>
          <w:tcPr>
            <w:tcW w:w="4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سن (سال)</w:t>
            </w:r>
          </w:p>
        </w:tc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........ سال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D۳</w:t>
            </w:r>
          </w:p>
        </w:tc>
        <w:tc>
          <w:tcPr>
            <w:tcW w:w="4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تحصیلات</w:t>
            </w:r>
          </w:p>
        </w:tc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○ دیپلم و کمتر  ○ کارشناسی  ○ کارشناسی ارشد  ○ دکتری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D۴</w:t>
            </w:r>
          </w:p>
        </w:tc>
        <w:tc>
          <w:tcPr>
            <w:tcW w:w="4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سابقهٔ معامله در بازار سهام (سال)</w:t>
            </w:r>
          </w:p>
        </w:tc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........ سال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D۵</w:t>
            </w:r>
          </w:p>
        </w:tc>
        <w:tc>
          <w:tcPr>
            <w:tcW w:w="4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ارزش تقریبی سبد سهام (میلیون تومان)</w:t>
            </w:r>
          </w:p>
        </w:tc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........ میلیون تومان</w:t>
            </w:r>
          </w:p>
        </w:tc>
      </w:tr>
      <w:tr>
        <w:trPr>
          <w:cantSplit/>
        </w:trPr>
        <w:tc>
          <w:tcPr>
            <w:tcW w:w="7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D۷</w:t>
            </w:r>
          </w:p>
        </w:tc>
        <w:tc>
          <w:tcPr>
            <w:tcW w:w="43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کدام شبکه‌ها را بیشتر برای محتوای بورس دنبال می‌کنید؟ (چندگزینه‌ای؛ فقط توصیفی)</w:t>
            </w:r>
          </w:p>
        </w:tc>
        <w:tc>
          <w:tcPr>
            <w:tcW w:w="40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○ تلگرام  ○ اینستاگرام  ○ ایتا/روبیکا  ○ ایکس  ○ آپارات/یوتیوب  ○ سایر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بخش ب) گویه‌های اصلی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مقیاس پاسخ (لیکرت ۵ درجه‌ای):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۱ = کاملاً مخالفم | ۲ = مخالفم | ۳ = نظری ندارم | ۴ = موافقم | ۵ = کاملاً موافقم. برای هر گویه فقط یک گزینه را علامت بزنید.</w:t>
      </w: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۱) مواجهه با محتوای سرمایه‌گذاری در شبکه‌های اجتماعی — Exposure to investment content on social media (SME)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۱. گویه‌های سازهٔ SME</w:t>
      </w:r>
    </w:p>
    <w:tbl>
      <w:tblPr>
        <w:bidiVisual/>
        <w:tblW w:w="9072" w:type="dxa"/>
        <w:jc w:val="center"/>
        <w:tblLayout w:type="fixed"/>
        <w:tblCellMar>
          <w:left w:w="60" w:type="dxa"/>
          <w:right w:w="60" w:type="dxa"/>
        </w:tblCellMar>
      </w:tblPr>
      <w:tblGrid>
        <w:gridCol w:w="800"/>
        <w:gridCol w:w="5372"/>
        <w:gridCol w:w="580"/>
        <w:gridCol w:w="580"/>
        <w:gridCol w:w="580"/>
        <w:gridCol w:w="580"/>
        <w:gridCol w:w="580"/>
      </w:tblGrid>
      <w:tr>
        <w:trPr>
          <w:tblHeader/>
        </w:trPr>
        <w:tc>
          <w:tcPr>
            <w:tcW w:w="8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کد</w:t>
            </w:r>
          </w:p>
        </w:tc>
        <w:tc>
          <w:tcPr>
            <w:tcW w:w="5372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گویه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۱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۲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۳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۴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۵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SME۱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هر روز محتوای مربوط به بورس و سرمایه‌گذاری را در شبکه‌های اجتماعی (تلگرام، اینستاگرام، ایتا، ایکس و مانند آن) دنبال می‌کنم.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SME۲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بخش قابل‌توجهی از وقتم در شبکه‌های اجتماعی صرف دیدن تحلیل‌ها و اخبار بازار سرمایه می‌شود.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SME۳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عضو چند کانال، گروه یا صفحهٔ سرمایه‌گذاری هستم و پیام‌های آن‌ها را مرتب می‌خوانم.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SME۴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تحلیل‌ها و نظرهای منتشرشده در شبکه‌های اجتماعی از منابع اصلی اطلاعات من دربارهٔ سهام است.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SME۵</w:t>
            </w:r>
          </w:p>
        </w:tc>
        <w:tc>
          <w:tcPr>
            <w:tcW w:w="5372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معمولاً محتوای سرمایه‌گذاری را با دیگران به اشتراک می‌گذارم یا دربارهٔ آن گفت‌وگو می‌کنم.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۲) ترس از دست دادن فرصت سرمایه‌گذاری (فومو) — Investment-related fear of missing out (FOMO) (FOMO)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۲. گویه‌های سازهٔ FOMO</w:t>
      </w:r>
    </w:p>
    <w:tbl>
      <w:tblPr>
        <w:bidiVisual/>
        <w:tblW w:w="9072" w:type="dxa"/>
        <w:jc w:val="center"/>
        <w:tblLayout w:type="fixed"/>
        <w:tblCellMar>
          <w:left w:w="60" w:type="dxa"/>
          <w:right w:w="60" w:type="dxa"/>
        </w:tblCellMar>
      </w:tblPr>
      <w:tblGrid>
        <w:gridCol w:w="800"/>
        <w:gridCol w:w="5372"/>
        <w:gridCol w:w="580"/>
        <w:gridCol w:w="580"/>
        <w:gridCol w:w="580"/>
        <w:gridCol w:w="580"/>
        <w:gridCol w:w="580"/>
      </w:tblGrid>
      <w:tr>
        <w:trPr>
          <w:tblHeader/>
        </w:trPr>
        <w:tc>
          <w:tcPr>
            <w:tcW w:w="8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کد</w:t>
            </w:r>
          </w:p>
        </w:tc>
        <w:tc>
          <w:tcPr>
            <w:tcW w:w="5372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گویه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۱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۲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۳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۴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۵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FOMO۱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وقتی می‌شنوم دیگران از یک سهم سود زیادی کرده‌اند، نگران می‌شوم که فرصت سودآوری را از دست داده‌ام.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FOMO۲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نگرانم سایر سرمایه‌گذاران فرصت‌های سودآورتری از من پیدا کنند.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FOMO۳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وقتی گروهی از سرمایه‌گذاران آشنا سهمی را می‌خرند و من در آن نیستم، مضطرب می‌شوم.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FOMO۴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اگر مدتی از جریان بازار و خبرهای آن دور باشم، احساس نگرانی می‌کنم.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FOMO۵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از اینکه فرصت ورود به یک سهم در حال رشد را از دست بدهم ناراحت می‌شوم.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FOMO۶</w:t>
            </w:r>
          </w:p>
        </w:tc>
        <w:tc>
          <w:tcPr>
            <w:tcW w:w="5372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گاهی احساس می‌کنم اگر همین حالا وارد نشوم، دیگر خیلی دیر خواهد شد.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۳) رفتار توده‌وار — Herding behavior (HRD)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۳. گویه‌های سازهٔ HRD</w:t>
      </w:r>
    </w:p>
    <w:tbl>
      <w:tblPr>
        <w:bidiVisual/>
        <w:tblW w:w="9072" w:type="dxa"/>
        <w:jc w:val="center"/>
        <w:tblLayout w:type="fixed"/>
        <w:tblCellMar>
          <w:left w:w="60" w:type="dxa"/>
          <w:right w:w="60" w:type="dxa"/>
        </w:tblCellMar>
      </w:tblPr>
      <w:tblGrid>
        <w:gridCol w:w="800"/>
        <w:gridCol w:w="5372"/>
        <w:gridCol w:w="580"/>
        <w:gridCol w:w="580"/>
        <w:gridCol w:w="580"/>
        <w:gridCol w:w="580"/>
        <w:gridCol w:w="580"/>
      </w:tblGrid>
      <w:tr>
        <w:trPr>
          <w:tblHeader/>
        </w:trPr>
        <w:tc>
          <w:tcPr>
            <w:tcW w:w="8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کد</w:t>
            </w:r>
          </w:p>
        </w:tc>
        <w:tc>
          <w:tcPr>
            <w:tcW w:w="5372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گویه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۱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۲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۳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۴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۵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HRD۱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با تغییر تصمیم‌های سایر سرمایه‌گذاران به‌سرعت واکنش نشان می‌دهم و از آن‌ها پیروی می‌کنم.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HRD۲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برای خرید یا فروش، به حجم معاملات و صف‌های خرید و فروش توجه می‌کنم تا هم‌جهت با بازار باشم.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HRD۳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اگر بیشتر سرمایه‌گذاران سهمی را بخرند، من هم تمایل به خرید آن دارم.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HRD۴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در تصمیم‌گیری، نظر جمع را به تحلیل شخصی‌ام ترجیح می‌دهم.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HRD۵</w:t>
            </w:r>
          </w:p>
        </w:tc>
        <w:tc>
          <w:tcPr>
            <w:tcW w:w="5372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تصمیم‌های سرمایه‌گذاری من تحت‌تأثیر تصمیم دوستان و اطرافیان فعال در بورس است.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۴) استفاده از اطلاعات حسابداری — Use of accounting information (AIU)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۴. گویه‌های سازهٔ AIU</w:t>
      </w:r>
    </w:p>
    <w:tbl>
      <w:tblPr>
        <w:bidiVisual/>
        <w:tblW w:w="9072" w:type="dxa"/>
        <w:jc w:val="center"/>
        <w:tblLayout w:type="fixed"/>
        <w:tblCellMar>
          <w:left w:w="60" w:type="dxa"/>
          <w:right w:w="60" w:type="dxa"/>
        </w:tblCellMar>
      </w:tblPr>
      <w:tblGrid>
        <w:gridCol w:w="800"/>
        <w:gridCol w:w="5372"/>
        <w:gridCol w:w="580"/>
        <w:gridCol w:w="580"/>
        <w:gridCol w:w="580"/>
        <w:gridCol w:w="580"/>
        <w:gridCol w:w="580"/>
      </w:tblGrid>
      <w:tr>
        <w:trPr>
          <w:tblHeader/>
        </w:trPr>
        <w:tc>
          <w:tcPr>
            <w:tcW w:w="8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کد</w:t>
            </w:r>
          </w:p>
        </w:tc>
        <w:tc>
          <w:tcPr>
            <w:tcW w:w="5372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گویه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۱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۲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۳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۴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۵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AIU۱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پیش از خرید یک سهم، صورت‌های مالی شرکت را بررسی می‌کنم.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AIU۲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از اطلاعات منتشرشده در سامانهٔ کدال (مانند گزارش فعالیت ماهانه و اطلاعیه‌های بااهمیت) استفاده می‌کنم.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AIU۳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سود هر سهم (EPS)، نسبت قیمت به سود (P/E) و سایر نسبت‌های مالی را در تصمیمم لحاظ می‌کنم.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AIU۴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به گزارش حسابرس مستقل و یادداشت‌های توضیحی صورت‌های مالی توجه می‌کنم.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AIU۵</w:t>
            </w:r>
          </w:p>
        </w:tc>
        <w:tc>
          <w:tcPr>
            <w:tcW w:w="5372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کیفیت سود و جریان‌های نقدی شرکت را پیش از تصمیم ارزیابی می‌کنم.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۵) کیفیت تصمیم سرمایه‌گذاری — Investment decision quality (IDQ)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۵. گویه‌های سازهٔ IDQ</w:t>
      </w:r>
    </w:p>
    <w:tbl>
      <w:tblPr>
        <w:bidiVisual/>
        <w:tblW w:w="9072" w:type="dxa"/>
        <w:jc w:val="center"/>
        <w:tblLayout w:type="fixed"/>
        <w:tblCellMar>
          <w:left w:w="60" w:type="dxa"/>
          <w:right w:w="60" w:type="dxa"/>
        </w:tblCellMar>
      </w:tblPr>
      <w:tblGrid>
        <w:gridCol w:w="800"/>
        <w:gridCol w:w="5372"/>
        <w:gridCol w:w="580"/>
        <w:gridCol w:w="580"/>
        <w:gridCol w:w="580"/>
        <w:gridCol w:w="580"/>
        <w:gridCol w:w="580"/>
      </w:tblGrid>
      <w:tr>
        <w:trPr>
          <w:tblHeader/>
        </w:trPr>
        <w:tc>
          <w:tcPr>
            <w:tcW w:w="8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کد</w:t>
            </w:r>
          </w:p>
        </w:tc>
        <w:tc>
          <w:tcPr>
            <w:tcW w:w="5372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گویه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۱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۲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۳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۴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۵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IDQ۱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تصمیم‌های سرمایه‌گذاری من معمولاً بر تحلیل مستند استوارند.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IDQ۲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از نتیجهٔ تصمیم‌های سرمایه‌گذاری خود در یک سال گذشته رضایت دارم.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IDQ۳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بازده سبد من در یک سال گذشته مطابق انتظارم بوده است.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IDQ۴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تصمیم‌های من با اهداف مالی بلندمدتم هم‌راستا هستند.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IDQ۵</w:t>
            </w:r>
          </w:p>
        </w:tc>
        <w:tc>
          <w:tcPr>
            <w:tcW w:w="5372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به‌ندرت از تصمیم‌های معاملاتی خود پشیمان می‌شوم.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گویهٔ کنترل دقت (نسخهٔ آنلاین؛ در میان گویه‌ها قرار می‌گیرد):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«برای نشان‌دادن دقت، در این ردیف گزینهٔ ۴ را انتخاب کنید.» پاسخ‌دهندهٔ ناموفق از تحلیل کنار گذاشته می‌شود.</w:t>
      </w:r>
    </w:p>
    <w:p>
      <w:pPr>
        <w:bidi/>
        <w:spacing w:before="0" w:after="50" w:line="240" w:lineRule="auto"/>
        <w:jc w:val="center"/>
      </w:pP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با سپاس از وقتی که گذاشتید.</w:t>
      </w:r>
    </w:p>
    <w:p>
      <w:r>
        <w:br w:type="page"/>
      </w:r>
    </w:p>
    <w:p>
      <w:pPr>
        <w:bidi/>
        <w:spacing w:before="0" w:after="20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4"/>
          <w:szCs w:val="24"/>
          <w:lang w:val="en-US" w:bidi="fa-IR"/>
        </w:rPr>
        <w:t xml:space="preserve">پیوست پژوهشگر: منابع، نمره‌دهی و اعتبارسنجی (در نسخهٔ توزیع‌شده حذف شود)</w:t>
      </w: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۱. مبنای نظری و منبع هر سازه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۱. منبع و وضعیت گویه‌ها</w:t>
      </w:r>
    </w:p>
    <w:tbl>
      <w:tblPr>
        <w:bidiVisual/>
        <w:tblW w:w="9000" w:type="dxa"/>
        <w:jc w:val="center"/>
        <w:tblLayout w:type="fixed"/>
        <w:tblCellMar>
          <w:left w:w="60" w:type="dxa"/>
          <w:right w:w="60" w:type="dxa"/>
        </w:tblCellMar>
      </w:tblPr>
      <w:tblGrid>
        <w:gridCol w:w="2400"/>
        <w:gridCol w:w="600"/>
        <w:gridCol w:w="3600"/>
        <w:gridCol w:w="2400"/>
      </w:tblGrid>
      <w:tr>
        <w:trPr>
          <w:tblHeader/>
        </w:trPr>
        <w:tc>
          <w:tcPr>
            <w:tcW w:w="24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سازه</w:t>
            </w:r>
          </w:p>
        </w:tc>
        <w:tc>
          <w:tcPr>
            <w:tcW w:w="6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گویه</w:t>
            </w:r>
          </w:p>
        </w:tc>
        <w:tc>
          <w:tcPr>
            <w:tcW w:w="36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منابع مبنا</w:t>
            </w:r>
          </w:p>
        </w:tc>
        <w:tc>
          <w:tcPr>
            <w:tcW w:w="24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وضعیت</w:t>
            </w:r>
          </w:p>
        </w:tc>
      </w:tr>
      <w:tr>
        <w:trPr>
          <w:cantSplit/>
        </w:trPr>
        <w:tc>
          <w:tcPr>
            <w:tcW w:w="2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مواجهه با محتوای سرمایه‌گذاری در شبکه‌های اجتماعی (SME)</w:t>
            </w:r>
          </w:p>
        </w:tc>
        <w:tc>
          <w:tcPr>
            <w:tcW w:w="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۵</w:t>
            </w:r>
          </w:p>
        </w:tc>
        <w:tc>
          <w:tcPr>
            <w:tcW w:w="3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Ellison, N. B., Steinfield, C., &amp; Lampe, C. (۲۰۰۷)؛ Cookson, J. A., Engelberg, J. E., &amp; Mullins, W. (۲۰۲۳)</w:t>
            </w:r>
          </w:p>
        </w:tc>
        <w:tc>
          <w:tcPr>
            <w:tcW w:w="2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بازنویسی و بومی‌سازی توسط پژوهشگر</w:t>
            </w:r>
          </w:p>
        </w:tc>
      </w:tr>
      <w:tr>
        <w:trPr>
          <w:cantSplit/>
        </w:trPr>
        <w:tc>
          <w:tcPr>
            <w:tcW w:w="2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ترس از دست دادن فرصت سرمایه‌گذاری (فومو) (FOMO)</w:t>
            </w:r>
          </w:p>
        </w:tc>
        <w:tc>
          <w:tcPr>
            <w:tcW w:w="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۶</w:t>
            </w:r>
          </w:p>
        </w:tc>
        <w:tc>
          <w:tcPr>
            <w:tcW w:w="3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Przybylski, A. K., Murayama, K., DeHaan, C. R., &amp; Gladwell, V. (۲۰۱۳)؛ Abel, J. P., Buff, C. L., &amp; Burr, S. A. (۲۰۱۶)</w:t>
            </w:r>
          </w:p>
        </w:tc>
        <w:tc>
          <w:tcPr>
            <w:tcW w:w="2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تطبیق با زمینهٔ سرمایه‌گذاری؛ ترجمه و بازنویسی</w:t>
            </w:r>
          </w:p>
        </w:tc>
      </w:tr>
      <w:tr>
        <w:trPr>
          <w:cantSplit/>
        </w:trPr>
        <w:tc>
          <w:tcPr>
            <w:tcW w:w="2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رفتار توده‌وار (HRD)</w:t>
            </w:r>
          </w:p>
        </w:tc>
        <w:tc>
          <w:tcPr>
            <w:tcW w:w="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۵</w:t>
            </w:r>
          </w:p>
        </w:tc>
        <w:tc>
          <w:tcPr>
            <w:tcW w:w="3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Bakar, S., &amp; Yi, A. N. C. (۲۰۱۶)؛ Kumar, S., &amp; Goyal, N. (۲۰۱۵)</w:t>
            </w:r>
          </w:p>
        </w:tc>
        <w:tc>
          <w:tcPr>
            <w:tcW w:w="2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بازنویسی و بومی‌سازی</w:t>
            </w:r>
          </w:p>
        </w:tc>
      </w:tr>
      <w:tr>
        <w:trPr>
          <w:cantSplit/>
        </w:trPr>
        <w:tc>
          <w:tcPr>
            <w:tcW w:w="2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استفاده از اطلاعات حسابداری (AIU)</w:t>
            </w:r>
          </w:p>
        </w:tc>
        <w:tc>
          <w:tcPr>
            <w:tcW w:w="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۵</w:t>
            </w:r>
          </w:p>
        </w:tc>
        <w:tc>
          <w:tcPr>
            <w:tcW w:w="3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Lawrence, A. (۲۰۱۳)؛ Miller, G. S., &amp; Skinner, D. J. (۲۰۱۵)</w:t>
            </w:r>
          </w:p>
        </w:tc>
        <w:tc>
          <w:tcPr>
            <w:tcW w:w="2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توسعه‌یافته توسط پژوهشگر</w:t>
            </w:r>
          </w:p>
        </w:tc>
      </w:tr>
      <w:tr>
        <w:trPr>
          <w:cantSplit/>
        </w:trPr>
        <w:tc>
          <w:tcPr>
            <w:tcW w:w="24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کیفیت تصمیم سرمایه‌گذاری (IDQ)</w:t>
            </w:r>
          </w:p>
        </w:tc>
        <w:tc>
          <w:tcPr>
            <w:tcW w:w="6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۵</w:t>
            </w:r>
          </w:p>
        </w:tc>
        <w:tc>
          <w:tcPr>
            <w:tcW w:w="36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Parker, A. M., &amp; Fischhoff, B. (۲۰۰۵)؛ Bruine de Bruin, W., Parker, A. M., &amp; Fischhoff, B. (۲۰۰۷)</w:t>
            </w:r>
          </w:p>
        </w:tc>
        <w:tc>
          <w:tcPr>
            <w:tcW w:w="24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توسعه‌یافته توسط پژوهشگر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هشدار روش‌شناختی: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هیچ‌یک از گویه‌ها نسخهٔ استانداردشدهٔ فارسی نیست؛ همه از مقیاس‌های بین‌المللی بازنویسی یا بر پایهٔ تعریف نظری سازه توسط پژوهشگر ساخته شده‌اند و پیش از جمع‌آوری داده‌ٔ واقعی باید اعتبارسنجی شوند (بخش ۴).</w:t>
      </w: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۲. راهنمای نمره‌دهی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کدگذاری پاسخ‌ها: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گزینه‌ها به ترتیب ۱ تا ۵ کد می‌شوند. هیچ گویهٔ معکوسی وجود ندارد، بنابراین بازکدگذاری لازم نیست. </w:t>
      </w: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نمرهٔ سازه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= میانگین حسابی گویه‌های آن سازه (دامنه ۱ تا ۵)؛ نمرهٔ بالاتر یعنی شدت بیشتر سازه (در کیفیت تصمیم: کیفیت بهتر). </w:t>
      </w: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داده‌های گم‌شده: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اگر دست‌کم ۸۰٪ گویه‌های یک سازه پاسخ داده شده باشد، میانگین گویه‌های پاسخ‌داده‌شده محاسبه می‌شود، وگرنه نمرهٔ آن سازه گم‌شده است.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۲. فرمول نمره‌دهی</w:t>
      </w:r>
    </w:p>
    <w:tbl>
      <w:tblPr>
        <w:bidiVisual/>
        <w:tblW w:w="9000" w:type="dxa"/>
        <w:jc w:val="center"/>
        <w:tblLayout w:type="fixed"/>
        <w:tblCellMar>
          <w:left w:w="60" w:type="dxa"/>
          <w:right w:w="60" w:type="dxa"/>
        </w:tblCellMar>
      </w:tblPr>
      <w:tblGrid>
        <w:gridCol w:w="2300"/>
        <w:gridCol w:w="2700"/>
        <w:gridCol w:w="1500"/>
        <w:gridCol w:w="1300"/>
        <w:gridCol w:w="1200"/>
      </w:tblGrid>
      <w:tr>
        <w:trPr>
          <w:tblHeader/>
        </w:trPr>
        <w:tc>
          <w:tcPr>
            <w:tcW w:w="23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سازه</w:t>
            </w:r>
          </w:p>
        </w:tc>
        <w:tc>
          <w:tcPr>
            <w:tcW w:w="27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گویه‌ها</w:t>
            </w:r>
          </w:p>
        </w:tc>
        <w:tc>
          <w:tcPr>
            <w:tcW w:w="15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فرمول</w:t>
            </w:r>
          </w:p>
        </w:tc>
        <w:tc>
          <w:tcPr>
            <w:tcW w:w="13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جمع خام</w:t>
            </w:r>
          </w:p>
        </w:tc>
        <w:tc>
          <w:tcPr>
            <w:tcW w:w="12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نمرهٔ میانگین</w:t>
            </w:r>
          </w:p>
        </w:tc>
      </w:tr>
      <w:tr>
        <w:trPr>
          <w:cantSplit/>
        </w:trPr>
        <w:tc>
          <w:tcPr>
            <w:tcW w:w="2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مواجهه با محتوای سرمایه‌گذاری در شبکه‌های اجتماعی (SME)</w:t>
            </w:r>
          </w:p>
        </w:tc>
        <w:tc>
          <w:tcPr>
            <w:tcW w:w="2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SME۱، SME۲، SME۳، SME۴، SME۵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میانگین ۵ گویه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۵ تا ۲۵</w:t>
            </w:r>
          </w:p>
        </w:tc>
        <w:tc>
          <w:tcPr>
            <w:tcW w:w="12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تا ۵</w:t>
            </w:r>
          </w:p>
        </w:tc>
      </w:tr>
      <w:tr>
        <w:trPr>
          <w:cantSplit/>
        </w:trPr>
        <w:tc>
          <w:tcPr>
            <w:tcW w:w="2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ترس از دست دادن فرصت سرمایه‌گذاری (فومو) (FOMO)</w:t>
            </w:r>
          </w:p>
        </w:tc>
        <w:tc>
          <w:tcPr>
            <w:tcW w:w="2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FOMO۱، FOMO۲، FOMO۳، FOMO۴، FOMO۵، FOMO۶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میانگین ۶ گویه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۶ تا ۳۰</w:t>
            </w:r>
          </w:p>
        </w:tc>
        <w:tc>
          <w:tcPr>
            <w:tcW w:w="12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تا ۵</w:t>
            </w:r>
          </w:p>
        </w:tc>
      </w:tr>
      <w:tr>
        <w:trPr>
          <w:cantSplit/>
        </w:trPr>
        <w:tc>
          <w:tcPr>
            <w:tcW w:w="2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رفتار توده‌وار (HRD)</w:t>
            </w:r>
          </w:p>
        </w:tc>
        <w:tc>
          <w:tcPr>
            <w:tcW w:w="2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HRD۱، HRD۲، HRD۳، HRD۴، HRD۵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میانگین ۵ گویه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۵ تا ۲۵</w:t>
            </w:r>
          </w:p>
        </w:tc>
        <w:tc>
          <w:tcPr>
            <w:tcW w:w="12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تا ۵</w:t>
            </w:r>
          </w:p>
        </w:tc>
      </w:tr>
      <w:tr>
        <w:trPr>
          <w:cantSplit/>
        </w:trPr>
        <w:tc>
          <w:tcPr>
            <w:tcW w:w="2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استفاده از اطلاعات حسابداری (AIU)</w:t>
            </w:r>
          </w:p>
        </w:tc>
        <w:tc>
          <w:tcPr>
            <w:tcW w:w="2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AIU۱، AIU۲، AIU۳، AIU۴، AIU۵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میانگین ۵ گویه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۵ تا ۲۵</w:t>
            </w:r>
          </w:p>
        </w:tc>
        <w:tc>
          <w:tcPr>
            <w:tcW w:w="12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تا ۵</w:t>
            </w:r>
          </w:p>
        </w:tc>
      </w:tr>
      <w:tr>
        <w:trPr>
          <w:cantSplit/>
        </w:trPr>
        <w:tc>
          <w:tcPr>
            <w:tcW w:w="23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کیفیت تصمیم سرمایه‌گذاری (IDQ)</w:t>
            </w:r>
          </w:p>
        </w:tc>
        <w:tc>
          <w:tcPr>
            <w:tcW w:w="27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IDQ۱، IDQ۲، IDQ۳، IDQ۴، IDQ۵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میانگین ۵ گویه</w:t>
            </w:r>
          </w:p>
        </w:tc>
        <w:tc>
          <w:tcPr>
            <w:tcW w:w="13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۵ تا ۲۵</w:t>
            </w:r>
          </w:p>
        </w:tc>
        <w:tc>
          <w:tcPr>
            <w:tcW w:w="12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تا ۵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تفسیر نمرهٔ میانگین (پیشنهادی):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۱ تا ۲٫۳۳ = پایین؛ ۲٫۳۴ تا ۳٫۶۷ = متوسط؛ ۳٫۶۸ تا ۵ = بالا. </w:t>
      </w: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مثال محاسبه: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اگر پاسخ‌های یک نفر به گویه‌های FOMO۱ تا FOMO۶ برابر ۴، ۵، ۳، ۴، ۴ و ۵ باشد، نمرهٔ فومو = (۴+۵+۳+۴+۴+۵) ÷ ۶ = ۴٫۱۷ (سطح بالا). </w:t>
      </w: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متغیرهای دیگر: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جنسیت (۱ = مرد، ۰ = زن)، تحصیلات (۱ تا ۴).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تذکر روش‌شناختی: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میانگین یا جمع گویه‌ها فقط برای گزارش توصیفی و بازخورد به پاسخ‌دهنده مناسب است. در مقالهٔ مربوط، همهٔ تحلیل‌ها بر پایهٔ مدل متغیر پنهان انجام شده است (هر گویه مستقیماً به سازهٔ خود متصل است و هیچ نمرهٔ ترکیبی ساخته نمی‌شود)؛ اگر نمرهٔ فردی برای هر پاسخ‌دهنده لازم باشد، نمرهٔ عاملی مبتنی بر بارهای مدل اندازه‌گیری (روش رگرسیونی) توصیه می‌شود.</w:t>
      </w: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۳. شاخص‌های مورد انتظار پایایی و روایی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۳. پایایی و روایی همگرا در داده‌ٔ شبیه‌سازی‌شده (مرجع مقایسه؛ نه نتیجهٔ تجربی)</w:t>
      </w:r>
    </w:p>
    <w:tbl>
      <w:tblPr>
        <w:bidiVisual/>
        <w:tblW w:w="9100" w:type="dxa"/>
        <w:jc w:val="center"/>
        <w:tblLayout w:type="fixed"/>
        <w:tblCellMar>
          <w:left w:w="60" w:type="dxa"/>
          <w:right w:w="60" w:type="dxa"/>
        </w:tblCellMar>
      </w:tblPr>
      <w:tblGrid>
        <w:gridCol w:w="4600"/>
        <w:gridCol w:w="1500"/>
        <w:gridCol w:w="1500"/>
        <w:gridCol w:w="1500"/>
      </w:tblGrid>
      <w:tr>
        <w:trPr>
          <w:tblHeader/>
        </w:trPr>
        <w:tc>
          <w:tcPr>
            <w:tcW w:w="46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سازه</w:t>
            </w:r>
          </w:p>
        </w:tc>
        <w:tc>
          <w:tcPr>
            <w:tcW w:w="15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آلفا</w:t>
            </w:r>
          </w:p>
        </w:tc>
        <w:tc>
          <w:tcPr>
            <w:tcW w:w="15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CR</w:t>
            </w:r>
          </w:p>
        </w:tc>
        <w:tc>
          <w:tcPr>
            <w:tcW w:w="15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AVE</w:t>
            </w:r>
          </w:p>
        </w:tc>
      </w:tr>
      <w:tr>
        <w:trPr>
          <w:cantSplit/>
        </w:trPr>
        <w:tc>
          <w:tcPr>
            <w:tcW w:w="4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مواجهه با محتوای سرمایه‌گذاری در شبکه‌های اجتماعی (SME)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۰٫۸۲۹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۰٫۸۳۱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۰٫۵۰۰</w:t>
            </w:r>
          </w:p>
        </w:tc>
      </w:tr>
      <w:tr>
        <w:trPr>
          <w:cantSplit/>
        </w:trPr>
        <w:tc>
          <w:tcPr>
            <w:tcW w:w="4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ترس از دست دادن فرصت سرمایه‌گذاری (فومو) (FOMO)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۰٫۸۷۵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۰٫۸۷۵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۰٫۵۴۰</w:t>
            </w:r>
          </w:p>
        </w:tc>
      </w:tr>
      <w:tr>
        <w:trPr>
          <w:cantSplit/>
        </w:trPr>
        <w:tc>
          <w:tcPr>
            <w:tcW w:w="4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رفتار توده‌وار (HRD)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۰٫۸۴۴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۰٫۸۴۶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۰٫۵۲۴</w:t>
            </w:r>
          </w:p>
        </w:tc>
      </w:tr>
      <w:tr>
        <w:trPr>
          <w:cantSplit/>
        </w:trPr>
        <w:tc>
          <w:tcPr>
            <w:tcW w:w="4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استفاده از اطلاعات حسابداری (AIU)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۰٫۸۴۴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۰٫۸۴۶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۰٫۵۲۵</w:t>
            </w:r>
          </w:p>
        </w:tc>
      </w:tr>
      <w:tr>
        <w:trPr>
          <w:cantSplit/>
        </w:trPr>
        <w:tc>
          <w:tcPr>
            <w:tcW w:w="46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کیفیت تصمیم سرمایه‌گذاری (IDQ)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۰٫۸۴۵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۰٫۸۴۶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۰٫۵۲۶</w:t>
            </w:r>
          </w:p>
        </w:tc>
      </w:tr>
    </w:tbl>
    <w:p>
      <w:pPr>
        <w:bidi/>
        <w:spacing w:before="40" w:after="120" w:line="240" w:lineRule="auto"/>
        <w:jc w:val="both"/>
      </w:pPr>
      <w:r>
        <w:rPr>
          <w:rFonts w:ascii="Times New Roman" w:hAnsi="Times New Roman" w:cs="B Nazanin" w:eastAsia="Times New Roman"/>
          <w:sz w:val="20"/>
          <w:szCs w:val="20"/>
          <w:lang w:val="en-US" w:bidi="fa-IR"/>
        </w:rPr>
        <w:t xml:space="preserve">آستانه‌ها: آلفا و CR ≥ ۰٫۷۰؛ AVE ≥ ۰٫۵۰ (فورنل و لارکر)؛ HTMT &lt; ۰٫۸۵ (هنسلر و همکاران)؛ بار عاملی استاندارد ≥ ۰٫۵۰؛ برازش: CFI و TLI ≥ ۰٫۹۵، RMSEA ≤ ۰٫۰۶، SRMR ≤ ۰٫۰۸ (هو و بنتلر).</w:t>
      </w: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۴. پروتکل اعتبارسنجی پیش از گردآوری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گام ۱.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روایی صوری: ارزیابی خوانایی و وضوح گویه‌ها با ۱۰ تا ۱۵ سرمایه‌گذار فعال؛ اصلاح واژه‌های مبهم.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گام ۲.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روایی محتوا (کمّی): ارزیابی ۸ تا ۱۰ متخصص (حسابداری، مالی رفتاری، روان‌شناسی). برای هر گویه نسبت روایی محتوا (CVR) به روش لاوشه: CVR = (n_e − N/۲) ÷ (N/۲). حداقل مقدار پذیرفتنی برای N = ۸، ۱۰، ۱۲ و ۱۵ به ترتیب ۰٫۷۵، ۰٫۶۲، ۰٫۵۶ و ۰٫۴۹ است. شاخص روایی محتوا (CVI) برای ارتباط گویه (مقیاس ۱ تا ۴؛ نسبت امتیاز ۳ و ۴)؛ پذیرش I-CVI ≥ ۰٫۷۸ و S-CVI/Ave ≥ ۰٫۹۰ (پولیت و بک).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گام ۳.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ترجمه و ترجمهٔ معکوس برای گویه‌های برگرفته از مقیاس‌های انگلیسی (بریسلین)؛ مقایسهٔ دو مترجم مستقل و رفع اختلاف‌ها.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گام ۴.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مطالعهٔ مقدماتی ۳۰ تا ۵۰ نفره: آلفای کرونباخ، همبستگی گویه-کل (≥ ۰٫۳۰)، بررسی گویه‌های پرت و زمان تکمیل.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گام ۵.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مطالعهٔ اصلی: حداقل ۳۵۰ پرسشنامهٔ معتبر (ترجیحاً ۴۰۰ تا ۴۵۰)؛ تحلیل عاملی تأییدی، پایایی ترکیبی، AVE، HTMT، سوگیری روش مشترک (آزمون تک‌عاملی هارمن و مدل عامل روش مشترک).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گام ۶.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اخلاق: رضایت آگاهانه، بی‌نامی، حذف دادهٔ شناسایی‌کننده، و دریافت کد اخلاق از کمیتهٔ اخلاق دانشگاه پیش از توزیع.</w:t>
      </w: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۵. فرم پانل متخصصان (CVR و CVI)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برای هر گویه، «ضروری بودن» را با یکی از سه گزینه (ضروری / مفید اما غیرضروری / غیرضروری) و «ارتباط گویه با سازه» را با نمرهٔ ۱ (نامرتبط) تا ۴ (کاملاً مرتبط) مشخص کنید.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۴. فرم ارزیابی متخصصان</w:t>
      </w:r>
    </w:p>
    <w:tbl>
      <w:tblPr>
        <w:bidiVisual/>
        <w:tblW w:w="9000" w:type="dxa"/>
        <w:jc w:val="center"/>
        <w:tblLayout w:type="fixed"/>
        <w:tblCellMar>
          <w:left w:w="60" w:type="dxa"/>
          <w:right w:w="60" w:type="dxa"/>
        </w:tblCellMar>
      </w:tblPr>
      <w:tblGrid>
        <w:gridCol w:w="1100"/>
        <w:gridCol w:w="2800"/>
        <w:gridCol w:w="1800"/>
        <w:gridCol w:w="3300"/>
      </w:tblGrid>
      <w:tr>
        <w:trPr>
          <w:tblHeader/>
        </w:trPr>
        <w:tc>
          <w:tcPr>
            <w:tcW w:w="11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کد گویه</w:t>
            </w:r>
          </w:p>
        </w:tc>
        <w:tc>
          <w:tcPr>
            <w:tcW w:w="28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ضروری | مفید | غیرضروری</w:t>
            </w:r>
          </w:p>
        </w:tc>
        <w:tc>
          <w:tcPr>
            <w:tcW w:w="18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ارتباط (۱ تا ۴)</w:t>
            </w:r>
          </w:p>
        </w:tc>
        <w:tc>
          <w:tcPr>
            <w:tcW w:w="33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پیشنهاد اصلاح</w:t>
            </w: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SME۱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SME۲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SME۳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SME۴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SME۵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FOMO۱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FOMO۲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FOMO۳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FOMO۴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FOMO۵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FOMO۶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HRD۱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HRD۲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HRD۳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HRD۴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HRD۵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AIU۱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AIU۲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AIU۳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AIU۴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AIU۵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IDQ۱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IDQ۲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IDQ۳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IDQ۴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IDQ۵</w:t>
            </w:r>
          </w:p>
        </w:tc>
        <w:tc>
          <w:tcPr>
            <w:tcW w:w="28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۶. منابع (APA)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Abel, J. P., Buff, C. L., &amp; Burr, S. A. (2016). Social media and the fear of missing out: Scale development and assessment. Journal of Business &amp; Economic Research, 14(1), 33–44. https://doi.org/10.19030/jber.v14i1.9554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Bakar, S., &amp; Yi, A. N. C. (2016). The impact of psychological factors on investors' decision making in Malaysian stock market: A case of Klang Valley and Pahang. Procedia Economics and Finance, 35, 319–328. https://doi.org/10.1016/S2212-5671(16)00040-X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Brislin, R. W. (1970). Back-translation for cross-cultural research. Journal of Cross-Cultural Psychology, 1(3), 185–216. https://doi.org/10.1177/135910457000100301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Bruine de Bruin, W., Parker, A. M., &amp; Fischhoff, B. (2007). Individual differences in adult decision-making competence. Journal of Personality and Social Psychology, 92(5), 938–956. https://doi.org/10.1037/0022-3514.92.5.938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Cookson, J. A., Engelberg, J. E., &amp; Mullins, W. (2023). Echo chambers. The Review of Financial Studies, 36(2), 450–500. https://doi.org/10.1093/rfs/hhac058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Ellison, N. B., Steinfield, C., &amp; Lampe, C. (2007). The benefits of Facebook "friends": Social capital and college students' use of online social network sites. Journal of Computer-Mediated Communication, 12(4), 1143–1168. https://doi.org/10.1111/j.1083-6101.2007.00367.x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Fornell, C., &amp; Larcker, D. F. (1981). Evaluating structural equation models with unobservable variables and measurement error. Journal of Marketing Research, 18(1), 39–50. https://doi.org/10.1177/002224378101800104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Henseler, J., Ringle, C. M., &amp; Sarstedt, M. (2015). A new criterion for assessing discriminant validity in variance-based structural equation modeling. Journal of the Academy of Marketing Science, 43(1), 115–135. https://doi.org/10.1007/s11747-014-0403-8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Hu, L., &amp; Bentler, P. M. (1999). Cutoff criteria for fit indexes in covariance structure analysis: Conventional criteria versus new alternatives. Structural Equation Modeling, 6(1), 1–55. https://doi.org/10.1080/10705519909540118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Kumar, S., &amp; Goyal, N. (2015). Behavioural biases in investment decision making – a systematic literature review. Qualitative Research in Financial Markets, 7(1), 88–108. https://doi.org/10.1108/QRFM-06-2014-0022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Lawrence, A. (2013). Individual investors and financial disclosure. Journal of Accounting and Economics, 56(1), 130–147. https://doi.org/10.1016/j.jacceco.2013.05.001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Lawshe, C. H. (1975). A quantitative approach to content validity. Personnel Psychology, 28(4), 563–575. https://doi.org/10.1111/j.1744-6570.1975.tb01393.x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Miller, G. S., &amp; Skinner, D. J. (2015). The evolving disclosure landscape: How changes in technology, the media, and capital markets are affecting disclosure. Journal of Accounting Research, 53(2), 221–239. https://doi.org/10.1111/1475-679X.12075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Parker, A. M., &amp; Fischhoff, B. (2005). Decision-making competence: External validation through an individual-differences approach. Journal of Behavioral Decision Making, 18(1), 1–27. https://doi.org/10.1002/bdm.481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Podsakoff, P. M., MacKenzie, S. B., Lee, J.-Y., &amp; Podsakoff, N. P. (2003). Common method biases in behavioral research: A critical review of the literature and recommended remedies. Journal of Applied Psychology, 88(5), 879–903. https://doi.org/10.1037/0021-9010.88.5.879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Polit, D. F., &amp; Beck, C. T. (2006). The content validity index: Are you sure you know what's being reported? Critique and recommendations. Research in Nursing &amp; Health, 29(5), 489–497. https://doi.org/10.1002/nur.20147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Przybylski, A. K., Murayama, K., DeHaan, C. R., &amp; Gladwell, V. (2013). Motivational, emotional, and behavioral correlates of fear of missing out. Computers in Human Behavior, 29(4), 1841–1848. https://doi.org/10.1016/j.chb.2013.02.014</w:t>
      </w:r>
    </w:p>
    <w:sectPr>
      <w:footerReference w:type="default" r:id="rIdFooter"/>
      <w:pgSz w:w="11906" w:h="16838"/>
      <w:pgMar w:top="1417" w:right="1417" w:bottom="1417" w:left="1417" w:header="708" w:footer="708" w:gutter="0"/>
      <w:bidi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>
  <w:p>
    <w:pPr>
      <w:jc w:val="center"/>
    </w:pPr>
    <w:r>
      <w:rPr>
        <w:sz w:val="20"/>
      </w:rP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r="http://schemas.openxmlformats.org/officeDocument/2006/relationships" xmlns:wp="http://schemas.openxmlformats.org/drawingml/2006/wordprocessingDrawing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w="http://schemas.openxmlformats.org/wordprocessingml/2006/main">
  <w:view w:val="print"/>
  <w:zoom w:percent="100"/>
  <w:defaultTabStop w:val="720"/>
  <w:characterSpacingControl w:val="doNotCompress"/>
  <w:footnotePr>
    <w:footnote w:id="-1"/>
    <w:footnote w:id="0"/>
  </w:footnotePr>
  <w:themeFontLang w:val="en-US" w:bidi="fa-IR"/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B Nazanin"/>
        <w:sz w:val="24"/>
        <w:szCs w:val="24"/>
        <w:lang w:val="en-US" w:bidi="fa-IR"/>
      </w:rPr>
    </w:rPrDefault>
    <w:pPrDefault>
      <w:pPr>
        <w:bidi/>
      </w:pPr>
    </w:pPrDefault>
  </w:docDefaults>
  <w:style w:type="paragraph" w:default="1" w:styleId="Normal">
    <w:name w:val="Normal"/>
  </w:style>
  <w:style w:type="character" w:styleId="FootnoteReference">
    <w:name w:val="footnote reference"/>
    <w:rPr>
      <w:vertAlign w:val="superscript"/>
    </w:rPr>
  </w:style>
</w:styles>
</file>

<file path=word/_rels/document.xml.rels><?xml version="1.0" encoding="UTF-8" standalone="yes"?><Relationships xmlns="http://schemas.openxmlformats.org/package/2006/relationships"><Relationship Id="rIdSt" Type="http://schemas.openxmlformats.org/officeDocument/2006/relationships/styles" Target="styles.xml"/><Relationship Id="rIdSe" Type="http://schemas.openxmlformats.org/officeDocument/2006/relationships/settings" Target="settings.xml"/><Relationship Id="rIdFn" Type="http://schemas.openxmlformats.org/officeDocument/2006/relationships/footnotes" Target="footnotes.xml"/><Relationship Id="rIdFooter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Article</dc:title>
  <dc:language>fa-IR</dc:language>
</cp:coreProperties>
</file>