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Zar" w:eastAsia="Times New Roman"/>
          <w:b/>
          <w:bCs/>
          <w:sz w:val="24"/>
          <w:szCs w:val="24"/>
          <w:lang w:val="en-US" w:bidi="fa-IR"/>
        </w:rPr>
        <w:t xml:space="preserve">پیش‌برنده‌ها و پیامدهای فومو در رقابت منابع اطلاعاتی سرمایه‌گذاران حقیقی: ناوردایی اندازه‌گیری و تفاوت مسیرها بر پایهٔ تجربهٔ زیان در ریزش بورس، با تحلیل تکمیلی یادگیری ماشین</w:t>
      </w:r>
    </w:p>
    <w:p>
      <w:pPr>
        <w:bidi/>
        <w:spacing w:before="0" w:after="160" w:line="240" w:lineRule="auto"/>
        <w:jc w:val="center"/>
      </w:pPr>
      <w:r>
        <w:rPr>
          <w:rFonts w:ascii="Times New Roman" w:hAnsi="Times New Roman" w:cs="B Nazanin" w:eastAsia="Times New Roman"/>
          <w:sz w:val="24"/>
          <w:szCs w:val="24"/>
          <w:highlight w:val="yellow"/>
          <w:lang w:val="en-US" w:bidi="fa-IR"/>
        </w:rPr>
        <w:t xml:space="preserve">نام و نام‌خانوادگی نویسنده</w:t>
      </w:r>
      <w:r>
        <w:rPr>
          <w:rFonts w:ascii="Times New Roman" w:hAnsi="Times New Roman" w:cs="B Nazanin" w:eastAsia="Times New Roman"/>
          <w:sz w:val="24"/>
          <w:szCs w:val="24"/>
          <w:lang w:val="en-US" w:bidi="fa-IR"/>
        </w:rPr>
        <w:t xml:space="preserve">∗ — </w:t>
      </w:r>
      <w:r>
        <w:rPr>
          <w:rFonts w:ascii="Times New Roman" w:hAnsi="Times New Roman" w:cs="B Nazanin" w:eastAsia="Times New Roman"/>
          <w:sz w:val="24"/>
          <w:szCs w:val="24"/>
          <w:highlight w:val="yellow"/>
          <w:lang w:val="en-US" w:bidi="fa-IR"/>
        </w:rPr>
        <w:t xml:space="preserve">وابستگی سازمانی، شهر، ایران</w:t>
      </w:r>
      <w:r>
        <w:rPr>
          <w:rFonts w:ascii="Times New Roman" w:hAnsi="Times New Roman" w:cs="B Nazanin" w:eastAsia="Times New Roman"/>
          <w:sz w:val="24"/>
          <w:szCs w:val="24"/>
          <w:lang w:val="en-US" w:bidi="fa-IR"/>
        </w:rPr>
        <w:t xml:space="preserve"> — </w:t>
      </w:r>
      <w:r>
        <w:rPr>
          <w:rFonts w:ascii="Times New Roman" w:hAnsi="Times New Roman" w:cs="B Nazanin" w:eastAsia="Times New Roman"/>
          <w:sz w:val="24"/>
          <w:szCs w:val="24"/>
          <w:highlight w:val="yellow"/>
          <w:lang w:val="en-US" w:bidi="fa-IR"/>
        </w:rPr>
        <w:t xml:space="preserve">ایمیل</w:t>
      </w:r>
    </w:p>
    <w:p>
      <w:pPr>
        <w:bidi/>
        <w:spacing w:before="0" w:after="60" w:line="240" w:lineRule="auto"/>
        <w:jc w:val="center"/>
      </w:pPr>
      <w:r>
        <w:rPr>
          <w:rFonts w:ascii="Times New Roman" w:hAnsi="Times New Roman" w:cs="B Nazanin" w:eastAsia="Times New Roman"/>
          <w:b/>
          <w:bCs/>
          <w:sz w:val="24"/>
          <w:szCs w:val="24"/>
          <w:lang w:val="en-US" w:bidi="fa-IR"/>
        </w:rPr>
        <w:t xml:space="preserve">چکیده</w:t>
      </w:r>
    </w:p>
    <w:p>
      <w:pPr>
        <w:bidi/>
        <w:spacing w:before="0" w:after="60" w:line="240" w:lineRule="auto"/>
        <w:jc w:val="both"/>
      </w:pPr>
      <w:r>
        <w:rPr>
          <w:rFonts w:ascii="Times New Roman" w:hAnsi="Times New Roman" w:cs="B Nazanin" w:eastAsia="Times New Roman"/>
          <w:b/>
          <w:bCs/>
          <w:sz w:val="24"/>
          <w:szCs w:val="24"/>
          <w:lang w:val="en-US" w:bidi="fa-IR"/>
        </w:rPr>
        <w:t xml:space="preserve">هدف:</w:t>
      </w:r>
      <w:r>
        <w:rPr>
          <w:rFonts w:ascii="Times New Roman" w:hAnsi="Times New Roman" w:cs="B Nazanin" w:eastAsia="Times New Roman"/>
          <w:sz w:val="24"/>
          <w:szCs w:val="24"/>
          <w:lang w:val="en-US" w:bidi="fa-IR"/>
        </w:rPr>
        <w:t xml:space="preserve"> این مقاله پیش‌برنده‌ها و پیامدهای ترس از دست دادن فرصت (فومو) را در رقابت میان محتوای شبکه‌های اجتماعی و اطلاعات حسابداری بررسی می‌کند و می‌پرسد آیا ساختار اندازه‌گیری و مسیرهای مدل میان سرمایه‌گذارانی که در ریزش بورس زیان دیده‌اند و سایرین یکسان است.</w:t>
      </w:r>
    </w:p>
    <w:p>
      <w:pPr>
        <w:bidi/>
        <w:spacing w:before="0" w:after="60" w:line="240" w:lineRule="auto"/>
        <w:jc w:val="both"/>
      </w:pPr>
      <w:r>
        <w:rPr>
          <w:rFonts w:ascii="Times New Roman" w:hAnsi="Times New Roman" w:cs="B Nazanin" w:eastAsia="Times New Roman"/>
          <w:b/>
          <w:bCs/>
          <w:sz w:val="24"/>
          <w:szCs w:val="24"/>
          <w:lang w:val="en-US" w:bidi="fa-IR"/>
        </w:rPr>
        <w:t xml:space="preserve">روش:</w:t>
      </w:r>
      <w:r>
        <w:rPr>
          <w:rFonts w:ascii="Times New Roman" w:hAnsi="Times New Roman" w:cs="B Nazanin" w:eastAsia="Times New Roman"/>
          <w:sz w:val="24"/>
          <w:szCs w:val="24"/>
          <w:lang w:val="en-US" w:bidi="fa-IR"/>
        </w:rPr>
        <w:t xml:space="preserve"> با پرسشنامه‌ای ۳۳ گویه‌ای برای هفت سازه، داده‌های ۴۴۲ سرمایه‌گذار حقیقی به‌شیوهٔ شبیه‌سازی واقع‌نما تولید شد؛ از این‌رو نتایج نمایشی و روش‌شناختی‌اند. مدل معادلات ساختاری تمام‌پنهان (بدون تجمیع گویه‌ها)، ناوردایی اندازه‌گیری چندگروهی (پیکربندی، متریک، اسکالر)، مقایسهٔ مسیرها با خودگردان‌سازی و مدل‌های جنگل تصادفی و تقویت گرادیان با نمرات عاملی و تفسیر SHAP به‌کار رفت.</w:t>
      </w:r>
    </w:p>
    <w:p>
      <w:pPr>
        <w:bidi/>
        <w:spacing w:before="0" w:after="60" w:line="240" w:lineRule="auto"/>
        <w:jc w:val="both"/>
      </w:pPr>
      <w:r>
        <w:rPr>
          <w:rFonts w:ascii="Times New Roman" w:hAnsi="Times New Roman" w:cs="B Nazanin" w:eastAsia="Times New Roman"/>
          <w:b/>
          <w:bCs/>
          <w:sz w:val="24"/>
          <w:szCs w:val="24"/>
          <w:lang w:val="en-US" w:bidi="fa-IR"/>
        </w:rPr>
        <w:t xml:space="preserve">یافته‌ها:</w:t>
      </w:r>
      <w:r>
        <w:rPr>
          <w:rFonts w:ascii="Times New Roman" w:hAnsi="Times New Roman" w:cs="B Nazanin" w:eastAsia="Times New Roman"/>
          <w:sz w:val="24"/>
          <w:szCs w:val="24"/>
          <w:lang w:val="en-US" w:bidi="fa-IR"/>
        </w:rPr>
        <w:t xml:space="preserve"> مقایسهٔ اجتماعی (⁦β = ۰٫۲۷⁩) و پشیمانی پیش‌بینی‌شده (⁦β = ۰٫۲۳⁩) فومو را افزایش دادند و فومو کیفیت تصمیم را کاهش داد (⁦β = −۰٫۳۸⁩). سواد حسابداری از راه استفاده از اطلاعات حسابداری کیفیت تصمیم را بهبود داد و مواجهه با محتوای شبکه‌ها استفاده از اطلاعات حسابداری را کاهش داد. اندازه‌گیری میان دو گروه ناوردا بود و اثر پشیمانی بر فومو و اثر فومو بر کیفیت تصمیم در گروه دارای تجربهٔ زیان قوی‌تر بود. مدل‌های غیرخطی دقت پیش‌بینی بیرون‌نمونه‌ای را نسبت به رگرسیون خطی افزایش دادند و اهمیت SHAP با مدل ساختاری هم‌خوان بود.</w:t>
      </w:r>
    </w:p>
    <w:p>
      <w:pPr>
        <w:bidi/>
        <w:spacing w:before="0" w:after="60" w:line="240" w:lineRule="auto"/>
        <w:jc w:val="both"/>
      </w:pPr>
      <w:r>
        <w:rPr>
          <w:rFonts w:ascii="Times New Roman" w:hAnsi="Times New Roman" w:cs="B Nazanin" w:eastAsia="Times New Roman"/>
          <w:b/>
          <w:bCs/>
          <w:sz w:val="24"/>
          <w:szCs w:val="24"/>
          <w:lang w:val="en-US" w:bidi="fa-IR"/>
        </w:rPr>
        <w:t xml:space="preserve">نتیجه‌گیری:</w:t>
      </w:r>
      <w:r>
        <w:rPr>
          <w:rFonts w:ascii="Times New Roman" w:hAnsi="Times New Roman" w:cs="B Nazanin" w:eastAsia="Times New Roman"/>
          <w:sz w:val="24"/>
          <w:szCs w:val="24"/>
          <w:lang w:val="en-US" w:bidi="fa-IR"/>
        </w:rPr>
        <w:t xml:space="preserve"> اطلاعات حسابداری و فومو دو سوی رقابت توجه سرمایه‌گذارند و تجربهٔ زیان حساسیت به پشیمانی و پیامد فومو را تقویت می‌کند.</w:t>
      </w:r>
    </w:p>
    <w:p>
      <w:pPr>
        <w:bidi/>
        <w:spacing w:before="100" w:after="50" w:line="240" w:lineRule="auto"/>
        <w:jc w:val="both"/>
      </w:pPr>
      <w:r>
        <w:rPr>
          <w:rFonts w:ascii="Times New Roman" w:hAnsi="Times New Roman" w:cs="B Nazanin" w:eastAsia="Times New Roman"/>
          <w:b/>
          <w:bCs/>
          <w:sz w:val="24"/>
          <w:szCs w:val="24"/>
          <w:lang w:val="en-US" w:bidi="fa-IR"/>
        </w:rPr>
        <w:t xml:space="preserve">کلیدواژه‌ها:</w:t>
      </w:r>
      <w:r>
        <w:rPr>
          <w:rFonts w:ascii="Times New Roman" w:hAnsi="Times New Roman" w:cs="B Nazanin" w:eastAsia="Times New Roman"/>
          <w:sz w:val="24"/>
          <w:szCs w:val="24"/>
          <w:lang w:val="en-US" w:bidi="fa-IR"/>
        </w:rPr>
        <w:t xml:space="preserve"> فومو؛ مقایسهٔ اجتماعی؛ پشیمانی پیش‌بینی‌شده؛ اطلاعات حسابداری؛ ناوردایی اندازه‌گیری؛ یادگیری ماشین؛ SHAP</w:t>
      </w:r>
    </w:p>
    <w:p>
      <w:r>
        <w:br w:type="page"/>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۱. مقدمه</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سرمایه‌گذار حقیقی در هر لحظه با دو جریان اطلاعاتی رقیب روبه‌روست: جریان پرشتاب و هیجانی شبکه‌های اجتماعی، و جریان کندتر اما قابل‌راستی‌آزمایی گزارش‌های مالی. پژوهش‌های پیشین نشان داده‌اند توجه سرمایه‌گذاران خرد کمیاب است و خرید آن‌ها به سهامِ مورد توجه گرایش دارد (باربر و اودین</w:t>
      </w:r>
      <w:r>
        <w:rPr>
          <w:rStyle w:val="FootnoteReference"/>
          <w:rFonts w:ascii="Times New Roman" w:hAnsi="Times New Roman" w:cs="B Nazanin" w:eastAsia="Times New Roman"/>
          <w:sz w:val="26"/>
          <w:szCs w:val="26"/>
          <w:vertAlign w:val="superscript"/>
          <w:lang w:val="en-US" w:bidi="fa-IR"/>
        </w:rPr>
        <w:footnoteReference w:customMarkFollows="1" w:id="1"/>
      </w:r>
      <w:r>
        <w:rPr>
          <w:rFonts w:ascii="Times New Roman" w:hAnsi="Times New Roman" w:cs="B Nazanin" w:eastAsia="Times New Roman"/>
          <w:sz w:val="26"/>
          <w:szCs w:val="26"/>
          <w:vertAlign w:val="superscript"/>
          <w:lang w:val="en-US" w:bidi="fa-IR"/>
        </w:rPr>
        <w:t>۱</w:t>
      </w:r>
      <w:r>
        <w:rPr>
          <w:rFonts w:ascii="Times New Roman" w:hAnsi="Times New Roman" w:cs="B Nazanin" w:eastAsia="Times New Roman"/>
          <w:sz w:val="26"/>
          <w:szCs w:val="26"/>
          <w:lang w:val="en-US" w:bidi="fa-IR"/>
        </w:rPr>
        <w:t xml:space="preserve">، ۲۰۰۸؛ دا و همکاران</w:t>
      </w:r>
      <w:r>
        <w:rPr>
          <w:rStyle w:val="FootnoteReference"/>
          <w:rFonts w:ascii="Times New Roman" w:hAnsi="Times New Roman" w:cs="B Nazanin" w:eastAsia="Times New Roman"/>
          <w:sz w:val="26"/>
          <w:szCs w:val="26"/>
          <w:vertAlign w:val="superscript"/>
          <w:lang w:val="en-US" w:bidi="fa-IR"/>
        </w:rPr>
        <w:footnoteReference w:customMarkFollows="1" w:id="2"/>
      </w:r>
      <w:r>
        <w:rPr>
          <w:rFonts w:ascii="Times New Roman" w:hAnsi="Times New Roman" w:cs="B Nazanin" w:eastAsia="Times New Roman"/>
          <w:sz w:val="26"/>
          <w:szCs w:val="26"/>
          <w:vertAlign w:val="superscript"/>
          <w:lang w:val="en-US" w:bidi="fa-IR"/>
        </w:rPr>
        <w:t>۲</w:t>
      </w:r>
      <w:r>
        <w:rPr>
          <w:rFonts w:ascii="Times New Roman" w:hAnsi="Times New Roman" w:cs="B Nazanin" w:eastAsia="Times New Roman"/>
          <w:sz w:val="26"/>
          <w:szCs w:val="26"/>
          <w:lang w:val="en-US" w:bidi="fa-IR"/>
        </w:rPr>
        <w:t xml:space="preserve">، ۲۰۱۱). رسانه‌های اجتماعی هم سرعت انتشار افشا را افزایش می‌دهند (بلنکسپور و همکاران</w:t>
      </w:r>
      <w:r>
        <w:rPr>
          <w:rStyle w:val="FootnoteReference"/>
          <w:rFonts w:ascii="Times New Roman" w:hAnsi="Times New Roman" w:cs="B Nazanin" w:eastAsia="Times New Roman"/>
          <w:sz w:val="26"/>
          <w:szCs w:val="26"/>
          <w:vertAlign w:val="superscript"/>
          <w:lang w:val="en-US" w:bidi="fa-IR"/>
        </w:rPr>
        <w:footnoteReference w:customMarkFollows="1" w:id="3"/>
      </w:r>
      <w:r>
        <w:rPr>
          <w:rFonts w:ascii="Times New Roman" w:hAnsi="Times New Roman" w:cs="B Nazanin" w:eastAsia="Times New Roman"/>
          <w:sz w:val="26"/>
          <w:szCs w:val="26"/>
          <w:vertAlign w:val="superscript"/>
          <w:lang w:val="en-US" w:bidi="fa-IR"/>
        </w:rPr>
        <w:t>۳</w:t>
      </w:r>
      <w:r>
        <w:rPr>
          <w:rFonts w:ascii="Times New Roman" w:hAnsi="Times New Roman" w:cs="B Nazanin" w:eastAsia="Times New Roman"/>
          <w:sz w:val="26"/>
          <w:szCs w:val="26"/>
          <w:lang w:val="en-US" w:bidi="fa-IR"/>
        </w:rPr>
        <w:t xml:space="preserve">، ۲۰۱۴) و هم خطر هم‌جهتی و اتاق‌های پژواک را (کوکسون و همکاران</w:t>
      </w:r>
      <w:r>
        <w:rPr>
          <w:rStyle w:val="FootnoteReference"/>
          <w:rFonts w:ascii="Times New Roman" w:hAnsi="Times New Roman" w:cs="B Nazanin" w:eastAsia="Times New Roman"/>
          <w:sz w:val="26"/>
          <w:szCs w:val="26"/>
          <w:vertAlign w:val="superscript"/>
          <w:lang w:val="en-US" w:bidi="fa-IR"/>
        </w:rPr>
        <w:footnoteReference w:customMarkFollows="1" w:id="4"/>
      </w:r>
      <w:r>
        <w:rPr>
          <w:rFonts w:ascii="Times New Roman" w:hAnsi="Times New Roman" w:cs="B Nazanin" w:eastAsia="Times New Roman"/>
          <w:sz w:val="26"/>
          <w:szCs w:val="26"/>
          <w:vertAlign w:val="superscript"/>
          <w:lang w:val="en-US" w:bidi="fa-IR"/>
        </w:rPr>
        <w:t>۴</w:t>
      </w:r>
      <w:r>
        <w:rPr>
          <w:rFonts w:ascii="Times New Roman" w:hAnsi="Times New Roman" w:cs="B Nazanin" w:eastAsia="Times New Roman"/>
          <w:sz w:val="26"/>
          <w:szCs w:val="26"/>
          <w:lang w:val="en-US" w:bidi="fa-IR"/>
        </w:rPr>
        <w:t xml:space="preserve">، ۲۰۲۳). در بازار سرمایهٔ ایران، ریزش بورس پس از مرداد ۱۳۹۹ نیز تجربهٔ زیان را برای شمار زیادی از سرمایه‌گذاران به همراه داشت؛ تجربه‌ای که می‌تواند حساسیت هیجانی آنان را نسبت به فرصت‌های از دست‌رفته تغییر دهد.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این مقاله مقالهٔ همراه پژوهشی است که مسیر مواجهه ← فومو ← رفتار توده‌وار ← کیفیت تصمیم را با تعدیل‌گری اطلاعات حسابداری آزموده است. در اینجا پرسش دیگری مطرح است: چه چیزی فومو را می‌سازد، رقابت میان منابع اطلاعاتی چگونه است، آیا این روابط پس از تجربهٔ ریزش بازار تغییر می‌کند، و آیا مدل‌های غیرخطی چیزی افزون بر مدل ساختاری می‌گویند؟ در ادبیات داخلی، پژوهش‌هایی نقش سوگیری‌های رفتاری و سواد مالی در تصمیم سرمایه‌گذاران ((ترازودار و همکاران، ۱۴۰۲))، اثر احساسات سرمایه‌گذاران بر بازده ((ندیری و پناهیان، ۱۴۰۳)) و اثر رسانه‌ها و شبکه‌های اجتماعی بر تصمیمات سرمایه‌گذاران ((حیدری هراتمه و همکاران، ۱۴۰۲)) را بررسی کرده‌اند، اما پیش‌برنده‌های روان‌شناختی فومو و رقابت آن با اطلاعات حسابداری کمتر در یک مدل پنهان یکپارچه آزموده شده است.</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پرسش‌های پژوهش:</w:t>
      </w:r>
      <w:r>
        <w:rPr>
          <w:rFonts w:ascii="Times New Roman" w:hAnsi="Times New Roman" w:cs="B Nazanin" w:eastAsia="Times New Roman"/>
          <w:sz w:val="26"/>
          <w:szCs w:val="26"/>
          <w:lang w:val="en-US" w:bidi="fa-IR"/>
        </w:rPr>
        <w:t xml:space="preserve"> (۱) مقایسهٔ اجتماعی و پشیمانی پیش‌بینی‌شده چه سهمی در فومو دارند؟ (۲) آیا مواجهه با محتوای شبکه‌ها جایگزین استفاده از اطلاعات حسابداری می‌شود و سواد حسابداری چه نقشی دارد؟ (۳) آیا ساختار اندازه‌گیری و مسیرهای مدل میان سرمایه‌گذاران دارای و فاقد تجربهٔ زیان در ریزش بورس مشابه است؟ (۴) آیا مدل‌های غیرخطی یادگیری ماشین دقت پیش‌بینی کیفیت تصمیم را بهبود می‌دهند و یافته‌هایشان با مدل ساختاری سازگار است؟</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دو ویژگی مقاله را از مقالهٔ همراه متمایز می‌کند: نخست، تمرکز بر پیش‌برنده‌های فومو و رقابت اطلاعاتی، و دوم، ترکیب مدل‌سازی معادلات ساختاری تمام‌پنهان (هر گویه مستقیماً به سازهٔ خود متصل است و میانگین‌گیری از گویه‌ها در هیچ مرحله‌ای انجام نمی‌شود) با یادگیری ماشین تفسیرپذیر که با عنوان «علوم محاسباتی» همخوان است. داده‌ها شبیه‌سازی‌شده‌اند و اعداد بازتاب توان روش در بازیابی ساختار مفروض‌اند، نه شواهد تجربی دربارهٔ بازار واقعی؛ با این همه، چارچوب، پرسشنامه و کد برای اجرای دوباره با داده‌های واقعی آماده است. ساختار مقاله: مبانی نظری و فرضیه‌ها، روش‌شناسی، یافته‌ها، و بحث و نتیجه‌گیری.</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 مبانی نظری و فرضیه‌ها</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۲-۱. فومو و پیش‌برنده‌های آن</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فومو</w:t>
      </w:r>
      <w:r>
        <w:rPr>
          <w:rStyle w:val="FootnoteReference"/>
          <w:rFonts w:ascii="Times New Roman" w:hAnsi="Times New Roman" w:cs="B Nazanin" w:eastAsia="Times New Roman"/>
          <w:sz w:val="26"/>
          <w:szCs w:val="26"/>
          <w:vertAlign w:val="superscript"/>
          <w:lang w:val="en-US" w:bidi="fa-IR"/>
        </w:rPr>
        <w:footnoteReference w:customMarkFollows="1" w:id="5"/>
      </w:r>
      <w:r>
        <w:rPr>
          <w:rFonts w:ascii="Times New Roman" w:hAnsi="Times New Roman" w:cs="B Nazanin" w:eastAsia="Times New Roman"/>
          <w:sz w:val="26"/>
          <w:szCs w:val="26"/>
          <w:vertAlign w:val="superscript"/>
          <w:lang w:val="en-US" w:bidi="fa-IR"/>
        </w:rPr>
        <w:t>۵</w:t>
      </w:r>
      <w:r>
        <w:rPr>
          <w:rFonts w:ascii="Times New Roman" w:hAnsi="Times New Roman" w:cs="B Nazanin" w:eastAsia="Times New Roman"/>
          <w:sz w:val="26"/>
          <w:szCs w:val="26"/>
          <w:lang w:val="en-US" w:bidi="fa-IR"/>
        </w:rPr>
        <w:t xml:space="preserve"> را نگرانی از آن می‌توان دانست که دیگران تجربه‌های پاداش‌آوری دارند که فرد از آن‌ها بازمانده است (پرزیبیلسکی و همکاران</w:t>
      </w:r>
      <w:r>
        <w:rPr>
          <w:rStyle w:val="FootnoteReference"/>
          <w:rFonts w:ascii="Times New Roman" w:hAnsi="Times New Roman" w:cs="B Nazanin" w:eastAsia="Times New Roman"/>
          <w:sz w:val="26"/>
          <w:szCs w:val="26"/>
          <w:vertAlign w:val="superscript"/>
          <w:lang w:val="en-US" w:bidi="fa-IR"/>
        </w:rPr>
        <w:footnoteReference w:customMarkFollows="1" w:id="6"/>
      </w:r>
      <w:r>
        <w:rPr>
          <w:rFonts w:ascii="Times New Roman" w:hAnsi="Times New Roman" w:cs="B Nazanin" w:eastAsia="Times New Roman"/>
          <w:sz w:val="26"/>
          <w:szCs w:val="26"/>
          <w:vertAlign w:val="superscript"/>
          <w:lang w:val="en-US" w:bidi="fa-IR"/>
        </w:rPr>
        <w:t>۶</w:t>
      </w:r>
      <w:r>
        <w:rPr>
          <w:rFonts w:ascii="Times New Roman" w:hAnsi="Times New Roman" w:cs="B Nazanin" w:eastAsia="Times New Roman"/>
          <w:sz w:val="26"/>
          <w:szCs w:val="26"/>
          <w:lang w:val="en-US" w:bidi="fa-IR"/>
        </w:rPr>
        <w:t xml:space="preserve">، ۲۰۱۳). این سازه با استفادهٔ بیشتر از شبکه‌های اجتماعی همبسته است (آبل و همکاران</w:t>
      </w:r>
      <w:r>
        <w:rPr>
          <w:rStyle w:val="FootnoteReference"/>
          <w:rFonts w:ascii="Times New Roman" w:hAnsi="Times New Roman" w:cs="B Nazanin" w:eastAsia="Times New Roman"/>
          <w:sz w:val="26"/>
          <w:szCs w:val="26"/>
          <w:vertAlign w:val="superscript"/>
          <w:lang w:val="en-US" w:bidi="fa-IR"/>
        </w:rPr>
        <w:footnoteReference w:customMarkFollows="1" w:id="7"/>
      </w:r>
      <w:r>
        <w:rPr>
          <w:rFonts w:ascii="Times New Roman" w:hAnsi="Times New Roman" w:cs="B Nazanin" w:eastAsia="Times New Roman"/>
          <w:sz w:val="26"/>
          <w:szCs w:val="26"/>
          <w:vertAlign w:val="superscript"/>
          <w:lang w:val="en-US" w:bidi="fa-IR"/>
        </w:rPr>
        <w:t>۷</w:t>
      </w:r>
      <w:r>
        <w:rPr>
          <w:rFonts w:ascii="Times New Roman" w:hAnsi="Times New Roman" w:cs="B Nazanin" w:eastAsia="Times New Roman"/>
          <w:sz w:val="26"/>
          <w:szCs w:val="26"/>
          <w:lang w:val="en-US" w:bidi="fa-IR"/>
        </w:rPr>
        <w:t xml:space="preserve">، ۲۰۱۶) و میلیاوسکایا و همکاران</w:t>
      </w:r>
      <w:r>
        <w:rPr>
          <w:rStyle w:val="FootnoteReference"/>
          <w:rFonts w:ascii="Times New Roman" w:hAnsi="Times New Roman" w:cs="B Nazanin" w:eastAsia="Times New Roman"/>
          <w:sz w:val="26"/>
          <w:szCs w:val="26"/>
          <w:vertAlign w:val="superscript"/>
          <w:lang w:val="en-US" w:bidi="fa-IR"/>
        </w:rPr>
        <w:footnoteReference w:customMarkFollows="1" w:id="8"/>
      </w:r>
      <w:r>
        <w:rPr>
          <w:rFonts w:ascii="Times New Roman" w:hAnsi="Times New Roman" w:cs="B Nazanin" w:eastAsia="Times New Roman"/>
          <w:sz w:val="26"/>
          <w:szCs w:val="26"/>
          <w:vertAlign w:val="superscript"/>
          <w:lang w:val="en-US" w:bidi="fa-IR"/>
        </w:rPr>
        <w:t>۸</w:t>
      </w:r>
      <w:r>
        <w:rPr>
          <w:rFonts w:ascii="Times New Roman" w:hAnsi="Times New Roman" w:cs="B Nazanin" w:eastAsia="Times New Roman"/>
          <w:sz w:val="26"/>
          <w:szCs w:val="26"/>
          <w:lang w:val="en-US" w:bidi="fa-IR"/>
        </w:rPr>
        <w:t xml:space="preserve"> (۲۰۱۸) پویایی و پیامدهای تجربهٔ آن را بررسی کرده‌اند. دو سازوکار روان‌شناختی از مهم‌ترین پیش‌برنده‌های آن در بازار سرمایه‌اند.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نخست، مقایسهٔ اجتماعی</w:t>
      </w:r>
      <w:r>
        <w:rPr>
          <w:rStyle w:val="FootnoteReference"/>
          <w:rFonts w:ascii="Times New Roman" w:hAnsi="Times New Roman" w:cs="B Nazanin" w:eastAsia="Times New Roman"/>
          <w:sz w:val="26"/>
          <w:szCs w:val="26"/>
          <w:vertAlign w:val="superscript"/>
          <w:lang w:val="en-US" w:bidi="fa-IR"/>
        </w:rPr>
        <w:footnoteReference w:customMarkFollows="1" w:id="9"/>
      </w:r>
      <w:r>
        <w:rPr>
          <w:rFonts w:ascii="Times New Roman" w:hAnsi="Times New Roman" w:cs="B Nazanin" w:eastAsia="Times New Roman"/>
          <w:sz w:val="26"/>
          <w:szCs w:val="26"/>
          <w:vertAlign w:val="superscript"/>
          <w:lang w:val="en-US" w:bidi="fa-IR"/>
        </w:rPr>
        <w:t>۹</w:t>
      </w:r>
      <w:r>
        <w:rPr>
          <w:rFonts w:ascii="Times New Roman" w:hAnsi="Times New Roman" w:cs="B Nazanin" w:eastAsia="Times New Roman"/>
          <w:sz w:val="26"/>
          <w:szCs w:val="26"/>
          <w:lang w:val="en-US" w:bidi="fa-IR"/>
        </w:rPr>
        <w:t xml:space="preserve">: افراد ارزیابی خود را از مقایسه با دیگران می‌سازند (فستینگر</w:t>
      </w:r>
      <w:r>
        <w:rPr>
          <w:rStyle w:val="FootnoteReference"/>
          <w:rFonts w:ascii="Times New Roman" w:hAnsi="Times New Roman" w:cs="B Nazanin" w:eastAsia="Times New Roman"/>
          <w:sz w:val="26"/>
          <w:szCs w:val="26"/>
          <w:vertAlign w:val="superscript"/>
          <w:lang w:val="en-US" w:bidi="fa-IR"/>
        </w:rPr>
        <w:footnoteReference w:customMarkFollows="1" w:id="10"/>
      </w:r>
      <w:r>
        <w:rPr>
          <w:rFonts w:ascii="Times New Roman" w:hAnsi="Times New Roman" w:cs="B Nazanin" w:eastAsia="Times New Roman"/>
          <w:sz w:val="26"/>
          <w:szCs w:val="26"/>
          <w:vertAlign w:val="superscript"/>
          <w:lang w:val="en-US" w:bidi="fa-IR"/>
        </w:rPr>
        <w:t>۱۰</w:t>
      </w:r>
      <w:r>
        <w:rPr>
          <w:rFonts w:ascii="Times New Roman" w:hAnsi="Times New Roman" w:cs="B Nazanin" w:eastAsia="Times New Roman"/>
          <w:sz w:val="26"/>
          <w:szCs w:val="26"/>
          <w:lang w:val="en-US" w:bidi="fa-IR"/>
        </w:rPr>
        <w:t xml:space="preserve">، ۱۹۵۴) و گرایش فردی به مقایسه با دیگران قابل‌سنجش است (گیبونز و بونک</w:t>
      </w:r>
      <w:r>
        <w:rPr>
          <w:rStyle w:val="FootnoteReference"/>
          <w:rFonts w:ascii="Times New Roman" w:hAnsi="Times New Roman" w:cs="B Nazanin" w:eastAsia="Times New Roman"/>
          <w:sz w:val="26"/>
          <w:szCs w:val="26"/>
          <w:vertAlign w:val="superscript"/>
          <w:lang w:val="en-US" w:bidi="fa-IR"/>
        </w:rPr>
        <w:footnoteReference w:customMarkFollows="1" w:id="11"/>
      </w:r>
      <w:r>
        <w:rPr>
          <w:rFonts w:ascii="Times New Roman" w:hAnsi="Times New Roman" w:cs="B Nazanin" w:eastAsia="Times New Roman"/>
          <w:sz w:val="26"/>
          <w:szCs w:val="26"/>
          <w:vertAlign w:val="superscript"/>
          <w:lang w:val="en-US" w:bidi="fa-IR"/>
        </w:rPr>
        <w:t>۱۱</w:t>
      </w:r>
      <w:r>
        <w:rPr>
          <w:rFonts w:ascii="Times New Roman" w:hAnsi="Times New Roman" w:cs="B Nazanin" w:eastAsia="Times New Roman"/>
          <w:sz w:val="26"/>
          <w:szCs w:val="26"/>
          <w:lang w:val="en-US" w:bidi="fa-IR"/>
        </w:rPr>
        <w:t xml:space="preserve">، ۱۹۹۹). شبکه‌های اجتماعی با نمایش گزینشی سودها، این مقایسه را تشدید می‌کنند و سرمایه‌گذار را در برابر «معیاری» قرار می‌دهند که از او بهتر عمل کرده است. دوم، پشیمانی پیش‌بینی‌شده</w:t>
      </w:r>
      <w:r>
        <w:rPr>
          <w:rStyle w:val="FootnoteReference"/>
          <w:rFonts w:ascii="Times New Roman" w:hAnsi="Times New Roman" w:cs="B Nazanin" w:eastAsia="Times New Roman"/>
          <w:sz w:val="26"/>
          <w:szCs w:val="26"/>
          <w:vertAlign w:val="superscript"/>
          <w:lang w:val="en-US" w:bidi="fa-IR"/>
        </w:rPr>
        <w:footnoteReference w:customMarkFollows="1" w:id="12"/>
      </w:r>
      <w:r>
        <w:rPr>
          <w:rFonts w:ascii="Times New Roman" w:hAnsi="Times New Roman" w:cs="B Nazanin" w:eastAsia="Times New Roman"/>
          <w:sz w:val="26"/>
          <w:szCs w:val="26"/>
          <w:vertAlign w:val="superscript"/>
          <w:lang w:val="en-US" w:bidi="fa-IR"/>
        </w:rPr>
        <w:t>۱۲</w:t>
      </w:r>
      <w:r>
        <w:rPr>
          <w:rFonts w:ascii="Times New Roman" w:hAnsi="Times New Roman" w:cs="B Nazanin" w:eastAsia="Times New Roman"/>
          <w:sz w:val="26"/>
          <w:szCs w:val="26"/>
          <w:lang w:val="en-US" w:bidi="fa-IR"/>
        </w:rPr>
        <w:t xml:space="preserve">: نظریهٔ پشیمانی نشان می‌دهد افراد پیامد عاطفی نزدیک‌بودن به فرصت از دست‌رفته را پیش‌بینی می‌کنند و انتخاب‌هایشان را برای پرهیز از آن تغییر می‌دهند (لومز و ساگدن</w:t>
      </w:r>
      <w:r>
        <w:rPr>
          <w:rStyle w:val="FootnoteReference"/>
          <w:rFonts w:ascii="Times New Roman" w:hAnsi="Times New Roman" w:cs="B Nazanin" w:eastAsia="Times New Roman"/>
          <w:sz w:val="26"/>
          <w:szCs w:val="26"/>
          <w:vertAlign w:val="superscript"/>
          <w:lang w:val="en-US" w:bidi="fa-IR"/>
        </w:rPr>
        <w:footnoteReference w:customMarkFollows="1" w:id="13"/>
      </w:r>
      <w:r>
        <w:rPr>
          <w:rFonts w:ascii="Times New Roman" w:hAnsi="Times New Roman" w:cs="B Nazanin" w:eastAsia="Times New Roman"/>
          <w:sz w:val="26"/>
          <w:szCs w:val="26"/>
          <w:vertAlign w:val="superscript"/>
          <w:lang w:val="en-US" w:bidi="fa-IR"/>
        </w:rPr>
        <w:t>۱۳</w:t>
      </w:r>
      <w:r>
        <w:rPr>
          <w:rFonts w:ascii="Times New Roman" w:hAnsi="Times New Roman" w:cs="B Nazanin" w:eastAsia="Times New Roman"/>
          <w:sz w:val="26"/>
          <w:szCs w:val="26"/>
          <w:lang w:val="en-US" w:bidi="fa-IR"/>
        </w:rPr>
        <w:t xml:space="preserve">، ۱۹۸۲؛ سندبرگ و کانر</w:t>
      </w:r>
      <w:r>
        <w:rPr>
          <w:rStyle w:val="FootnoteReference"/>
          <w:rFonts w:ascii="Times New Roman" w:hAnsi="Times New Roman" w:cs="B Nazanin" w:eastAsia="Times New Roman"/>
          <w:sz w:val="26"/>
          <w:szCs w:val="26"/>
          <w:vertAlign w:val="superscript"/>
          <w:lang w:val="en-US" w:bidi="fa-IR"/>
        </w:rPr>
        <w:footnoteReference w:customMarkFollows="1" w:id="14"/>
      </w:r>
      <w:r>
        <w:rPr>
          <w:rFonts w:ascii="Times New Roman" w:hAnsi="Times New Roman" w:cs="B Nazanin" w:eastAsia="Times New Roman"/>
          <w:sz w:val="26"/>
          <w:szCs w:val="26"/>
          <w:vertAlign w:val="superscript"/>
          <w:lang w:val="en-US" w:bidi="fa-IR"/>
        </w:rPr>
        <w:t>۱۴</w:t>
      </w:r>
      <w:r>
        <w:rPr>
          <w:rFonts w:ascii="Times New Roman" w:hAnsi="Times New Roman" w:cs="B Nazanin" w:eastAsia="Times New Roman"/>
          <w:sz w:val="26"/>
          <w:szCs w:val="26"/>
          <w:lang w:val="en-US" w:bidi="fa-IR"/>
        </w:rPr>
        <w:t xml:space="preserve">، ۲۰۰۸). مقیاس پشیمانی شوارتز و همکاران</w:t>
      </w:r>
      <w:r>
        <w:rPr>
          <w:rStyle w:val="FootnoteReference"/>
          <w:rFonts w:ascii="Times New Roman" w:hAnsi="Times New Roman" w:cs="B Nazanin" w:eastAsia="Times New Roman"/>
          <w:sz w:val="26"/>
          <w:szCs w:val="26"/>
          <w:vertAlign w:val="superscript"/>
          <w:lang w:val="en-US" w:bidi="fa-IR"/>
        </w:rPr>
        <w:footnoteReference w:customMarkFollows="1" w:id="15"/>
      </w:r>
      <w:r>
        <w:rPr>
          <w:rFonts w:ascii="Times New Roman" w:hAnsi="Times New Roman" w:cs="B Nazanin" w:eastAsia="Times New Roman"/>
          <w:sz w:val="26"/>
          <w:szCs w:val="26"/>
          <w:vertAlign w:val="superscript"/>
          <w:lang w:val="en-US" w:bidi="fa-IR"/>
        </w:rPr>
        <w:t>۱۵</w:t>
      </w:r>
      <w:r>
        <w:rPr>
          <w:rFonts w:ascii="Times New Roman" w:hAnsi="Times New Roman" w:cs="B Nazanin" w:eastAsia="Times New Roman"/>
          <w:sz w:val="26"/>
          <w:szCs w:val="26"/>
          <w:lang w:val="en-US" w:bidi="fa-IR"/>
        </w:rPr>
        <w:t xml:space="preserve"> (۲۰۰۲) نیز نشان داد تمایل به پشیمانی ویژگی قابل‌سنجش و متفاوت میان افراد است. در تصمیم‌های سرمایه‌گذاری، دو شکل پشیمانی (خریدنِ سهمی که زیان داد و نخریدنِ سهمی که رشد کرد) هر دو ممکن‌اند، اما فومو بیشتر با شکل دوم، یعنی ترس از فرصت از دست‌رفته، پیوند دارد.</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۱:</w:t>
      </w:r>
      <w:r>
        <w:rPr>
          <w:rFonts w:ascii="Times New Roman" w:hAnsi="Times New Roman" w:cs="B Nazanin" w:eastAsia="Times New Roman"/>
          <w:sz w:val="26"/>
          <w:szCs w:val="26"/>
          <w:lang w:val="en-US" w:bidi="fa-IR"/>
        </w:rPr>
        <w:t xml:space="preserve"> مقایسهٔ اجتماعی بر فومو اثر مثبت دارد.  </w:t>
      </w:r>
      <w:r>
        <w:rPr>
          <w:rFonts w:ascii="Times New Roman" w:hAnsi="Times New Roman" w:cs="B Nazanin" w:eastAsia="Times New Roman"/>
          <w:b/>
          <w:bCs/>
          <w:sz w:val="26"/>
          <w:szCs w:val="26"/>
          <w:lang w:val="en-US" w:bidi="fa-IR"/>
        </w:rPr>
        <w:t xml:space="preserve">فرضیهٔ ۲:</w:t>
      </w:r>
      <w:r>
        <w:rPr>
          <w:rFonts w:ascii="Times New Roman" w:hAnsi="Times New Roman" w:cs="B Nazanin" w:eastAsia="Times New Roman"/>
          <w:sz w:val="26"/>
          <w:szCs w:val="26"/>
          <w:lang w:val="en-US" w:bidi="fa-IR"/>
        </w:rPr>
        <w:t xml:space="preserve"> پشیمانی پیش‌بینی‌شده بر فومو اثر مثبت دارد.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۲-۲. رقابت منابع اطلاعاتی و سواد حسابداری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رقابت میان منابع اطلاعاتی بر پایهٔ محدودیت توجه است: وقت و توجه سرمایه‌گذار محدود است و اختصاص آن به یک منبع، از دیگری می‌کاهد (باربر و اودین، ۲۰۰۸؛ هیرشلایفر و تئو</w:t>
      </w:r>
      <w:r>
        <w:rPr>
          <w:rStyle w:val="FootnoteReference"/>
          <w:rFonts w:ascii="Times New Roman" w:hAnsi="Times New Roman" w:cs="B Nazanin" w:eastAsia="Times New Roman"/>
          <w:sz w:val="26"/>
          <w:szCs w:val="26"/>
          <w:vertAlign w:val="superscript"/>
          <w:lang w:val="en-US" w:bidi="fa-IR"/>
        </w:rPr>
        <w:footnoteReference w:customMarkFollows="1" w:id="16"/>
      </w:r>
      <w:r>
        <w:rPr>
          <w:rFonts w:ascii="Times New Roman" w:hAnsi="Times New Roman" w:cs="B Nazanin" w:eastAsia="Times New Roman"/>
          <w:sz w:val="26"/>
          <w:szCs w:val="26"/>
          <w:vertAlign w:val="superscript"/>
          <w:lang w:val="en-US" w:bidi="fa-IR"/>
        </w:rPr>
        <w:t>۱۶</w:t>
      </w:r>
      <w:r>
        <w:rPr>
          <w:rFonts w:ascii="Times New Roman" w:hAnsi="Times New Roman" w:cs="B Nazanin" w:eastAsia="Times New Roman"/>
          <w:sz w:val="26"/>
          <w:szCs w:val="26"/>
          <w:lang w:val="en-US" w:bidi="fa-IR"/>
        </w:rPr>
        <w:t xml:space="preserve">، ۲۰۰۳ب). اطلاعات حسابداری از پایه‌های ارزش‌گذاری است (بال و براون</w:t>
      </w:r>
      <w:r>
        <w:rPr>
          <w:rStyle w:val="FootnoteReference"/>
          <w:rFonts w:ascii="Times New Roman" w:hAnsi="Times New Roman" w:cs="B Nazanin" w:eastAsia="Times New Roman"/>
          <w:sz w:val="26"/>
          <w:szCs w:val="26"/>
          <w:vertAlign w:val="superscript"/>
          <w:lang w:val="en-US" w:bidi="fa-IR"/>
        </w:rPr>
        <w:footnoteReference w:customMarkFollows="1" w:id="17"/>
      </w:r>
      <w:r>
        <w:rPr>
          <w:rFonts w:ascii="Times New Roman" w:hAnsi="Times New Roman" w:cs="B Nazanin" w:eastAsia="Times New Roman"/>
          <w:sz w:val="26"/>
          <w:szCs w:val="26"/>
          <w:vertAlign w:val="superscript"/>
          <w:lang w:val="en-US" w:bidi="fa-IR"/>
        </w:rPr>
        <w:t>۱۷</w:t>
      </w:r>
      <w:r>
        <w:rPr>
          <w:rFonts w:ascii="Times New Roman" w:hAnsi="Times New Roman" w:cs="B Nazanin" w:eastAsia="Times New Roman"/>
          <w:sz w:val="26"/>
          <w:szCs w:val="26"/>
          <w:lang w:val="en-US" w:bidi="fa-IR"/>
        </w:rPr>
        <w:t xml:space="preserve">، ۱۹۶۸؛ بیور</w:t>
      </w:r>
      <w:r>
        <w:rPr>
          <w:rStyle w:val="FootnoteReference"/>
          <w:rFonts w:ascii="Times New Roman" w:hAnsi="Times New Roman" w:cs="B Nazanin" w:eastAsia="Times New Roman"/>
          <w:sz w:val="26"/>
          <w:szCs w:val="26"/>
          <w:vertAlign w:val="superscript"/>
          <w:lang w:val="en-US" w:bidi="fa-IR"/>
        </w:rPr>
        <w:footnoteReference w:customMarkFollows="1" w:id="18"/>
      </w:r>
      <w:r>
        <w:rPr>
          <w:rFonts w:ascii="Times New Roman" w:hAnsi="Times New Roman" w:cs="B Nazanin" w:eastAsia="Times New Roman"/>
          <w:sz w:val="26"/>
          <w:szCs w:val="26"/>
          <w:vertAlign w:val="superscript"/>
          <w:lang w:val="en-US" w:bidi="fa-IR"/>
        </w:rPr>
        <w:t>۱۸</w:t>
      </w:r>
      <w:r>
        <w:rPr>
          <w:rFonts w:ascii="Times New Roman" w:hAnsi="Times New Roman" w:cs="B Nazanin" w:eastAsia="Times New Roman"/>
          <w:sz w:val="26"/>
          <w:szCs w:val="26"/>
          <w:lang w:val="en-US" w:bidi="fa-IR"/>
        </w:rPr>
        <w:t xml:space="preserve">، ۱۹۶۸)، اما بهره‌گیری از آن نیازمند مهارت است؛ لارنس</w:t>
      </w:r>
      <w:r>
        <w:rPr>
          <w:rStyle w:val="FootnoteReference"/>
          <w:rFonts w:ascii="Times New Roman" w:hAnsi="Times New Roman" w:cs="B Nazanin" w:eastAsia="Times New Roman"/>
          <w:sz w:val="26"/>
          <w:szCs w:val="26"/>
          <w:vertAlign w:val="superscript"/>
          <w:lang w:val="en-US" w:bidi="fa-IR"/>
        </w:rPr>
        <w:footnoteReference w:customMarkFollows="1" w:id="19"/>
      </w:r>
      <w:r>
        <w:rPr>
          <w:rFonts w:ascii="Times New Roman" w:hAnsi="Times New Roman" w:cs="B Nazanin" w:eastAsia="Times New Roman"/>
          <w:sz w:val="26"/>
          <w:szCs w:val="26"/>
          <w:vertAlign w:val="superscript"/>
          <w:lang w:val="en-US" w:bidi="fa-IR"/>
        </w:rPr>
        <w:t>۱۹</w:t>
      </w:r>
      <w:r>
        <w:rPr>
          <w:rFonts w:ascii="Times New Roman" w:hAnsi="Times New Roman" w:cs="B Nazanin" w:eastAsia="Times New Roman"/>
          <w:sz w:val="26"/>
          <w:szCs w:val="26"/>
          <w:lang w:val="en-US" w:bidi="fa-IR"/>
        </w:rPr>
        <w:t xml:space="preserve"> (۲۰۱۳) نشان داد سرمایه‌گذاران حقیقی با افشای ساده‌تر عملکرد بهتری دارند. از سوی دیگر، شبکه‌های اجتماعی ممکن است جایگزین بررسی صورت‌های مالی شوند، زیرا هزینهٔ پردازش آن‌ها بسیار کمتر است (میلر و اسکینر</w:t>
      </w:r>
      <w:r>
        <w:rPr>
          <w:rStyle w:val="FootnoteReference"/>
          <w:rFonts w:ascii="Times New Roman" w:hAnsi="Times New Roman" w:cs="B Nazanin" w:eastAsia="Times New Roman"/>
          <w:sz w:val="26"/>
          <w:szCs w:val="26"/>
          <w:vertAlign w:val="superscript"/>
          <w:lang w:val="en-US" w:bidi="fa-IR"/>
        </w:rPr>
        <w:footnoteReference w:customMarkFollows="1" w:id="20"/>
      </w:r>
      <w:r>
        <w:rPr>
          <w:rFonts w:ascii="Times New Roman" w:hAnsi="Times New Roman" w:cs="B Nazanin" w:eastAsia="Times New Roman"/>
          <w:sz w:val="26"/>
          <w:szCs w:val="26"/>
          <w:vertAlign w:val="superscript"/>
          <w:lang w:val="en-US" w:bidi="fa-IR"/>
        </w:rPr>
        <w:t>۲۰</w:t>
      </w:r>
      <w:r>
        <w:rPr>
          <w:rFonts w:ascii="Times New Roman" w:hAnsi="Times New Roman" w:cs="B Nazanin" w:eastAsia="Times New Roman"/>
          <w:sz w:val="26"/>
          <w:szCs w:val="26"/>
          <w:lang w:val="en-US" w:bidi="fa-IR"/>
        </w:rPr>
        <w:t xml:space="preserve">، ۲۰۱۵؛ بارتوف و همکاران</w:t>
      </w:r>
      <w:r>
        <w:rPr>
          <w:rStyle w:val="FootnoteReference"/>
          <w:rFonts w:ascii="Times New Roman" w:hAnsi="Times New Roman" w:cs="B Nazanin" w:eastAsia="Times New Roman"/>
          <w:sz w:val="26"/>
          <w:szCs w:val="26"/>
          <w:vertAlign w:val="superscript"/>
          <w:lang w:val="en-US" w:bidi="fa-IR"/>
        </w:rPr>
        <w:footnoteReference w:customMarkFollows="1" w:id="21"/>
      </w:r>
      <w:r>
        <w:rPr>
          <w:rFonts w:ascii="Times New Roman" w:hAnsi="Times New Roman" w:cs="B Nazanin" w:eastAsia="Times New Roman"/>
          <w:sz w:val="26"/>
          <w:szCs w:val="26"/>
          <w:vertAlign w:val="superscript"/>
          <w:lang w:val="en-US" w:bidi="fa-IR"/>
        </w:rPr>
        <w:t>۲۱</w:t>
      </w:r>
      <w:r>
        <w:rPr>
          <w:rFonts w:ascii="Times New Roman" w:hAnsi="Times New Roman" w:cs="B Nazanin" w:eastAsia="Times New Roman"/>
          <w:sz w:val="26"/>
          <w:szCs w:val="26"/>
          <w:lang w:val="en-US" w:bidi="fa-IR"/>
        </w:rPr>
        <w:t xml:space="preserve">، ۲۰۱۸)، هرچند می‌توانند مکمل نیز باشند (بلنکسپور و همکاران، ۲۰۱۴). در ایران، نمازی و زراعتگری (۱۳۹۹) نشان داده‌اند علایق اطلاعاتی حسابداری سرمایه‌گذاران با تیپ شخصیتی آنان تغییر می‌کند و بهارمقدم و جوکار (۱۳۹۷) نشان داده‌اند کیفیت اطلاعات حسابداری شدت رفتارهای احساسی سرمایه‌گذاران را در قیمت‌گذاری کاهش می‌دهد.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سواد حسابداری ادراک‌شده، که در امتداد مفهوم سواد مالی (لوساردی و میچل</w:t>
      </w:r>
      <w:r>
        <w:rPr>
          <w:rStyle w:val="FootnoteReference"/>
          <w:rFonts w:ascii="Times New Roman" w:hAnsi="Times New Roman" w:cs="B Nazanin" w:eastAsia="Times New Roman"/>
          <w:sz w:val="26"/>
          <w:szCs w:val="26"/>
          <w:vertAlign w:val="superscript"/>
          <w:lang w:val="en-US" w:bidi="fa-IR"/>
        </w:rPr>
        <w:footnoteReference w:customMarkFollows="1" w:id="22"/>
      </w:r>
      <w:r>
        <w:rPr>
          <w:rFonts w:ascii="Times New Roman" w:hAnsi="Times New Roman" w:cs="B Nazanin" w:eastAsia="Times New Roman"/>
          <w:sz w:val="26"/>
          <w:szCs w:val="26"/>
          <w:vertAlign w:val="superscript"/>
          <w:lang w:val="en-US" w:bidi="fa-IR"/>
        </w:rPr>
        <w:t>۲۲</w:t>
      </w:r>
      <w:r>
        <w:rPr>
          <w:rFonts w:ascii="Times New Roman" w:hAnsi="Times New Roman" w:cs="B Nazanin" w:eastAsia="Times New Roman"/>
          <w:sz w:val="26"/>
          <w:szCs w:val="26"/>
          <w:lang w:val="en-US" w:bidi="fa-IR"/>
        </w:rPr>
        <w:t xml:space="preserve">، ۲۰۱۴) قرار می‌گیرد، توان استفاده از افشا را تعیین می‌کند. ترازودار و همکاران (۱۴۰۲) نیز نقش سواد مالی را در کنار تورش‌های رفتاری در تصمیم‌گیری سرمایه‌گذاران برجسته کرده‌اند. بنابراین انتظار می‌رود سرمایه‌گذارِ دارای سواد حسابداری بالاتر، بیشتر از اطلاعات حسابداری استفاده کند، و هرچه مواجهه با محتوای شبکه‌ها بیشتر باشد، سهم توجه به اطلاعات حسابداری کمتر شود (اثر جایگزینی).</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۳:</w:t>
      </w:r>
      <w:r>
        <w:rPr>
          <w:rFonts w:ascii="Times New Roman" w:hAnsi="Times New Roman" w:cs="B Nazanin" w:eastAsia="Times New Roman"/>
          <w:sz w:val="26"/>
          <w:szCs w:val="26"/>
          <w:lang w:val="en-US" w:bidi="fa-IR"/>
        </w:rPr>
        <w:t xml:space="preserve"> مواجهه با محتوای سرمایه‌گذاری شبکه‌های اجتماعی بر استفاده از اطلاعات حسابداری اثر منفی دارد.  </w:t>
      </w:r>
      <w:r>
        <w:rPr>
          <w:rFonts w:ascii="Times New Roman" w:hAnsi="Times New Roman" w:cs="B Nazanin" w:eastAsia="Times New Roman"/>
          <w:b/>
          <w:bCs/>
          <w:sz w:val="26"/>
          <w:szCs w:val="26"/>
          <w:lang w:val="en-US" w:bidi="fa-IR"/>
        </w:rPr>
        <w:t xml:space="preserve">فرضیهٔ ۴:</w:t>
      </w:r>
      <w:r>
        <w:rPr>
          <w:rFonts w:ascii="Times New Roman" w:hAnsi="Times New Roman" w:cs="B Nazanin" w:eastAsia="Times New Roman"/>
          <w:sz w:val="26"/>
          <w:szCs w:val="26"/>
          <w:lang w:val="en-US" w:bidi="fa-IR"/>
        </w:rPr>
        <w:t xml:space="preserve"> سواد حسابداری بر استفاده از اطلاعات حسابداری اثر مثبت دارد.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۲-۳. پیامدهای فومو و اطلاعات حسابداری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هیجان‌ها تصمیم را به شیوه‌ای نظام‌مند شکل می‌دهند (لرنر و همکاران</w:t>
      </w:r>
      <w:r>
        <w:rPr>
          <w:rStyle w:val="FootnoteReference"/>
          <w:rFonts w:ascii="Times New Roman" w:hAnsi="Times New Roman" w:cs="B Nazanin" w:eastAsia="Times New Roman"/>
          <w:sz w:val="26"/>
          <w:szCs w:val="26"/>
          <w:vertAlign w:val="superscript"/>
          <w:lang w:val="en-US" w:bidi="fa-IR"/>
        </w:rPr>
        <w:footnoteReference w:customMarkFollows="1" w:id="23"/>
      </w:r>
      <w:r>
        <w:rPr>
          <w:rFonts w:ascii="Times New Roman" w:hAnsi="Times New Roman" w:cs="B Nazanin" w:eastAsia="Times New Roman"/>
          <w:sz w:val="26"/>
          <w:szCs w:val="26"/>
          <w:vertAlign w:val="superscript"/>
          <w:lang w:val="en-US" w:bidi="fa-IR"/>
        </w:rPr>
        <w:t>۲۳</w:t>
      </w:r>
      <w:r>
        <w:rPr>
          <w:rFonts w:ascii="Times New Roman" w:hAnsi="Times New Roman" w:cs="B Nazanin" w:eastAsia="Times New Roman"/>
          <w:sz w:val="26"/>
          <w:szCs w:val="26"/>
          <w:lang w:val="en-US" w:bidi="fa-IR"/>
        </w:rPr>
        <w:t xml:space="preserve">، ۲۰۱۵). فومو با شتاب‌زدگی در ورود به بازار و تصمیم‌های کم‌پشتوانه همراه است و بنابراین کیفیت تصمیم را کاهش می‌دهد؛ در مقابل، استفاده از اطلاعات حسابداری پایهٔ تصمیم را مستند می‌کند و با شایستگی تصمیم‌گیری سازگار است (پارکر و فیشهاف</w:t>
      </w:r>
      <w:r>
        <w:rPr>
          <w:rStyle w:val="FootnoteReference"/>
          <w:rFonts w:ascii="Times New Roman" w:hAnsi="Times New Roman" w:cs="B Nazanin" w:eastAsia="Times New Roman"/>
          <w:sz w:val="26"/>
          <w:szCs w:val="26"/>
          <w:vertAlign w:val="superscript"/>
          <w:lang w:val="en-US" w:bidi="fa-IR"/>
        </w:rPr>
        <w:footnoteReference w:customMarkFollows="1" w:id="24"/>
      </w:r>
      <w:r>
        <w:rPr>
          <w:rFonts w:ascii="Times New Roman" w:hAnsi="Times New Roman" w:cs="B Nazanin" w:eastAsia="Times New Roman"/>
          <w:sz w:val="26"/>
          <w:szCs w:val="26"/>
          <w:vertAlign w:val="superscript"/>
          <w:lang w:val="en-US" w:bidi="fa-IR"/>
        </w:rPr>
        <w:t>۲۴</w:t>
      </w:r>
      <w:r>
        <w:rPr>
          <w:rFonts w:ascii="Times New Roman" w:hAnsi="Times New Roman" w:cs="B Nazanin" w:eastAsia="Times New Roman"/>
          <w:sz w:val="26"/>
          <w:szCs w:val="26"/>
          <w:lang w:val="en-US" w:bidi="fa-IR"/>
        </w:rPr>
        <w:t xml:space="preserve">، ۲۰۰۵؛ برویِن دو برویِن و همکاران</w:t>
      </w:r>
      <w:r>
        <w:rPr>
          <w:rStyle w:val="FootnoteReference"/>
          <w:rFonts w:ascii="Times New Roman" w:hAnsi="Times New Roman" w:cs="B Nazanin" w:eastAsia="Times New Roman"/>
          <w:sz w:val="26"/>
          <w:szCs w:val="26"/>
          <w:vertAlign w:val="superscript"/>
          <w:lang w:val="en-US" w:bidi="fa-IR"/>
        </w:rPr>
        <w:footnoteReference w:customMarkFollows="1" w:id="25"/>
      </w:r>
      <w:r>
        <w:rPr>
          <w:rFonts w:ascii="Times New Roman" w:hAnsi="Times New Roman" w:cs="B Nazanin" w:eastAsia="Times New Roman"/>
          <w:sz w:val="26"/>
          <w:szCs w:val="26"/>
          <w:vertAlign w:val="superscript"/>
          <w:lang w:val="en-US" w:bidi="fa-IR"/>
        </w:rPr>
        <w:t>۲۵</w:t>
      </w:r>
      <w:r>
        <w:rPr>
          <w:rFonts w:ascii="Times New Roman" w:hAnsi="Times New Roman" w:cs="B Nazanin" w:eastAsia="Times New Roman"/>
          <w:sz w:val="26"/>
          <w:szCs w:val="26"/>
          <w:lang w:val="en-US" w:bidi="fa-IR"/>
        </w:rPr>
        <w:t xml:space="preserve">، ۲۰۰۷). در ادبیات داخلی نیز ارتباط سوگیری‌های رفتاری با عملکرد سرمایه‌گذاران حقیقی گزارش شده است (جمشیدی و همکاران، ۱۳۹۸).</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۵:</w:t>
      </w:r>
      <w:r>
        <w:rPr>
          <w:rFonts w:ascii="Times New Roman" w:hAnsi="Times New Roman" w:cs="B Nazanin" w:eastAsia="Times New Roman"/>
          <w:sz w:val="26"/>
          <w:szCs w:val="26"/>
          <w:lang w:val="en-US" w:bidi="fa-IR"/>
        </w:rPr>
        <w:t xml:space="preserve"> فومو بر کیفیت تصمیم اثر منفی دارد.  </w:t>
      </w:r>
      <w:r>
        <w:rPr>
          <w:rFonts w:ascii="Times New Roman" w:hAnsi="Times New Roman" w:cs="B Nazanin" w:eastAsia="Times New Roman"/>
          <w:b/>
          <w:bCs/>
          <w:sz w:val="26"/>
          <w:szCs w:val="26"/>
          <w:lang w:val="en-US" w:bidi="fa-IR"/>
        </w:rPr>
        <w:t xml:space="preserve">فرضیهٔ ۶:</w:t>
      </w:r>
      <w:r>
        <w:rPr>
          <w:rFonts w:ascii="Times New Roman" w:hAnsi="Times New Roman" w:cs="B Nazanin" w:eastAsia="Times New Roman"/>
          <w:sz w:val="26"/>
          <w:szCs w:val="26"/>
          <w:lang w:val="en-US" w:bidi="fa-IR"/>
        </w:rPr>
        <w:t xml:space="preserve"> استفاده از اطلاعات حسابداری بر کیفیت تصمیم اثر مثبت دارد.  </w:t>
      </w:r>
      <w:r>
        <w:rPr>
          <w:rFonts w:ascii="Times New Roman" w:hAnsi="Times New Roman" w:cs="B Nazanin" w:eastAsia="Times New Roman"/>
          <w:b/>
          <w:bCs/>
          <w:sz w:val="26"/>
          <w:szCs w:val="26"/>
          <w:lang w:val="en-US" w:bidi="fa-IR"/>
        </w:rPr>
        <w:t xml:space="preserve">فرضیهٔ ۷:</w:t>
      </w:r>
      <w:r>
        <w:rPr>
          <w:rFonts w:ascii="Times New Roman" w:hAnsi="Times New Roman" w:cs="B Nazanin" w:eastAsia="Times New Roman"/>
          <w:sz w:val="26"/>
          <w:szCs w:val="26"/>
          <w:lang w:val="en-US" w:bidi="fa-IR"/>
        </w:rPr>
        <w:t xml:space="preserve"> مقایسهٔ اجتماعی، پشیمانی پیش‌بینی‌شده و مواجهه با محتوا از مسیر فومو، و سواد حسابداری از مسیر استفاده از اطلاعات حسابداری، اثر غیرمستقیم معنادار بر کیفیت تصمیم دارند.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۲-۴. تجربهٔ زیان و تفاوت گروهی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ریزش بورس تهران از مرداد ۱۳۹۹ برای بسیاری از سرمایه‌گذاران تجربهٔ زیان را به همراه داشت. نظریهٔ چشم‌انداز نشان می‌دهد زیان سنگین‌تر از سود هم‌اندازه ارزیابی می‌شود (کانمن و تورسکی</w:t>
      </w:r>
      <w:r>
        <w:rPr>
          <w:rStyle w:val="FootnoteReference"/>
          <w:rFonts w:ascii="Times New Roman" w:hAnsi="Times New Roman" w:cs="B Nazanin" w:eastAsia="Times New Roman"/>
          <w:sz w:val="26"/>
          <w:szCs w:val="26"/>
          <w:vertAlign w:val="superscript"/>
          <w:lang w:val="en-US" w:bidi="fa-IR"/>
        </w:rPr>
        <w:footnoteReference w:customMarkFollows="1" w:id="26"/>
      </w:r>
      <w:r>
        <w:rPr>
          <w:rFonts w:ascii="Times New Roman" w:hAnsi="Times New Roman" w:cs="B Nazanin" w:eastAsia="Times New Roman"/>
          <w:sz w:val="26"/>
          <w:szCs w:val="26"/>
          <w:vertAlign w:val="superscript"/>
          <w:lang w:val="en-US" w:bidi="fa-IR"/>
        </w:rPr>
        <w:t>۲۶</w:t>
      </w:r>
      <w:r>
        <w:rPr>
          <w:rFonts w:ascii="Times New Roman" w:hAnsi="Times New Roman" w:cs="B Nazanin" w:eastAsia="Times New Roman"/>
          <w:sz w:val="26"/>
          <w:szCs w:val="26"/>
          <w:lang w:val="en-US" w:bidi="fa-IR"/>
        </w:rPr>
        <w:t xml:space="preserve">، ۱۹۷۹) و رفتار سرمایه‌گذاران پس از زیان تغییر می‌کند (اودین</w:t>
      </w:r>
      <w:r>
        <w:rPr>
          <w:rStyle w:val="FootnoteReference"/>
          <w:rFonts w:ascii="Times New Roman" w:hAnsi="Times New Roman" w:cs="B Nazanin" w:eastAsia="Times New Roman"/>
          <w:sz w:val="26"/>
          <w:szCs w:val="26"/>
          <w:vertAlign w:val="superscript"/>
          <w:lang w:val="en-US" w:bidi="fa-IR"/>
        </w:rPr>
        <w:footnoteReference w:customMarkFollows="1" w:id="27"/>
      </w:r>
      <w:r>
        <w:rPr>
          <w:rFonts w:ascii="Times New Roman" w:hAnsi="Times New Roman" w:cs="B Nazanin" w:eastAsia="Times New Roman"/>
          <w:sz w:val="26"/>
          <w:szCs w:val="26"/>
          <w:vertAlign w:val="superscript"/>
          <w:lang w:val="en-US" w:bidi="fa-IR"/>
        </w:rPr>
        <w:t>۲۷</w:t>
      </w:r>
      <w:r>
        <w:rPr>
          <w:rFonts w:ascii="Times New Roman" w:hAnsi="Times New Roman" w:cs="B Nazanin" w:eastAsia="Times New Roman"/>
          <w:sz w:val="26"/>
          <w:szCs w:val="26"/>
          <w:lang w:val="en-US" w:bidi="fa-IR"/>
        </w:rPr>
        <w:t xml:space="preserve">، ۱۹۹۸). بنابراین تجربهٔ زیان ممکن است حساسیت به پشیمانی و شدت پیامد فومو را افزایش دهد. پیش از مقایسهٔ مسیرها باید ناوردایی اندازه‌گیری</w:t>
      </w:r>
      <w:r>
        <w:rPr>
          <w:rStyle w:val="FootnoteReference"/>
          <w:rFonts w:ascii="Times New Roman" w:hAnsi="Times New Roman" w:cs="B Nazanin" w:eastAsia="Times New Roman"/>
          <w:sz w:val="26"/>
          <w:szCs w:val="26"/>
          <w:vertAlign w:val="superscript"/>
          <w:lang w:val="en-US" w:bidi="fa-IR"/>
        </w:rPr>
        <w:footnoteReference w:customMarkFollows="1" w:id="28"/>
      </w:r>
      <w:r>
        <w:rPr>
          <w:rFonts w:ascii="Times New Roman" w:hAnsi="Times New Roman" w:cs="B Nazanin" w:eastAsia="Times New Roman"/>
          <w:sz w:val="26"/>
          <w:szCs w:val="26"/>
          <w:vertAlign w:val="superscript"/>
          <w:lang w:val="en-US" w:bidi="fa-IR"/>
        </w:rPr>
        <w:t>۲۸</w:t>
      </w:r>
      <w:r>
        <w:rPr>
          <w:rFonts w:ascii="Times New Roman" w:hAnsi="Times New Roman" w:cs="B Nazanin" w:eastAsia="Times New Roman"/>
          <w:sz w:val="26"/>
          <w:szCs w:val="26"/>
          <w:lang w:val="en-US" w:bidi="fa-IR"/>
        </w:rPr>
        <w:t xml:space="preserve"> برقرار باشد، یعنی گویه‌ها در دو گروه یک سازه را به یک شیوه بسنجند (چونگ و رنسولد</w:t>
      </w:r>
      <w:r>
        <w:rPr>
          <w:rStyle w:val="FootnoteReference"/>
          <w:rFonts w:ascii="Times New Roman" w:hAnsi="Times New Roman" w:cs="B Nazanin" w:eastAsia="Times New Roman"/>
          <w:sz w:val="26"/>
          <w:szCs w:val="26"/>
          <w:vertAlign w:val="superscript"/>
          <w:lang w:val="en-US" w:bidi="fa-IR"/>
        </w:rPr>
        <w:footnoteReference w:customMarkFollows="1" w:id="29"/>
      </w:r>
      <w:r>
        <w:rPr>
          <w:rFonts w:ascii="Times New Roman" w:hAnsi="Times New Roman" w:cs="B Nazanin" w:eastAsia="Times New Roman"/>
          <w:sz w:val="26"/>
          <w:szCs w:val="26"/>
          <w:vertAlign w:val="superscript"/>
          <w:lang w:val="en-US" w:bidi="fa-IR"/>
        </w:rPr>
        <w:t>۲۹</w:t>
      </w:r>
      <w:r>
        <w:rPr>
          <w:rFonts w:ascii="Times New Roman" w:hAnsi="Times New Roman" w:cs="B Nazanin" w:eastAsia="Times New Roman"/>
          <w:sz w:val="26"/>
          <w:szCs w:val="26"/>
          <w:lang w:val="en-US" w:bidi="fa-IR"/>
        </w:rPr>
        <w:t xml:space="preserve">، ۲۰۰۲؛ چِن</w:t>
      </w:r>
      <w:r>
        <w:rPr>
          <w:rStyle w:val="FootnoteReference"/>
          <w:rFonts w:ascii="Times New Roman" w:hAnsi="Times New Roman" w:cs="B Nazanin" w:eastAsia="Times New Roman"/>
          <w:sz w:val="26"/>
          <w:szCs w:val="26"/>
          <w:vertAlign w:val="superscript"/>
          <w:lang w:val="en-US" w:bidi="fa-IR"/>
        </w:rPr>
        <w:footnoteReference w:customMarkFollows="1" w:id="30"/>
      </w:r>
      <w:r>
        <w:rPr>
          <w:rFonts w:ascii="Times New Roman" w:hAnsi="Times New Roman" w:cs="B Nazanin" w:eastAsia="Times New Roman"/>
          <w:sz w:val="26"/>
          <w:szCs w:val="26"/>
          <w:vertAlign w:val="superscript"/>
          <w:lang w:val="en-US" w:bidi="fa-IR"/>
        </w:rPr>
        <w:t>۳۰</w:t>
      </w:r>
      <w:r>
        <w:rPr>
          <w:rFonts w:ascii="Times New Roman" w:hAnsi="Times New Roman" w:cs="B Nazanin" w:eastAsia="Times New Roman"/>
          <w:sz w:val="26"/>
          <w:szCs w:val="26"/>
          <w:lang w:val="en-US" w:bidi="fa-IR"/>
        </w:rPr>
        <w:t xml:space="preserve">، ۲۰۰۷).</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۸:</w:t>
      </w:r>
      <w:r>
        <w:rPr>
          <w:rFonts w:ascii="Times New Roman" w:hAnsi="Times New Roman" w:cs="B Nazanin" w:eastAsia="Times New Roman"/>
          <w:sz w:val="26"/>
          <w:szCs w:val="26"/>
          <w:lang w:val="en-US" w:bidi="fa-IR"/>
        </w:rPr>
        <w:t xml:space="preserve"> ساختار اندازه‌گیری (پیکربندی، متریک و دست‌کم اسکالر جزئی) میان دو گروه ناوردا است.  </w:t>
      </w:r>
      <w:r>
        <w:rPr>
          <w:rFonts w:ascii="Times New Roman" w:hAnsi="Times New Roman" w:cs="B Nazanin" w:eastAsia="Times New Roman"/>
          <w:b/>
          <w:bCs/>
          <w:sz w:val="26"/>
          <w:szCs w:val="26"/>
          <w:lang w:val="en-US" w:bidi="fa-IR"/>
        </w:rPr>
        <w:t xml:space="preserve">فرضیهٔ ۹:</w:t>
      </w:r>
      <w:r>
        <w:rPr>
          <w:rFonts w:ascii="Times New Roman" w:hAnsi="Times New Roman" w:cs="B Nazanin" w:eastAsia="Times New Roman"/>
          <w:sz w:val="26"/>
          <w:szCs w:val="26"/>
          <w:lang w:val="en-US" w:bidi="fa-IR"/>
        </w:rPr>
        <w:t xml:space="preserve"> اثر پشیمانی پیش‌بینی‌شده بر فومو در گروه دارای تجربهٔ زیان قوی‌تر است.  </w:t>
      </w:r>
      <w:r>
        <w:rPr>
          <w:rFonts w:ascii="Times New Roman" w:hAnsi="Times New Roman" w:cs="B Nazanin" w:eastAsia="Times New Roman"/>
          <w:b/>
          <w:bCs/>
          <w:sz w:val="26"/>
          <w:szCs w:val="26"/>
          <w:lang w:val="en-US" w:bidi="fa-IR"/>
        </w:rPr>
        <w:t xml:space="preserve">فرضیهٔ ۱۰:</w:t>
      </w:r>
      <w:r>
        <w:rPr>
          <w:rFonts w:ascii="Times New Roman" w:hAnsi="Times New Roman" w:cs="B Nazanin" w:eastAsia="Times New Roman"/>
          <w:sz w:val="26"/>
          <w:szCs w:val="26"/>
          <w:lang w:val="en-US" w:bidi="fa-IR"/>
        </w:rPr>
        <w:t xml:space="preserve"> اثر فومو بر کیفیت تصمیم در گروه دارای تجربهٔ زیان منفی‌تر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۲-۵. غیرخطی‌بودن و یادگیری ماشین تفسیرپذیر</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مدل‌های ساختاری روابط خطی و جمع‌پذیر را فرض می‌کنند، حال آنکه اثر فومو ممکن است آستانه‌ای باشد و اطلاعات حسابداری اثر آن را تعدیل کند. جنگل تصادفی (برایمن</w:t>
      </w:r>
      <w:r>
        <w:rPr>
          <w:rStyle w:val="FootnoteReference"/>
          <w:rFonts w:ascii="Times New Roman" w:hAnsi="Times New Roman" w:cs="B Nazanin" w:eastAsia="Times New Roman"/>
          <w:sz w:val="26"/>
          <w:szCs w:val="26"/>
          <w:vertAlign w:val="superscript"/>
          <w:lang w:val="en-US" w:bidi="fa-IR"/>
        </w:rPr>
        <w:footnoteReference w:customMarkFollows="1" w:id="31"/>
      </w:r>
      <w:r>
        <w:rPr>
          <w:rFonts w:ascii="Times New Roman" w:hAnsi="Times New Roman" w:cs="B Nazanin" w:eastAsia="Times New Roman"/>
          <w:sz w:val="26"/>
          <w:szCs w:val="26"/>
          <w:vertAlign w:val="superscript"/>
          <w:lang w:val="en-US" w:bidi="fa-IR"/>
        </w:rPr>
        <w:t>۳۱</w:t>
      </w:r>
      <w:r>
        <w:rPr>
          <w:rFonts w:ascii="Times New Roman" w:hAnsi="Times New Roman" w:cs="B Nazanin" w:eastAsia="Times New Roman"/>
          <w:sz w:val="26"/>
          <w:szCs w:val="26"/>
          <w:lang w:val="en-US" w:bidi="fa-IR"/>
        </w:rPr>
        <w:t xml:space="preserve">، ۲۰۰۱) و تقویت گرادیان (فریدمن</w:t>
      </w:r>
      <w:r>
        <w:rPr>
          <w:rStyle w:val="FootnoteReference"/>
          <w:rFonts w:ascii="Times New Roman" w:hAnsi="Times New Roman" w:cs="B Nazanin" w:eastAsia="Times New Roman"/>
          <w:sz w:val="26"/>
          <w:szCs w:val="26"/>
          <w:vertAlign w:val="superscript"/>
          <w:lang w:val="en-US" w:bidi="fa-IR"/>
        </w:rPr>
        <w:footnoteReference w:customMarkFollows="1" w:id="32"/>
      </w:r>
      <w:r>
        <w:rPr>
          <w:rFonts w:ascii="Times New Roman" w:hAnsi="Times New Roman" w:cs="B Nazanin" w:eastAsia="Times New Roman"/>
          <w:sz w:val="26"/>
          <w:szCs w:val="26"/>
          <w:vertAlign w:val="superscript"/>
          <w:lang w:val="en-US" w:bidi="fa-IR"/>
        </w:rPr>
        <w:t>۳۲</w:t>
      </w:r>
      <w:r>
        <w:rPr>
          <w:rFonts w:ascii="Times New Roman" w:hAnsi="Times New Roman" w:cs="B Nazanin" w:eastAsia="Times New Roman"/>
          <w:sz w:val="26"/>
          <w:szCs w:val="26"/>
          <w:lang w:val="en-US" w:bidi="fa-IR"/>
        </w:rPr>
        <w:t xml:space="preserve">، ۲۰۰۱) این غیرخطی‌بودن را می‌گیرند و تفسیر SHAP (لاندبرگ و لی</w:t>
      </w:r>
      <w:r>
        <w:rPr>
          <w:rStyle w:val="FootnoteReference"/>
          <w:rFonts w:ascii="Times New Roman" w:hAnsi="Times New Roman" w:cs="B Nazanin" w:eastAsia="Times New Roman"/>
          <w:sz w:val="26"/>
          <w:szCs w:val="26"/>
          <w:vertAlign w:val="superscript"/>
          <w:lang w:val="en-US" w:bidi="fa-IR"/>
        </w:rPr>
        <w:footnoteReference w:customMarkFollows="1" w:id="33"/>
      </w:r>
      <w:r>
        <w:rPr>
          <w:rFonts w:ascii="Times New Roman" w:hAnsi="Times New Roman" w:cs="B Nazanin" w:eastAsia="Times New Roman"/>
          <w:sz w:val="26"/>
          <w:szCs w:val="26"/>
          <w:vertAlign w:val="superscript"/>
          <w:lang w:val="en-US" w:bidi="fa-IR"/>
        </w:rPr>
        <w:t>۳۳</w:t>
      </w:r>
      <w:r>
        <w:rPr>
          <w:rFonts w:ascii="Times New Roman" w:hAnsi="Times New Roman" w:cs="B Nazanin" w:eastAsia="Times New Roman"/>
          <w:sz w:val="26"/>
          <w:szCs w:val="26"/>
          <w:lang w:val="en-US" w:bidi="fa-IR"/>
        </w:rPr>
        <w:t xml:space="preserve">، ۲۰۱۷) اهمیت متغیرها را قابل‌مقایسه با ضرایب ساختاری می‌کند. برای پرهیز از میانگین‌گیری ساده از گویه‌ها، ویژگی‌های ورودی مدل‌های یادگیری ماشین نمرات عاملی وزن‌دار مبتنی بر بارهای مدل اندازه‌گیری‌اند (روش دومرحله‌ای SEM ـ ML).</w:t>
      </w:r>
    </w:p>
    <w:p>
      <w:pPr>
        <w:bidi/>
        <w:spacing w:before="0" w:after="50" w:line="240" w:lineRule="auto"/>
        <w:jc w:val="both"/>
      </w:pPr>
      <w:r>
        <w:rPr>
          <w:rFonts w:ascii="Times New Roman" w:hAnsi="Times New Roman" w:cs="B Nazanin" w:eastAsia="Times New Roman"/>
          <w:b/>
          <w:bCs/>
          <w:sz w:val="26"/>
          <w:szCs w:val="26"/>
          <w:lang w:val="en-US" w:bidi="fa-IR"/>
        </w:rPr>
        <w:t xml:space="preserve">فرضیهٔ ۱۱:</w:t>
      </w:r>
      <w:r>
        <w:rPr>
          <w:rFonts w:ascii="Times New Roman" w:hAnsi="Times New Roman" w:cs="B Nazanin" w:eastAsia="Times New Roman"/>
          <w:sz w:val="26"/>
          <w:szCs w:val="26"/>
          <w:lang w:val="en-US" w:bidi="fa-IR"/>
        </w:rPr>
        <w:t xml:space="preserve"> مدل‌های غیرخطی دقت پیش‌بینی بیرون‌نمونه‌ای کیفیت تصمیم را نسبت به رگرسیون خطی افزایش می‌دهند.  </w:t>
      </w:r>
      <w:r>
        <w:rPr>
          <w:rFonts w:ascii="Times New Roman" w:hAnsi="Times New Roman" w:cs="B Nazanin" w:eastAsia="Times New Roman"/>
          <w:b/>
          <w:bCs/>
          <w:sz w:val="26"/>
          <w:szCs w:val="26"/>
          <w:lang w:val="en-US" w:bidi="fa-IR"/>
        </w:rPr>
        <w:t xml:space="preserve">فرضیهٔ ۱۲:</w:t>
      </w:r>
      <w:r>
        <w:rPr>
          <w:rFonts w:ascii="Times New Roman" w:hAnsi="Times New Roman" w:cs="B Nazanin" w:eastAsia="Times New Roman"/>
          <w:sz w:val="26"/>
          <w:szCs w:val="26"/>
          <w:lang w:val="en-US" w:bidi="fa-IR"/>
        </w:rPr>
        <w:t xml:space="preserve"> رتبه‌بندی اهمیت SHAP با رتبه‌بندی اثرهای کل مدل ساختاری هم‌خوان است.</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شکل ۱ مدل مفهومی را با همهٔ سازه‌های پنهان و گویه‌های سنجندهٔ آن‌ها نشان می‌دهد.</w:t>
      </w:r>
    </w:p>
    <w:p>
      <w:pPr>
        <w:keepNext/>
        <w:jc w:val="center"/>
      </w:pPr>
      <w:r>
        <w:drawing>
          <wp:inline distT="0" distB="0" distL="0" distR="0">
            <wp:extent cx="4896000" cy="5435009"/>
            <wp:docPr id="1" name="Figure 1"/>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4896000" cy="5435009"/>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۱. مدل مفهومی پژوهش با سازه‌های پنهان و گویه‌های سنجنده (یافتهٔ پژوهشگر)</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 روش‌شناسی</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۳-۱. طرح پژوهش، نمونه و کفایت آن</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پژوهش کمّی، مقطعی و پیمایشی است. جامعه سرمایه‌گذاران حقیقی فعال در بورس و فرابورس تهران با حداقل یک سال سابقه است و نمونهٔ شبیه‌سازی‌شده ۴۴۲ نفر دارد که ۱۷۳ نفر (۳۹٫۱٪) در ریزش بورس از مرداد ۱۳۹۹ زیان بیش از ۲۰٪ سرمایه را گزارش کرده‌اند و ۲۶۹ نفر چنین تجربه‌ای نداشته‌اند. شمار پارامترهای آزاد مدل اندازه‌گیری ۸۷ و مدل ساختاری ۸۴ است و نسبت مشاهده به پارامتر به‌ترتیب ۵٫۰۸ و ۵٫۲۶ می‌شود که از قاعدهٔ سرانگشتی ۱۰ به ۱ کمتر است؛ با این حال اندازهٔ نمونهٔ لازم به ساختار مدل بستگی دارد (ولف و همکاران</w:t>
      </w:r>
      <w:r>
        <w:rPr>
          <w:rStyle w:val="FootnoteReference"/>
          <w:rFonts w:ascii="Times New Roman" w:hAnsi="Times New Roman" w:cs="B Nazanin" w:eastAsia="Times New Roman"/>
          <w:sz w:val="26"/>
          <w:szCs w:val="26"/>
          <w:vertAlign w:val="superscript"/>
          <w:lang w:val="en-US" w:bidi="fa-IR"/>
        </w:rPr>
        <w:footnoteReference w:customMarkFollows="1" w:id="34"/>
      </w:r>
      <w:r>
        <w:rPr>
          <w:rFonts w:ascii="Times New Roman" w:hAnsi="Times New Roman" w:cs="B Nazanin" w:eastAsia="Times New Roman"/>
          <w:sz w:val="26"/>
          <w:szCs w:val="26"/>
          <w:vertAlign w:val="superscript"/>
          <w:lang w:val="en-US" w:bidi="fa-IR"/>
        </w:rPr>
        <w:t>۳۴</w:t>
      </w:r>
      <w:r>
        <w:rPr>
          <w:rFonts w:ascii="Times New Roman" w:hAnsi="Times New Roman" w:cs="B Nazanin" w:eastAsia="Times New Roman"/>
          <w:sz w:val="26"/>
          <w:szCs w:val="26"/>
          <w:lang w:val="en-US" w:bidi="fa-IR"/>
        </w:rPr>
        <w:t xml:space="preserve">، ۲۰۱۳) و توان آزمون برازش نزدیک در برابر برازش ضعیف (مک‌کالوم و همکاران</w:t>
      </w:r>
      <w:r>
        <w:rPr>
          <w:rStyle w:val="FootnoteReference"/>
          <w:rFonts w:ascii="Times New Roman" w:hAnsi="Times New Roman" w:cs="B Nazanin" w:eastAsia="Times New Roman"/>
          <w:sz w:val="26"/>
          <w:szCs w:val="26"/>
          <w:vertAlign w:val="superscript"/>
          <w:lang w:val="en-US" w:bidi="fa-IR"/>
        </w:rPr>
        <w:footnoteReference w:customMarkFollows="1" w:id="35"/>
      </w:r>
      <w:r>
        <w:rPr>
          <w:rFonts w:ascii="Times New Roman" w:hAnsi="Times New Roman" w:cs="B Nazanin" w:eastAsia="Times New Roman"/>
          <w:sz w:val="26"/>
          <w:szCs w:val="26"/>
          <w:vertAlign w:val="superscript"/>
          <w:lang w:val="en-US" w:bidi="fa-IR"/>
        </w:rPr>
        <w:t>۳۵</w:t>
      </w:r>
      <w:r>
        <w:rPr>
          <w:rFonts w:ascii="Times New Roman" w:hAnsi="Times New Roman" w:cs="B Nazanin" w:eastAsia="Times New Roman"/>
          <w:sz w:val="26"/>
          <w:szCs w:val="26"/>
          <w:lang w:val="en-US" w:bidi="fa-IR"/>
        </w:rPr>
        <w:t xml:space="preserve">، ۱۹۹۶) برای مدل اندازه‌گیری بیش از ۰٫۹۹ و برای مدل ساختاری بیش از ۰٫۹۹ است. در مقایسهٔ گروهی، اندازهٔ هر گروه (به‌ترتیب ۲۶۹ و ۱۷۳) محدودیت توان بیشتری ایجاد می‌کند که در محدودیت‌ها آمده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۳-۲. منشأ داده و محدودیت آن</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داده‌ها با فرایند شبیه‌سازی واقع‌نما تولید شده‌اند و از داده‌های مقالهٔ همراه مستقل‌اند (بذر، اندازه و پارامترهای دیگر). متغیرهای پنهان با همبستگی‌های مفروض (جدول ۱) تولید و سپس با بار عاملی ۰٫۶۰ تا ۰٫۸۷، بارگذاری‌های متقاطع کوچک، همبستگی خطا میان گویه‌های هم‌محتوا، عامل روش ضعیف و آستانه‌های نامتقارن لیکرت به مقیاس ۱ تا ۵ تبدیل شدند. اثرهای ساختاری در دو گروه تجربهٔ زیان عمداً متفاوت تعریف شدند و اثر کیفیت تصمیم شامل یک جملهٔ آستانه‌ای و یک جملهٔ تعاملی غیرخطی است. بنابراین یافته‌ها بازتاب «توان روش در بازیابی ساختار مفروض» هستند و نه شواهد دربارهٔ بازار واقعی.</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 ضرایب مفروض در شبیه‌سازی (مقیاس متغیرهای پنهان استاندارد)</w:t>
      </w:r>
    </w:p>
    <w:tbl>
      <w:tblPr>
        <w:bidiVisual/>
        <w:tblW w:w="9000" w:type="dxa"/>
        <w:jc w:val="center"/>
        <w:tblLayout w:type="fixed"/>
        <w:tblCellMar>
          <w:left w:w="60" w:type="dxa"/>
          <w:right w:w="60" w:type="dxa"/>
        </w:tblCellMar>
      </w:tblPr>
      <w:tblGrid>
        <w:gridCol w:w="2700"/>
        <w:gridCol w:w="6300"/>
      </w:tblGrid>
      <w:tr>
        <w:trPr>
          <w:tblHeader/>
        </w:trPr>
        <w:tc>
          <w:tcPr>
            <w:tcW w:w="2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معادله</w:t>
            </w:r>
          </w:p>
        </w:tc>
        <w:tc>
          <w:tcPr>
            <w:tcW w:w="63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اثر مفروض</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فومو</w:t>
            </w:r>
          </w:p>
        </w:tc>
        <w:tc>
          <w:tcPr>
            <w:tcW w:w="6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مقایسهٔ اجتماعی ۰٫۳۰؛ پشیمانی ۰٫۴۰ (دارای تجربهٔ زیان) و ۰٫۲۰ (فاقد)؛ مواجهه ۰٫۲۴؛ تجربهٔ زیان ۰٫۱۸</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استفاده از اطلاعات حسابداری</w:t>
            </w:r>
          </w:p>
        </w:tc>
        <w:tc>
          <w:tcPr>
            <w:tcW w:w="6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سواد حسابداری ۰٫۴۶؛ مواجهه −۰٫۲۵؛ تجربهٔ زیان −۰٫۰۵</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کیفیت تصمیم (بخش خطی)</w:t>
            </w:r>
          </w:p>
        </w:tc>
        <w:tc>
          <w:tcPr>
            <w:tcW w:w="6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فومو −۰٫۳۴ (دارای تجربهٔ زیان) و −۰٫۲۰ (فاقد)؛ اطلاعات حسابداری ۰٫۴۰ و ۰٫۲۵؛ سواد حسابداری ۰٫۱۲؛ سابقه ۰٫۱۰</w:t>
            </w:r>
          </w:p>
        </w:tc>
      </w:tr>
      <w:tr>
        <w:trPr>
          <w:cantSplit/>
        </w:trPr>
        <w:tc>
          <w:tcPr>
            <w:tcW w:w="2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کیفیت تصمیم (بخش غیرخطی)</w:t>
            </w:r>
          </w:p>
        </w:tc>
        <w:tc>
          <w:tcPr>
            <w:tcW w:w="6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جملهٔ آستانه‌ای فومو بالای ۰٫۲ با ضریب −۱٫۰۰ و تعامل فومو × اطلاعات حسابداری با ضریب ۰٫۵۵</w:t>
            </w:r>
          </w:p>
        </w:tc>
      </w:tr>
      <w:tr>
        <w:trPr>
          <w:cantSplit/>
        </w:trPr>
        <w:tc>
          <w:tcPr>
            <w:tcW w:w="2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همبستگی سازه‌های برون‌زا</w:t>
            </w:r>
          </w:p>
        </w:tc>
        <w:tc>
          <w:tcPr>
            <w:tcW w:w="63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مقایسهٔ اجتماعی با پشیمانی ۰٫۳۰، با مواجهه ۰٫۲۲؛ پشیمانی با مواجهه ۰٫۱۸؛ سواد حسابداری با مواجهه −۰٫۰۸</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ضرایب پیش از اعمال خطای اندازه‌گیری و گسسته‌سازی لیکرت تعریف شده‌اند؛ مقادیر برآوردشده به‌دلیل این عوامل متفاوت‌اند.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۳-۳. ابزار اندازه‌گیری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ابزار، پرسشنامه‌ای ۳۳ گویه‌ای لیکرت پنج‌درجه‌ای برای هفت سازه است و هر گویه فقط به سازهٔ خود تعلق دارد (جدول ۲). مبنای گویه‌ها: مقایسهٔ اجتماعی از (گیبونز و بونک، ۱۹۹۹)، پشیمانی از (شوارتز و همکاران، ۲۰۰۲؛ سندبرگ و کانر، ۲۰۰۸)، فومو از (پرزیبیلسکی و همکاران، ۲۰۱۳؛ آبل و همکاران، ۲۰۱۶) و دیگر سازه‌ها بازنویسی یا توسعهٔ پژوهشگر بر پایهٔ تعریف نظری‌اند؛ هیچ‌یک نسخهٔ استانداردشدهٔ فارسی نیست و پیش از کاربرد واقعی نیازمند اعتبارسنجی است. متن کامل پرسشنامه و راهنمای اعتبارسنجی در پیوست آمده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 سازه‌های پنهان و تعداد گویه‌ها</w:t>
      </w:r>
    </w:p>
    <w:tbl>
      <w:tblPr>
        <w:bidiVisual/>
        <w:tblW w:w="9000" w:type="dxa"/>
        <w:jc w:val="center"/>
        <w:tblLayout w:type="fixed"/>
        <w:tblCellMar>
          <w:left w:w="60" w:type="dxa"/>
          <w:right w:w="60" w:type="dxa"/>
        </w:tblCellMar>
      </w:tblPr>
      <w:tblGrid>
        <w:gridCol w:w="3500"/>
        <w:gridCol w:w="800"/>
        <w:gridCol w:w="4700"/>
      </w:tblGrid>
      <w:tr>
        <w:trPr>
          <w:tblHeader/>
        </w:trPr>
        <w:tc>
          <w:tcPr>
            <w:tcW w:w="3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سازه (نماد لاتین)</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c>
          <w:tcPr>
            <w:tcW w:w="4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مبنای ابزار</w:t>
            </w:r>
          </w:p>
        </w:tc>
      </w:tr>
      <w:tr>
        <w:trPr>
          <w:cantSplit/>
        </w:trPr>
        <w:tc>
          <w:tcPr>
            <w:tcW w:w="3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مقایسهٔ اجتماعی (SC)</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4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گیبونز و بونک (۱۹۹۹)؛ تطبیق</w:t>
            </w:r>
          </w:p>
        </w:tc>
      </w:tr>
      <w:tr>
        <w:trPr>
          <w:cantSplit/>
        </w:trPr>
        <w:tc>
          <w:tcPr>
            <w:tcW w:w="3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پشیمانی پیش‌بینی‌شده (AR)</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4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شوارتز و همکاران (۲۰۰۲)؛ سندبرگ و کانر (۲۰۰۸)</w:t>
            </w:r>
          </w:p>
        </w:tc>
      </w:tr>
      <w:tr>
        <w:trPr>
          <w:cantSplit/>
        </w:trPr>
        <w:tc>
          <w:tcPr>
            <w:tcW w:w="3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مواجهه با محتوای شبکه‌ها (SME)</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4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الیسون و همکاران (۲۰۰۷)؛ بازنویسی</w:t>
            </w:r>
          </w:p>
        </w:tc>
      </w:tr>
      <w:tr>
        <w:trPr>
          <w:cantSplit/>
        </w:trPr>
        <w:tc>
          <w:tcPr>
            <w:tcW w:w="3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فومو (FOMO)</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۶</w:t>
            </w:r>
          </w:p>
        </w:tc>
        <w:tc>
          <w:tcPr>
            <w:tcW w:w="4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پرزیبیلسکی و همکاران (۲۰۱۳)؛ آبل و همکاران (۲۰۱۶)</w:t>
            </w:r>
          </w:p>
        </w:tc>
      </w:tr>
      <w:tr>
        <w:trPr>
          <w:cantSplit/>
        </w:trPr>
        <w:tc>
          <w:tcPr>
            <w:tcW w:w="3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سواد حسابداری (AL)</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w:t>
            </w:r>
          </w:p>
        </w:tc>
        <w:tc>
          <w:tcPr>
            <w:tcW w:w="4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توسعهٔ پژوهشگر بر پایهٔ لوساردی و میچل (۲۰۱۴)</w:t>
            </w:r>
          </w:p>
        </w:tc>
      </w:tr>
      <w:tr>
        <w:trPr>
          <w:cantSplit/>
        </w:trPr>
        <w:tc>
          <w:tcPr>
            <w:tcW w:w="3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استفاده از اطلاعات حسابداری (AIU)</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4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توسعهٔ پژوهشگر بر پایهٔ لارنس (۲۰۱۳)</w:t>
            </w:r>
          </w:p>
        </w:tc>
      </w:tr>
      <w:tr>
        <w:trPr>
          <w:cantSplit/>
        </w:trPr>
        <w:tc>
          <w:tcPr>
            <w:tcW w:w="3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کیفیت تصمیم (IDQ)</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w:t>
            </w:r>
          </w:p>
        </w:tc>
        <w:tc>
          <w:tcPr>
            <w:tcW w:w="4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پارکر و فیشهاف (۲۰۰۵)؛ برویِن دو برویِن و همکاران (۲۰۰۷)</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۳-۴. راهبرد تحلیل</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تحلیل در پایتون انجام شد. مدل اندازه‌گیری هفت‌عاملی با بیشینهٔ درست‌نمایی و مدل ساختاری پنهان با کنترل تجربهٔ زیان و سابقه برآورد شد (ایگولکینا و میشچریاکوف</w:t>
      </w:r>
      <w:r>
        <w:rPr>
          <w:rStyle w:val="FootnoteReference"/>
          <w:rFonts w:ascii="Times New Roman" w:hAnsi="Times New Roman" w:cs="B Nazanin" w:eastAsia="Times New Roman"/>
          <w:sz w:val="26"/>
          <w:szCs w:val="26"/>
          <w:vertAlign w:val="superscript"/>
          <w:lang w:val="en-US" w:bidi="fa-IR"/>
        </w:rPr>
        <w:footnoteReference w:customMarkFollows="1" w:id="36"/>
      </w:r>
      <w:r>
        <w:rPr>
          <w:rFonts w:ascii="Times New Roman" w:hAnsi="Times New Roman" w:cs="B Nazanin" w:eastAsia="Times New Roman"/>
          <w:sz w:val="26"/>
          <w:szCs w:val="26"/>
          <w:vertAlign w:val="superscript"/>
          <w:lang w:val="en-US" w:bidi="fa-IR"/>
        </w:rPr>
        <w:t>۳۶</w:t>
      </w:r>
      <w:r>
        <w:rPr>
          <w:rFonts w:ascii="Times New Roman" w:hAnsi="Times New Roman" w:cs="B Nazanin" w:eastAsia="Times New Roman"/>
          <w:sz w:val="26"/>
          <w:szCs w:val="26"/>
          <w:lang w:val="en-US" w:bidi="fa-IR"/>
        </w:rPr>
        <w:t xml:space="preserve">، ۲۰۲۰)؛ پایایی با آلفا و پایایی ترکیبی، روایی همگرا با AVE و روایی واگرا با معیار فورنل ـ لارکر و HTMT (فورنل و لارکر</w:t>
      </w:r>
      <w:r>
        <w:rPr>
          <w:rStyle w:val="FootnoteReference"/>
          <w:rFonts w:ascii="Times New Roman" w:hAnsi="Times New Roman" w:cs="B Nazanin" w:eastAsia="Times New Roman"/>
          <w:sz w:val="26"/>
          <w:szCs w:val="26"/>
          <w:vertAlign w:val="superscript"/>
          <w:lang w:val="en-US" w:bidi="fa-IR"/>
        </w:rPr>
        <w:footnoteReference w:customMarkFollows="1" w:id="37"/>
      </w:r>
      <w:r>
        <w:rPr>
          <w:rFonts w:ascii="Times New Roman" w:hAnsi="Times New Roman" w:cs="B Nazanin" w:eastAsia="Times New Roman"/>
          <w:sz w:val="26"/>
          <w:szCs w:val="26"/>
          <w:vertAlign w:val="superscript"/>
          <w:lang w:val="en-US" w:bidi="fa-IR"/>
        </w:rPr>
        <w:t>۳۷</w:t>
      </w:r>
      <w:r>
        <w:rPr>
          <w:rFonts w:ascii="Times New Roman" w:hAnsi="Times New Roman" w:cs="B Nazanin" w:eastAsia="Times New Roman"/>
          <w:sz w:val="26"/>
          <w:szCs w:val="26"/>
          <w:lang w:val="en-US" w:bidi="fa-IR"/>
        </w:rPr>
        <w:t xml:space="preserve">، ۱۹۸۱؛ هنسلر و همکاران</w:t>
      </w:r>
      <w:r>
        <w:rPr>
          <w:rStyle w:val="FootnoteReference"/>
          <w:rFonts w:ascii="Times New Roman" w:hAnsi="Times New Roman" w:cs="B Nazanin" w:eastAsia="Times New Roman"/>
          <w:sz w:val="26"/>
          <w:szCs w:val="26"/>
          <w:vertAlign w:val="superscript"/>
          <w:lang w:val="en-US" w:bidi="fa-IR"/>
        </w:rPr>
        <w:footnoteReference w:customMarkFollows="1" w:id="38"/>
      </w:r>
      <w:r>
        <w:rPr>
          <w:rFonts w:ascii="Times New Roman" w:hAnsi="Times New Roman" w:cs="B Nazanin" w:eastAsia="Times New Roman"/>
          <w:sz w:val="26"/>
          <w:szCs w:val="26"/>
          <w:vertAlign w:val="superscript"/>
          <w:lang w:val="en-US" w:bidi="fa-IR"/>
        </w:rPr>
        <w:t>۳۸</w:t>
      </w:r>
      <w:r>
        <w:rPr>
          <w:rFonts w:ascii="Times New Roman" w:hAnsi="Times New Roman" w:cs="B Nazanin" w:eastAsia="Times New Roman"/>
          <w:sz w:val="26"/>
          <w:szCs w:val="26"/>
          <w:lang w:val="en-US" w:bidi="fa-IR"/>
        </w:rPr>
        <w:t xml:space="preserve">، ۲۰۱۵) و سوگیری روش مشترک با آزمون هارمن و مدل تک‌عاملی (پوداساف و همکاران</w:t>
      </w:r>
      <w:r>
        <w:rPr>
          <w:rStyle w:val="FootnoteReference"/>
          <w:rFonts w:ascii="Times New Roman" w:hAnsi="Times New Roman" w:cs="B Nazanin" w:eastAsia="Times New Roman"/>
          <w:sz w:val="26"/>
          <w:szCs w:val="26"/>
          <w:vertAlign w:val="superscript"/>
          <w:lang w:val="en-US" w:bidi="fa-IR"/>
        </w:rPr>
        <w:footnoteReference w:customMarkFollows="1" w:id="39"/>
      </w:r>
      <w:r>
        <w:rPr>
          <w:rFonts w:ascii="Times New Roman" w:hAnsi="Times New Roman" w:cs="B Nazanin" w:eastAsia="Times New Roman"/>
          <w:sz w:val="26"/>
          <w:szCs w:val="26"/>
          <w:vertAlign w:val="superscript"/>
          <w:lang w:val="en-US" w:bidi="fa-IR"/>
        </w:rPr>
        <w:t>۳۹</w:t>
      </w:r>
      <w:r>
        <w:rPr>
          <w:rFonts w:ascii="Times New Roman" w:hAnsi="Times New Roman" w:cs="B Nazanin" w:eastAsia="Times New Roman"/>
          <w:sz w:val="26"/>
          <w:szCs w:val="26"/>
          <w:lang w:val="en-US" w:bidi="fa-IR"/>
        </w:rPr>
        <w:t xml:space="preserve">، ۲۰۰۳) سنجیده شد. معیارهای برازش با آستانه‌های هو و بنتلر</w:t>
      </w:r>
      <w:r>
        <w:rPr>
          <w:rStyle w:val="FootnoteReference"/>
          <w:rFonts w:ascii="Times New Roman" w:hAnsi="Times New Roman" w:cs="B Nazanin" w:eastAsia="Times New Roman"/>
          <w:sz w:val="26"/>
          <w:szCs w:val="26"/>
          <w:vertAlign w:val="superscript"/>
          <w:lang w:val="en-US" w:bidi="fa-IR"/>
        </w:rPr>
        <w:footnoteReference w:customMarkFollows="1" w:id="40"/>
      </w:r>
      <w:r>
        <w:rPr>
          <w:rFonts w:ascii="Times New Roman" w:hAnsi="Times New Roman" w:cs="B Nazanin" w:eastAsia="Times New Roman"/>
          <w:sz w:val="26"/>
          <w:szCs w:val="26"/>
          <w:vertAlign w:val="superscript"/>
          <w:lang w:val="en-US" w:bidi="fa-IR"/>
        </w:rPr>
        <w:t>۴۰</w:t>
      </w:r>
      <w:r>
        <w:rPr>
          <w:rFonts w:ascii="Times New Roman" w:hAnsi="Times New Roman" w:cs="B Nazanin" w:eastAsia="Times New Roman"/>
          <w:sz w:val="26"/>
          <w:szCs w:val="26"/>
          <w:lang w:val="en-US" w:bidi="fa-IR"/>
        </w:rPr>
        <w:t xml:space="preserve"> (۱۹۹۹) مقایسه شدند. اثرهای غیرمستقیم استاندارد با ۲۰۰۰ نمونهٔ خودگردان آزموده شدند (پریچر و هیز</w:t>
      </w:r>
      <w:r>
        <w:rPr>
          <w:rStyle w:val="FootnoteReference"/>
          <w:rFonts w:ascii="Times New Roman" w:hAnsi="Times New Roman" w:cs="B Nazanin" w:eastAsia="Times New Roman"/>
          <w:sz w:val="26"/>
          <w:szCs w:val="26"/>
          <w:vertAlign w:val="superscript"/>
          <w:lang w:val="en-US" w:bidi="fa-IR"/>
        </w:rPr>
        <w:footnoteReference w:customMarkFollows="1" w:id="41"/>
      </w:r>
      <w:r>
        <w:rPr>
          <w:rFonts w:ascii="Times New Roman" w:hAnsi="Times New Roman" w:cs="B Nazanin" w:eastAsia="Times New Roman"/>
          <w:sz w:val="26"/>
          <w:szCs w:val="26"/>
          <w:vertAlign w:val="superscript"/>
          <w:lang w:val="en-US" w:bidi="fa-IR"/>
        </w:rPr>
        <w:t>۴۱</w:t>
      </w:r>
      <w:r>
        <w:rPr>
          <w:rFonts w:ascii="Times New Roman" w:hAnsi="Times New Roman" w:cs="B Nazanin" w:eastAsia="Times New Roman"/>
          <w:sz w:val="26"/>
          <w:szCs w:val="26"/>
          <w:lang w:val="en-US" w:bidi="fa-IR"/>
        </w:rPr>
        <w:t xml:space="preserve">، ۲۰۰۸).</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ناوردایی اندازه‌گیری با CFA چندگروهی با ساختار میانگین (کد نوشته‌شده برای این پژوهش با گرادیان تحلیلی؛ شناسایی با گویهٔ نشانگر) در سه گام پیکربندی، متریک (بارهای برابر) و اسکالر (بارها و عرض از مبدأهای برابر) ارزیابی شد؛ ملاک پذیرش ⁦ΔCFI ≥ −۰٫۰۱۰⁩ و ⁦ΔRMSEA ≤ ۰٫۰۱۵⁩ بود (چونگ و رنسولد، ۲۰۰۲؛ چِن، ۲۰۰۷). میانگین‌های پنهان گروه دارای تجربهٔ زیان نسبت به گروه مبنا با خطای معیار والد (از هسین عددی) آزموده شد. تفاوت مسیرها با آزمون z روی ضرایب ناستاندارد دو مدل ساختاری جداگانه و با فاصلهٔ اطمینان خودگردان (۱۰۰۰ تکرار در هر گروه) سنجیده شد.</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در بخش یادگیری ماشین، ورودی‌ها نمرات عاملی روش رگرسیونی (وزن‌دار بر پایهٔ بارها و واریانس خطا) برای شش سازهٔ پیش‌بینی‌کننده به‌علاوهٔ تجربهٔ زیان، سابقه، سن، جنسیت، تحصیلات و لگاریتم ارزش سبد بود و هدف، نمرهٔ عاملی کیفیت تصمیم؛ هیچ میانگین ساده‌ای از گویه‌ها ساخته نشد. رگرسیون خطی (OLS)، جنگل تصادفی (RF) و تقویت گرادیان (GBM) با اعتبارسنجی متقاطع ۵ لایه‌ای تکراری ۱۰ بار مقایسه شدند. چون نمونه‌های اعتبارسنجی هم‌پوشان‌اند، از آزمون t اصلاح‌شدهٔ ندو و بنجیو</w:t>
      </w:r>
      <w:r>
        <w:rPr>
          <w:rStyle w:val="FootnoteReference"/>
          <w:rFonts w:ascii="Times New Roman" w:hAnsi="Times New Roman" w:cs="B Nazanin" w:eastAsia="Times New Roman"/>
          <w:sz w:val="26"/>
          <w:szCs w:val="26"/>
          <w:vertAlign w:val="superscript"/>
          <w:lang w:val="en-US" w:bidi="fa-IR"/>
        </w:rPr>
        <w:footnoteReference w:customMarkFollows="1" w:id="42"/>
      </w:r>
      <w:r>
        <w:rPr>
          <w:rFonts w:ascii="Times New Roman" w:hAnsi="Times New Roman" w:cs="B Nazanin" w:eastAsia="Times New Roman"/>
          <w:sz w:val="26"/>
          <w:szCs w:val="26"/>
          <w:vertAlign w:val="superscript"/>
          <w:lang w:val="en-US" w:bidi="fa-IR"/>
        </w:rPr>
        <w:t>۴۲</w:t>
      </w:r>
      <w:r>
        <w:rPr>
          <w:rFonts w:ascii="Times New Roman" w:hAnsi="Times New Roman" w:cs="B Nazanin" w:eastAsia="Times New Roman"/>
          <w:sz w:val="26"/>
          <w:szCs w:val="26"/>
          <w:lang w:val="en-US" w:bidi="fa-IR"/>
        </w:rPr>
        <w:t xml:space="preserve"> (۲۰۰۳) استفاده شد؛ ابرپارامترها از پیش و بدون جست‌وجوی گسترده ثابت شدند (برای داده‌ٔ واقعی، اعتبارسنجی تودرتو توصیه می‌شود) و از scikit-learn (پدرگوسا و همکاران</w:t>
      </w:r>
      <w:r>
        <w:rPr>
          <w:rStyle w:val="FootnoteReference"/>
          <w:rFonts w:ascii="Times New Roman" w:hAnsi="Times New Roman" w:cs="B Nazanin" w:eastAsia="Times New Roman"/>
          <w:sz w:val="26"/>
          <w:szCs w:val="26"/>
          <w:vertAlign w:val="superscript"/>
          <w:lang w:val="en-US" w:bidi="fa-IR"/>
        </w:rPr>
        <w:footnoteReference w:customMarkFollows="1" w:id="43"/>
      </w:r>
      <w:r>
        <w:rPr>
          <w:rFonts w:ascii="Times New Roman" w:hAnsi="Times New Roman" w:cs="B Nazanin" w:eastAsia="Times New Roman"/>
          <w:sz w:val="26"/>
          <w:szCs w:val="26"/>
          <w:vertAlign w:val="superscript"/>
          <w:lang w:val="en-US" w:bidi="fa-IR"/>
        </w:rPr>
        <w:t>۴۳</w:t>
      </w:r>
      <w:r>
        <w:rPr>
          <w:rFonts w:ascii="Times New Roman" w:hAnsi="Times New Roman" w:cs="B Nazanin" w:eastAsia="Times New Roman"/>
          <w:sz w:val="26"/>
          <w:szCs w:val="26"/>
          <w:lang w:val="en-US" w:bidi="fa-IR"/>
        </w:rPr>
        <w:t xml:space="preserve">، ۲۰۱۱) بهره گرفته شد. اهمیت متغیرها با SHAP، و هم‌خوانی آن با مدل ساختاری با همبستگی رتبه‌ای اسپیرمن سنجیده شد.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 یافته‌ها</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۴-۱. توصیف نمونه</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۳. مشخصات نمونه به تفکیک تجربهٔ زیان (شبیه‌سازی‌شده)</w:t>
      </w:r>
    </w:p>
    <w:tbl>
      <w:tblPr>
        <w:bidiVisual/>
        <w:tblW w:w="9000" w:type="dxa"/>
        <w:jc w:val="center"/>
        <w:tblLayout w:type="fixed"/>
        <w:tblCellMar>
          <w:left w:w="60" w:type="dxa"/>
          <w:right w:w="60" w:type="dxa"/>
        </w:tblCellMar>
      </w:tblPr>
      <w:tblGrid>
        <w:gridCol w:w="3600"/>
        <w:gridCol w:w="1700"/>
        <w:gridCol w:w="1850"/>
        <w:gridCol w:w="1850"/>
      </w:tblGrid>
      <w:tr>
        <w:trPr>
          <w:tblHeader/>
        </w:trPr>
        <w:tc>
          <w:tcPr>
            <w:tcW w:w="3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شاخص</w:t>
            </w:r>
          </w:p>
        </w:tc>
        <w:tc>
          <w:tcPr>
            <w:tcW w:w="1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کل نمونه</w:t>
            </w:r>
          </w:p>
        </w:tc>
        <w:tc>
          <w:tcPr>
            <w:tcW w:w="18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فاقد تجربهٔ زیان</w:t>
            </w:r>
          </w:p>
        </w:tc>
        <w:tc>
          <w:tcPr>
            <w:tcW w:w="18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دارای تجربهٔ زیان</w:t>
            </w:r>
          </w:p>
        </w:tc>
      </w:tr>
      <w:tr>
        <w:trPr>
          <w:cantSplit/>
        </w:trPr>
        <w:tc>
          <w:tcPr>
            <w:tcW w:w="3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تعداد</w:t>
            </w:r>
          </w:p>
        </w:tc>
        <w:tc>
          <w:tcPr>
            <w:tcW w:w="1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۴۴۲</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۲۶۹</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۱۷۳</w:t>
            </w:r>
          </w:p>
        </w:tc>
      </w:tr>
      <w:tr>
        <w:trPr>
          <w:cantSplit/>
        </w:trPr>
        <w:tc>
          <w:tcPr>
            <w:tcW w:w="3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مرد</w:t>
            </w:r>
          </w:p>
        </w:tc>
        <w:tc>
          <w:tcPr>
            <w:tcW w:w="1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۷۰٫۴٪</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۷۳٫۲٪</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۶۵٫۹٪</w:t>
            </w:r>
          </w:p>
        </w:tc>
      </w:tr>
      <w:tr>
        <w:trPr>
          <w:cantSplit/>
        </w:trPr>
        <w:tc>
          <w:tcPr>
            <w:tcW w:w="3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سن: میانگین (انحراف معیار)</w:t>
            </w:r>
          </w:p>
        </w:tc>
        <w:tc>
          <w:tcPr>
            <w:tcW w:w="1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۴۰٫۰ (۹٫۴)</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۴۰٫۵ (۹٫۷)</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۳۹٫۳ (۸٫۸)</w:t>
            </w:r>
          </w:p>
        </w:tc>
      </w:tr>
      <w:tr>
        <w:trPr>
          <w:cantSplit/>
        </w:trPr>
        <w:tc>
          <w:tcPr>
            <w:tcW w:w="3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سابقه: میانگین (انحراف معیار)</w:t>
            </w:r>
          </w:p>
        </w:tc>
        <w:tc>
          <w:tcPr>
            <w:tcW w:w="1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۹٫۳ (۵٫۲)</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۸٫۷ (۴٫۷)</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۱۰٫۳ (۵٫۸)</w:t>
            </w:r>
          </w:p>
        </w:tc>
      </w:tr>
      <w:tr>
        <w:trPr>
          <w:cantSplit/>
        </w:trPr>
        <w:tc>
          <w:tcPr>
            <w:tcW w:w="3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کارشناسی ارشد و بالاتر</w:t>
            </w:r>
          </w:p>
        </w:tc>
        <w:tc>
          <w:tcPr>
            <w:tcW w:w="1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۴۵٫۷٪</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۴۸٫۳٪</w:t>
            </w:r>
          </w:p>
        </w:tc>
        <w:tc>
          <w:tcPr>
            <w:tcW w:w="185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۴۱٫۶٪</w:t>
            </w:r>
          </w:p>
        </w:tc>
      </w:tr>
      <w:tr>
        <w:trPr>
          <w:cantSplit/>
        </w:trPr>
        <w:tc>
          <w:tcPr>
            <w:tcW w:w="3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میانهٔ ارزش سبد (میلیون تومان)</w:t>
            </w:r>
          </w:p>
        </w:tc>
        <w:tc>
          <w:tcPr>
            <w:tcW w:w="1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۲۰۴</w:t>
            </w:r>
          </w:p>
        </w:tc>
        <w:tc>
          <w:tcPr>
            <w:tcW w:w="18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۲۰۴</w:t>
            </w:r>
          </w:p>
        </w:tc>
        <w:tc>
          <w:tcPr>
            <w:tcW w:w="18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۲۰۶</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از ۴۴۲ سرمایه‌گذار، ۷۰٫۴٪ مرد بودند؛ میانگین سن ۴۰٫۰ سال و میانگین سابقهٔ معامله ۹٫۳ سال بود. چولگی گویه‌ها بین ⁦−۰٫۳۶⁩ و ۰٫۴۱ و کشیدگی بین ⁦−۰٫۷۸⁩ و ⁦−۰٫۴۶⁩ قرار داشت و کشیدگی چندمتغیرهٔ ماردیا ۱۱۳۶٫۳ در برابر مقدار مورد انتظار ۱۱۵۵ (⁦z = −۴٫۰۹⁩) بود. جدول ۴ آمار توصیفی هر گویه و بار عاملی استاندارد آن را بر متغیر پنهان مربوط نشان می‌دهد؛ بارها بین ۰٫۶۰ و ۰٫۸۷ و همگی معنادار بودند.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۴. آمار توصیفی گویه‌ها، بار عاملی استاندارد (λ) و واریانس تبیین‌شدهٔ گویه (λ²)</w:t>
      </w:r>
    </w:p>
    <w:tbl>
      <w:tblPr>
        <w:bidiVisual/>
        <w:tblW w:w="8500" w:type="dxa"/>
        <w:jc w:val="center"/>
        <w:tblLayout w:type="fixed"/>
        <w:tblCellMar>
          <w:left w:w="60" w:type="dxa"/>
          <w:right w:w="60" w:type="dxa"/>
        </w:tblCellMar>
      </w:tblPr>
      <w:tblGrid>
        <w:gridCol w:w="700"/>
        <w:gridCol w:w="3700"/>
        <w:gridCol w:w="700"/>
        <w:gridCol w:w="750"/>
        <w:gridCol w:w="700"/>
        <w:gridCol w:w="750"/>
        <w:gridCol w:w="600"/>
        <w:gridCol w:w="60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کد</w:t>
            </w:r>
          </w:p>
        </w:tc>
        <w:tc>
          <w:tcPr>
            <w:tcW w:w="3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گویه</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میانگین</w:t>
            </w:r>
          </w:p>
        </w:tc>
        <w:tc>
          <w:tcPr>
            <w:tcW w:w="7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انحراف معیار</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چولگی</w:t>
            </w:r>
          </w:p>
        </w:tc>
        <w:tc>
          <w:tcPr>
            <w:tcW w:w="7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کشیدگی</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λ</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19"/>
                <w:szCs w:val="19"/>
                <w:lang w:val="en-US" w:bidi="fa-IR"/>
              </w:rPr>
              <w:t xml:space="preserve">λ²</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SC۱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در شبکه‌های اجتماعی اغلب عملکرد سرمایه‌گذاری خود را با عملکرد دیگران مقایسه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۲٫۸۹</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SC۲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دوست دارم بدانم سرمایه‌گذاران دیگر در مقایسه با من چه بازدهی داشته‌اند.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۲٫۵۱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SC۳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وقتی می‌بینم آشنایی سود بیشتری کرده است، دربارهٔ عملکرد خودم زیاد فکر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SC۴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معمولاً سودهایی را که دیگران اعلام می‌کنند با نتایج خودم مقایسه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۰٫۴۳</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AR۱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اگر سهمی را نخرم و قیمتش بالا برود، احساس پشیمانی شدیدی خواهم داشت.</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AR۲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اگر سهمی را بفروشم و پس از آن رشد کند، به خودم سخت می‌گیرم.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۳٫۲۸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AR۳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اغلب فکر می‌کنم تصمیم دیگری می‌توانست نتیجهٔ بهتری داشته باشد.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۳٫۵۰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۰٫۵۰</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AR۴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پیش از تصمیم، از اینکه بعداً پشیمان شوم نگرانم.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۰٫۴۱</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هر روز محتوای مربوط به بورس و سرمایه‌گذاری را در شبکه‌های اجتماعی (تلگرام، اینستاگرام، ایتا، ایکس و مانند آن) دنبال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۳٫۴۰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⁦−۰٫۲۹⁩</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بخش قابل‌توجهی از وقتم در شبکه‌های اجتماعی صرف دیدن تحلیل‌ها و اخبار بازار سرمایه می‌شود.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۳٫۴۸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۱٫۰۶</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۰٫۵۳</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عضو چند کانال، گروه یا صفحهٔ سرمایه‌گذاری هستم و پیام‌های آن‌ها را مرتب می‌خوانم.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۱٫۱۲</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⁦−۰٫۰۹⁩</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تحلیل‌ها و نظرهای منتشرشده در شبکه‌های اجتماعی از منابع اصلی اطلاعات من دربارهٔ سهام است.</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۰٫۵۱</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SME۵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معمولاً محتوای سرمایه‌گذاری را با دیگران به اشتراک می‌گذارم یا دربارهٔ آن گفت‌وگو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وقتی می‌شنوم دیگران از یک سهم سود زیادی کرده‌اند، نگران می‌شوم که فرصت سودآوری را از دست داده‌ام.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۲٫۶۰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نگرانم سایر سرمایه‌گذاران فرصت‌های سودآورتری از من پیدا کنند.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۱٫۱۳</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وقتی گروهی از سرمایه‌گذاران آشنا سهمی را می‌خرند و من در آن نیستم، مضطرب می‌شوم.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۱٫۱۱</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اگر مدتی از جریان بازار و خبرهای آن دور باشم، احساس نگرانی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۱٫۰۹</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از اینکه فرصت ورود به یک سهم در حال رشد را از دست بدهم ناراحت می‌شوم.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۳٫۴۲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۱٫۱۲</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۰٫۴۱</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FOMO۶</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گاهی احساس می‌کنم اگر همین حالا وارد نشوم، دیگر خیلی دیر خواهد شد.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۱٫۱۲</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۰٫۴۳</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AL۱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می‌توانم ترازنامه و صورت سود و زیان را بخوانم و تفسیر 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۳٫۲۰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AL۲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تفاوت سود حسابداری و جریان نقد عملیاتی را می‌دانم.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۳٫۰۵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۱٫۱۲</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۰٫۶۲</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AL۳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اثر روش‌های مختلف حسابداری (مثلاً ارزیابی موجودی کالا یا استهلاک) بر سود گزارش‌شده را می‌شناسم.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۳٫۱۷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۰٫۴۲</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AL۴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می‌توانم یادداشت‌های توضیحی و گزارش حسابرس را درک 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۱٫۰۶</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۰٫۰۹</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⁦−۰٫۵۱⁩</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پیش از خرید یک سهم، صورت‌های مالی شرکت را بررسی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۲٫۹۳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۱٫۱۲</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۰٫۰۹</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۰٫۸۳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از اطلاعات منتشرشده در سامانهٔ کدال (مانند گزارش فعالیت ماهانه و اطلاعیه‌های بااهمیت) استفاده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۲٫۶۸</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۰٫۱۰</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۰٫۶۲</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سود هر سهم (EPS)، نسبت قیمت به سود (P/E) و سایر نسبت‌های مالی را در تصمیمم لحاظ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۲٫۵۴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۱٫۰۸</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۰٫۲۶</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⁦−۰٫۶۲⁩</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۰٫۵۴</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به گزارش حسابرس مستقل و یادداشت‌های توضیحی صورت‌های مالی توجه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۰٫۳۶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AIU۵</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کیفیت سود و جریان‌های نقدی شرکت را پیش از تصمیم ارزیابی می‌کنم.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۲٫۳۵</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۱٫۰۶</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⁦−۰٫۵۳⁩</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۰٫۴۵</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IDQ۱</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تصمیم‌های سرمایه‌گذاری من معمولاً بر تحلیل مستند استوارند.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۱٫۰۴</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⁦−۰٫۰۲⁩</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⁦−۰٫۵۹⁩</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IDQ۲</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از نتیجهٔ تصمیم‌های سرمایه‌گذاری خود در یک سال گذشته رضایت دارم.</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۲٫۶۷</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۱٫۰۴</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۰٫۷۵</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۰٫۵۶</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IDQ۳</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بازده سبد من در یک سال گذشته مطابق انتظارم بوده است.</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۲٫۵۱</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۱٫۰۱</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۰٫۱۴</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⁦−۰٫۶۰⁩</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۰٫۷۶</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IDQ۴</w:t>
            </w:r>
          </w:p>
        </w:tc>
        <w:tc>
          <w:tcPr>
            <w:tcW w:w="3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تصمیم‌های من با اهداف مالی بلندمدتم هم‌راستا هستند.</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۳٫۱۳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۱٫۱۰</w:t>
            </w:r>
          </w:p>
        </w:tc>
        <w:tc>
          <w:tcPr>
            <w:tcW w:w="7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⁦−۰٫۱۳⁩</w:t>
            </w:r>
          </w:p>
        </w:tc>
        <w:tc>
          <w:tcPr>
            <w:tcW w:w="75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⁦−۰٫۶۷⁩</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۰٫۶۴</w:t>
            </w:r>
          </w:p>
        </w:tc>
        <w:tc>
          <w:tcPr>
            <w:tcW w:w="600" w:type="dxa"/>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۰٫۴۱</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IDQ۵</w:t>
            </w:r>
          </w:p>
        </w:tc>
        <w:tc>
          <w:tcPr>
            <w:tcW w:w="3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به‌ندرت از تصمیم‌های معاملاتی خود پشیمان می‌شوم.</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۲٫۸۷</w:t>
            </w:r>
          </w:p>
        </w:tc>
        <w:tc>
          <w:tcPr>
            <w:tcW w:w="7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۱٫۰۷</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۰٫۰۳</w:t>
            </w:r>
          </w:p>
        </w:tc>
        <w:tc>
          <w:tcPr>
            <w:tcW w:w="7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⁦−۰٫۵۸⁩</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۰٫۶۹</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19"/>
                <w:szCs w:val="19"/>
                <w:lang w:val="en-US" w:bidi="fa-IR"/>
              </w:rPr>
              <w:t xml:space="preserve">۰٫۴۸</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۴-۲. مدل اندازه‌گیری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مدل اندازه‌گیری هفت‌عاملی و مدل ساختاری هر دو برازش مطلوبی داشتند (جدول ۵: ⁦CFI &gt; ۰٫۹۵⁩؛ ⁦RMSEA &lt; ۰٫۰۶⁩؛ ⁦SRMR &lt; ۰٫۰۸⁩) در حالی‌که مدل تک‌عاملی برازش ضعیف داشت و عامل اول هارمن ۲۰٫۱٪ از واریانس را تبیین کرد؛ بنابراین سوگیری روش مشترک تهدید جدی نیست.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۵. شاخص‌های برازش</w:t>
      </w:r>
    </w:p>
    <w:tbl>
      <w:tblPr>
        <w:bidiVisual/>
        <w:tblW w:w="8100" w:type="dxa"/>
        <w:jc w:val="center"/>
        <w:tblLayout w:type="fixed"/>
        <w:tblCellMar>
          <w:left w:w="60" w:type="dxa"/>
          <w:right w:w="60" w:type="dxa"/>
        </w:tblCellMar>
      </w:tblPr>
      <w:tblGrid>
        <w:gridCol w:w="2500"/>
        <w:gridCol w:w="900"/>
        <w:gridCol w:w="600"/>
        <w:gridCol w:w="800"/>
        <w:gridCol w:w="800"/>
        <w:gridCol w:w="800"/>
        <w:gridCol w:w="900"/>
        <w:gridCol w:w="800"/>
      </w:tblGrid>
      <w:tr>
        <w:trPr>
          <w:tblHeader/>
        </w:trPr>
        <w:tc>
          <w:tcPr>
            <w:tcW w:w="2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مدل</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χ²</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df</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χ²/df</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CFI</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TLI</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RMSEA</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SRMR</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CFA هفت‌عاملی</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۶۱۲٫۸</w:t>
            </w:r>
          </w:p>
        </w:tc>
        <w:tc>
          <w:tcPr>
            <w:tcW w:w="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۴۷۴</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۱٫۲۹</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۰٫۹۷۷</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۰٫۹۷۴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۰٫۰۲۶</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۰٫۰۴۲</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مدل ساختاری</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۷۴۶٫۸</w:t>
            </w:r>
          </w:p>
        </w:tc>
        <w:tc>
          <w:tcPr>
            <w:tcW w:w="6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۵۴۶</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۱٫۳۷</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۰٫۹۶۷</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۰٫۹۶۴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۰٫۰۲۹</w:t>
            </w:r>
          </w:p>
        </w:tc>
        <w:tc>
          <w:tcPr>
            <w:tcW w:w="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۰٫۰۴۸</w:t>
            </w:r>
          </w:p>
        </w:tc>
      </w:tr>
      <w:tr>
        <w:trPr>
          <w:cantSplit/>
        </w:trPr>
        <w:tc>
          <w:tcPr>
            <w:tcW w:w="2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مدل تک‌عاملی (هارمن)</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۴۴۳۱٫۵</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۴۹۵</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۸٫۹۵</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۰٫۳۴۰</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۰٫۲۹۶</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۰٫۱۳۴</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۰٫۱۵۳</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آلفا و پایایی ترکیبی همهٔ سازه‌ها بالاتر از ۰٫۷۰ و AVE در بازهٔ ۰٫۴۹ تا ۰٫۵۷ است (جدول ۶). در جدول ۷، جذر AVE هر سازه از همبستگی‌های پنهان آن بزرگ‌تر و بیشینهٔ HTMT برابر ۰٫۵۶ (کمتر از ۰٫۸۵) است؛ پایایی و روایی همگرا و واگرا پذیرفتنی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۶. پایایی و روایی همگرا</w:t>
      </w:r>
    </w:p>
    <w:tbl>
      <w:tblPr>
        <w:bidiVisual/>
        <w:tblW w:w="8100" w:type="dxa"/>
        <w:jc w:val="center"/>
        <w:tblLayout w:type="fixed"/>
        <w:tblCellMar>
          <w:left w:w="60" w:type="dxa"/>
          <w:right w:w="60" w:type="dxa"/>
        </w:tblCellMar>
      </w:tblPr>
      <w:tblGrid>
        <w:gridCol w:w="3400"/>
        <w:gridCol w:w="700"/>
        <w:gridCol w:w="1000"/>
        <w:gridCol w:w="1000"/>
        <w:gridCol w:w="1000"/>
        <w:gridCol w:w="1000"/>
      </w:tblGrid>
      <w:tr>
        <w:trPr>
          <w:tblHeader/>
        </w:trPr>
        <w:tc>
          <w:tcPr>
            <w:tcW w:w="3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سازه</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گویه</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آلفا</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CR</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AVE</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√AVE</w:t>
            </w:r>
          </w:p>
        </w:tc>
      </w:tr>
      <w:tr>
        <w:trPr>
          <w:cantSplit/>
        </w:trPr>
        <w:tc>
          <w:tcPr>
            <w:tcW w:w="3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مقایسهٔ اجتماعی (SC)</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۰٫۸۲۸</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۰٫۸۳۲</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۰٫۵۵۶</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۰٫۷۴۶</w:t>
            </w:r>
          </w:p>
        </w:tc>
      </w:tr>
      <w:tr>
        <w:trPr>
          <w:cantSplit/>
        </w:trPr>
        <w:tc>
          <w:tcPr>
            <w:tcW w:w="3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پشیمانی پیش‌بینی‌شده (AR)</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۰٫۸۲۶</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۰٫۸۳۰</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۰٫۵۵۲</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۰٫۷۴۳</w:t>
            </w:r>
          </w:p>
        </w:tc>
      </w:tr>
      <w:tr>
        <w:trPr>
          <w:cantSplit/>
        </w:trPr>
        <w:tc>
          <w:tcPr>
            <w:tcW w:w="3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با محتوای شبکه‌ها (SME)</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۰٫۸۲۴</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۰٫۸۲۵</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۰٫۴۸۷</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۰٫۶۹۸</w:t>
            </w:r>
          </w:p>
        </w:tc>
      </w:tr>
      <w:tr>
        <w:trPr>
          <w:cantSplit/>
        </w:trPr>
        <w:tc>
          <w:tcPr>
            <w:tcW w:w="3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(FOMO)</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۶</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۰٫۸۵۶</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۰٫۸۵۹</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۰٫۵۰۵</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۰٫۷۱۱</w:t>
            </w:r>
          </w:p>
        </w:tc>
      </w:tr>
      <w:tr>
        <w:trPr>
          <w:cantSplit/>
        </w:trPr>
        <w:tc>
          <w:tcPr>
            <w:tcW w:w="3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سواد حسابداری (AL)</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۴</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۰٫۸۳۸</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۰٫۸۴۲</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۰٫۵۷۴</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۰٫۷۵۷</w:t>
            </w:r>
          </w:p>
        </w:tc>
      </w:tr>
      <w:tr>
        <w:trPr>
          <w:cantSplit/>
        </w:trPr>
        <w:tc>
          <w:tcPr>
            <w:tcW w:w="3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استفاده از اطلاعات حسابداری (AIU)</w:t>
            </w:r>
          </w:p>
        </w:tc>
        <w:tc>
          <w:tcPr>
            <w:tcW w:w="7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۰٫۸۴۵</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۰٫۸۴۸</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۰٫۵۳۰</w:t>
            </w:r>
          </w:p>
        </w:tc>
        <w:tc>
          <w:tcPr>
            <w:tcW w:w="10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۰٫۷۲۸</w:t>
            </w:r>
          </w:p>
        </w:tc>
      </w:tr>
      <w:tr>
        <w:trPr>
          <w:cantSplit/>
        </w:trPr>
        <w:tc>
          <w:tcPr>
            <w:tcW w:w="3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کیفیت تصمیم (IDQ)</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۵</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۰٫۸۴۰</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۰٫۸۴۲</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۰٫۵۱۶</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۰٫۷۱۹</w:t>
            </w:r>
          </w:p>
        </w:tc>
      </w:tr>
    </w:tbl>
    <w:p>
      <w:pPr>
        <w:bidi/>
        <w:spacing w:before="0" w:after="100" w:line="240" w:lineRule="auto"/>
        <w:ind w:firstLine="360"/>
        <w:jc w:val="both"/>
      </w:pP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۷. روایی واگرا: همبستگی پنهان (زیر قطر)، √AVE (قطر) و HTMT (بالای قطر)</w:t>
      </w:r>
    </w:p>
    <w:tbl>
      <w:tblPr>
        <w:bidiVisual/>
        <w:tblW w:w="8100" w:type="dxa"/>
        <w:jc w:val="center"/>
        <w:tblLayout w:type="fixed"/>
        <w:tblCellMar>
          <w:left w:w="60" w:type="dxa"/>
          <w:right w:w="60" w:type="dxa"/>
        </w:tblCellMar>
      </w:tblPr>
      <w:tblGrid>
        <w:gridCol w:w="2500"/>
        <w:gridCol w:w="800"/>
        <w:gridCol w:w="800"/>
        <w:gridCol w:w="800"/>
        <w:gridCol w:w="800"/>
        <w:gridCol w:w="800"/>
        <w:gridCol w:w="800"/>
        <w:gridCol w:w="800"/>
      </w:tblGrid>
      <w:tr>
        <w:trPr>
          <w:tblHeader/>
        </w:trPr>
        <w:tc>
          <w:tcPr>
            <w:tcW w:w="2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سازه</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۱</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۲</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۳</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۴</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۵</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۶</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۷</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مقایسهٔ اجتماعی (SC)</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۰٫۷۴۶</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۰٫۴۲</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۰٫۰۷</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۰٫۰۶</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پشیمانی پیش‌بینی‌شده (AR)</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۰٫۷۴۳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۰٫۱۱</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مواجهه با محتوای شبکه‌ها (SME)</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۰٫۶۹۸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۰٫۲۷</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فومو (FOMO)</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۰٫۴۲</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۰٫۴۵</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۰٫۷۱۱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۰٫۱۲</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۰٫۳۹</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سواد حسابداری (AL)</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۰٫۰۹</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۰٫۷۵۷</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۰٫۵۶</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۰٫۱۷</w:t>
            </w:r>
          </w:p>
        </w:tc>
      </w:tr>
      <w:tr>
        <w:trPr>
          <w:cantSplit/>
        </w:trPr>
        <w:tc>
          <w:tcPr>
            <w:tcW w:w="25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استفاده از اطلاعات حسابداری (AIU)</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۰٫۵۳</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۰٫۷۲۸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۰٫۳۸</w:t>
            </w:r>
          </w:p>
        </w:tc>
      </w:tr>
      <w:tr>
        <w:trPr>
          <w:cantSplit/>
        </w:trPr>
        <w:tc>
          <w:tcPr>
            <w:tcW w:w="2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کیفیت تصمیم (IDQ)</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⁦−۰٫۰۸⁩</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⁦−۰٫۲۷⁩</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⁦−۰٫۳۹⁩</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۰٫۱۶</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۰٫۳۷</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۰٫۷۱۹</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۴-۳. مدل ساختاری و اثرهای غیرمستقیم</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مقایسهٔ اجتماعی (⁦β = ۰٫۲۷⁩، ⁦z = ۵٫۱۵⁩، ⁦p &lt; ۰٫۰۰۱⁩) و پشیمانی پیش‌بینی‌شده (⁦β = ۰٫۲۳⁩، ⁦z = ۴٫۴۴⁩، ⁦p &lt; ۰٫۰۰۱⁩) فومو را افزایش دادند (فرضیه‌های ۱ و ۲). مواجهه با محتوای شبکه‌ها استفاده از اطلاعات حسابداری را کاهش داد (⁦β = −۰٫۲۴⁩، ⁦z = −۴٫۸۰⁩، ⁦p &lt; ۰٫۰۰۱⁩؛ فرضیهٔ ۳) و سواد حسابداری آن را افزایش داد (⁦β = ۰٫۵۰⁩، ⁦z = ۹٫۵۳⁩، ⁦p &lt; ۰٫۰۰۱⁩؛ فرضیهٔ ۴). فومو کیفیت تصمیم را کاهش داد (⁦β = −۰٫۳۸⁩، ⁦z = −۶٫۸۵⁩، ⁦p &lt; ۰٫۰۰۱⁩؛ فرضیهٔ ۵) و استفاده از اطلاعات حسابداری آن را افزایش داد (⁦β = ۰٫۳۱⁩، ⁦z = ۴٫۸۶⁩، ⁦p &lt; ۰٫۰۰۱⁩؛ فرضیهٔ ۶). اثر مستقیم سواد حسابداری بر کیفیت تصمیم معنادار نبود (⁦β = ۰٫۰۲⁩؛ p = ۰٫۷۴۸)، یعنی اثر آن عمدتاً از راه استفادهٔ عملی از اطلاعات حسابداری منتقل می‌شود. تجربهٔ زیان فومو را بالاتر برد (⁦β = ۰٫۲۰⁩). مدل ۴۱٪ از واریانس فومو، ۳۴٪ از واریانس استفاده از اطلاعات حسابداری و ۲۷٪ از واریانس کیفیت تصمیم را تبیین کرد (⁦R² = ۰٫۴۱⁩؛ ⁦R² = ۰٫۳۴⁩؛ ⁦R² = ۰٫۲۷⁩). شکل ۲ مدل برآوردشده را با همهٔ گویه‌ها و بارهای عاملی استاندارد نشان می‌دهد.</w:t>
      </w:r>
    </w:p>
    <w:p>
      <w:pPr>
        <w:keepNext/>
        <w:jc w:val="center"/>
      </w:pPr>
      <w:r>
        <w:drawing>
          <wp:inline distT="0" distB="0" distL="0" distR="0">
            <wp:extent cx="4896000" cy="5435009"/>
            <wp:docPr id="2" name="Figure 2"/>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4896000" cy="5435009"/>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۲. مدل معادلات ساختاری برآوردشده با متغیرهای پنهان، گویه‌ها و ضرایب استاندارد (یافتهٔ پژوهشگر)</w:t>
      </w:r>
    </w:p>
    <w:p>
      <w:pPr>
        <w:bidi/>
        <w:spacing w:before="0" w:after="50" w:line="240" w:lineRule="auto"/>
        <w:jc w:val="both"/>
      </w:pPr>
      <w:r>
        <w:rPr>
          <w:rFonts w:ascii="Times New Roman" w:hAnsi="Times New Roman" w:cs="B Nazanin" w:eastAsia="Times New Roman"/>
          <w:sz w:val="22"/>
          <w:szCs w:val="22"/>
          <w:lang w:val="en-US" w:bidi="fa-IR"/>
        </w:rPr>
        <w:t xml:space="preserve">توضیح شکل: بیضی‌ها متغیرهای پنهان (نام فارسی و نماد لاتین) و مستطیل‌ها گویه‌ها هستند؛ اعداد روی پیکان‌ها بارهای عاملی استاندارد و ضرایب مسیر استاندارد (∗∗∗ ‏p &lt; ۰٫۰۰۱) است. متغیرهای کنترل، خطاهای اندازه‌گیری، همبستگی میان سازه‌های برون‌زا و مسیرهای غیرمعنادار برای وضوح نشان داده نشده‌اند.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۸. ضرایب مسیر ساختاری</w:t>
      </w:r>
    </w:p>
    <w:tbl>
      <w:tblPr>
        <w:bidiVisual/>
        <w:tblW w:w="9000" w:type="dxa"/>
        <w:jc w:val="center"/>
        <w:tblLayout w:type="fixed"/>
        <w:tblCellMar>
          <w:left w:w="60" w:type="dxa"/>
          <w:right w:w="60" w:type="dxa"/>
        </w:tblCellMar>
      </w:tblPr>
      <w:tblGrid>
        <w:gridCol w:w="3300"/>
        <w:gridCol w:w="700"/>
        <w:gridCol w:w="800"/>
        <w:gridCol w:w="800"/>
        <w:gridCol w:w="850"/>
        <w:gridCol w:w="800"/>
        <w:gridCol w:w="900"/>
        <w:gridCol w:w="850"/>
      </w:tblGrid>
      <w:tr>
        <w:trPr>
          <w:tblHeader/>
        </w:trPr>
        <w:tc>
          <w:tcPr>
            <w:tcW w:w="33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مسیر</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فرضیه</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b</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β</w:t>
            </w:r>
          </w:p>
        </w:tc>
        <w:tc>
          <w:tcPr>
            <w:tcW w:w="8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خطای معیار</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z</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p</w:t>
            </w:r>
          </w:p>
        </w:tc>
        <w:tc>
          <w:tcPr>
            <w:tcW w:w="8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1"/>
                <w:szCs w:val="21"/>
                <w:lang w:val="en-US" w:bidi="fa-IR"/>
              </w:rPr>
              <w:t xml:space="preserve">معناداری</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مقایسهٔ اجتماعی ← فومو</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۱</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۰٫۲۷۵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۰٫۲۷۱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۵٫۱۵</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پشیمانی پیش‌بینی‌شده ← فومو</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۲</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۰٫۲۳۹</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۰٫۲۳۳</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۴٫۴۴</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مواجهه ← استفاده از اطلاعات حسابداری</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⁦−۰٫۲۷۰⁩</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⁦−۰٫۲۴۲⁩</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۰٫۰۵۶</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⁦−۴٫۸۰⁩</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سواد حسابداری ← استفاده از اطلاعات حسابداری</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۰٫۴۸۴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۰٫۵۰۰</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۰٫۰۵۱</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۹٫۵۳</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فومو ← کیفیت تصمیم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⁦−۰٫۳۲۴⁩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⁦−۰٫۳۷۵⁩</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۰٫۰۴۷</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⁦−۶٫۸۵⁩</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استفاده از اطلاعات حسابداری ← کیفیت تصمیم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۶</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۰٫۲۶۳</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۰٫۳۱۵</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۰٫۰۵۴</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۴٫۸۶</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مواجهه ← فومو (کنترلی)</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۰٫۳۸۵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۰٫۳۵۶</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۰٫۰۵۵</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۶٫۹۷</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r>
        <w:trPr>
          <w:cantSplit/>
        </w:trPr>
        <w:tc>
          <w:tcPr>
            <w:tcW w:w="33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سواد حسابداری ← کیفیت تصمیم (مستقیم)</w:t>
            </w:r>
          </w:p>
        </w:tc>
        <w:tc>
          <w:tcPr>
            <w:tcW w:w="7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۰٫۰۱۶</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۰٫۰۲۰</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۰٫۰۵۰</w:t>
            </w:r>
          </w:p>
        </w:tc>
        <w:tc>
          <w:tcPr>
            <w:tcW w:w="8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۰٫۳۲</w:t>
            </w:r>
          </w:p>
        </w:tc>
        <w:tc>
          <w:tcPr>
            <w:tcW w:w="90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 ۰٫۷۴۸</w:t>
            </w:r>
          </w:p>
        </w:tc>
        <w:tc>
          <w:tcPr>
            <w:tcW w:w="850" w:type="dxa"/>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ns</w:t>
            </w:r>
          </w:p>
        </w:tc>
      </w:tr>
      <w:tr>
        <w:trPr>
          <w:cantSplit/>
        </w:trPr>
        <w:tc>
          <w:tcPr>
            <w:tcW w:w="33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تجربهٔ زیان ← فومو (کنترلی)</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۰٫۳۷۱</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۰٫۲۰۲</w:t>
            </w:r>
          </w:p>
        </w:tc>
        <w:tc>
          <w:tcPr>
            <w:tcW w:w="8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۰٫۰۷۸</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۴٫۷۷</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⁦p &lt; ۰٫۰۰۱⁩</w:t>
            </w:r>
          </w:p>
        </w:tc>
        <w:tc>
          <w:tcPr>
            <w:tcW w:w="8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1"/>
                <w:szCs w:val="21"/>
                <w:lang w:val="en-US" w:bidi="fa-IR"/>
              </w:rPr>
              <w:t xml:space="preserve">∗∗∗</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معناداری: ∗∗∗ ‏p&lt;۰٫۰۰۱، ∗∗ ‏p&lt;۰٫۰۱، ∗ ‏p&lt;۰٫۰۵؛ متغیرهای کنترل: تجربهٔ زیان و سابقه.</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۹. اثرهای غیرمستقیم و کل استاندارد (خودگردان‌سازی ۹۵٪)</w:t>
      </w:r>
    </w:p>
    <w:tbl>
      <w:tblPr>
        <w:bidiVisual/>
        <w:tblW w:w="8500" w:type="dxa"/>
        <w:jc w:val="center"/>
        <w:tblLayout w:type="fixed"/>
        <w:tblCellMar>
          <w:left w:w="60" w:type="dxa"/>
          <w:right w:w="60" w:type="dxa"/>
        </w:tblCellMar>
      </w:tblPr>
      <w:tblGrid>
        <w:gridCol w:w="4400"/>
        <w:gridCol w:w="1100"/>
        <w:gridCol w:w="2100"/>
        <w:gridCol w:w="900"/>
      </w:tblGrid>
      <w:tr>
        <w:trPr>
          <w:tblHeader/>
        </w:trPr>
        <w:tc>
          <w:tcPr>
            <w:tcW w:w="4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مسیر</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برآورد</w:t>
            </w:r>
          </w:p>
        </w:tc>
        <w:tc>
          <w:tcPr>
            <w:tcW w:w="2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فاصلهٔ اطمینان</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معنادار</w:t>
            </w:r>
          </w:p>
        </w:tc>
      </w:tr>
      <w:tr>
        <w:trPr>
          <w:cantSplit/>
        </w:trPr>
        <w:tc>
          <w:tcPr>
            <w:tcW w:w="4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مقایسهٔ اجتماعی ← فومو ← کیفیت تصمیم</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⁦−۰٫۱۰۲⁩</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[⁦−۰٫۱۵۷⁩، ⁦−۰٫۰۵۵⁩]</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پشیمانی پیش‌بینی‌شده ← فومو ← کیفیت تصمیم</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⁦−۰٫۰۸۷⁩</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[⁦−۰٫۱۳۷⁩، ⁦−۰٫۰۴۱⁩]</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فومو ← کیفیت تصمیم</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⁦−۰٫۱۳۴⁩</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[⁦−۰٫۱۹۱⁩، ⁦−۰٫۰۸۱⁩]</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 استفاده از اطلاعات حسابداری ← کیفیت تصمیم</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⁦−۰٫۰۷۶⁩</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[⁦−۰٫۱۲۱⁩، ⁦−۰٫۰۳۷⁩]</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سواد حسابداری ← استفاده از اطلاعات حسابداری ← کیفیت تصمیم</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۰٫۱۵۷</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[۰٫۰۸۸، ۰٫۲۳۴]</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اثر کل مواجهه</w:t>
            </w:r>
          </w:p>
        </w:tc>
        <w:tc>
          <w:tcPr>
            <w:tcW w:w="1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⁦−۰٫۲۱۰⁩</w:t>
            </w:r>
          </w:p>
        </w:tc>
        <w:tc>
          <w:tcPr>
            <w:tcW w:w="21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[⁦−۰٫۲۷۲⁩، ⁦−۰٫۱۴۹⁩]</w:t>
            </w:r>
          </w:p>
        </w:tc>
        <w:tc>
          <w:tcPr>
            <w:tcW w:w="9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r>
        <w:trPr>
          <w:cantSplit/>
        </w:trPr>
        <w:tc>
          <w:tcPr>
            <w:tcW w:w="4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اثر کل سواد حسابداری</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۰٫۱۷۷</w:t>
            </w:r>
          </w:p>
        </w:tc>
        <w:tc>
          <w:tcPr>
            <w:tcW w:w="2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[۰٫۰۶۴، ۰٫۲۸۴]</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بله</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همهٔ اثرهای غیرمستقیم معنادار بودند (فرضیهٔ ۷). اثر کل مواجهه با محتوا بر کیفیت تصمیم منفی (⁦−۰٫۲۱۰⁩) و از دو مسیر مکمل منتقل می‌شود: افزایش فومو و کاهش استفاده از اطلاعات حسابداری؛ یعنی مواجهه هم از راه هیجان و هم از راه جایگزینی اطلاعاتی به تصمیم آسیب می‌زند. اثر کل سواد حسابداری مثبت (۰٫۱۷۷) و تقریباً کاملاً غیرمستقیم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۴-۴. ناوردایی اندازه‌گیری و تفاوت مسیرها بر پایهٔ تجربهٔ زیان</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۱۰. آزمون ناوردایی اندازه‌گیری میان گروه‌های بدون و دارای تجربهٔ زیان</w:t>
      </w:r>
    </w:p>
    <w:tbl>
      <w:tblPr>
        <w:bidiVisual/>
        <w:tblW w:w="8500" w:type="dxa"/>
        <w:jc w:val="center"/>
        <w:tblLayout w:type="fixed"/>
        <w:tblCellMar>
          <w:left w:w="60" w:type="dxa"/>
          <w:right w:w="60" w:type="dxa"/>
        </w:tblCellMar>
      </w:tblPr>
      <w:tblGrid>
        <w:gridCol w:w="1800"/>
        <w:gridCol w:w="1000"/>
        <w:gridCol w:w="700"/>
        <w:gridCol w:w="900"/>
        <w:gridCol w:w="1000"/>
        <w:gridCol w:w="1000"/>
        <w:gridCol w:w="1000"/>
        <w:gridCol w:w="1100"/>
      </w:tblGrid>
      <w:tr>
        <w:trPr>
          <w:tblHeader/>
        </w:trPr>
        <w:tc>
          <w:tcPr>
            <w:tcW w:w="1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مدل</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χ²</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df</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CFI</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RMSEA</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SRMR</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ΔCFI</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ΔRMSEA</w:t>
            </w:r>
          </w:p>
        </w:tc>
      </w:tr>
      <w:tr>
        <w:trPr>
          <w:cantSplit/>
        </w:trPr>
        <w:tc>
          <w:tcPr>
            <w:tcW w:w="1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پیکربندی</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۱۱۳۸٫۶</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۹۴۸</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۰٫۹۶۸</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۰٫۰۳۰</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۰٫۰۵۳</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r>
      <w:tr>
        <w:trPr>
          <w:cantSplit/>
        </w:trPr>
        <w:tc>
          <w:tcPr>
            <w:tcW w:w="18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متریک</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۱۱۵۷٫۴</w:t>
            </w:r>
          </w:p>
        </w:tc>
        <w:tc>
          <w:tcPr>
            <w:tcW w:w="7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۹۷۴</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۰٫۹۶۹</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۰٫۰۲۹</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۰٫۰۵۵</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۰٫۰۰۱</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⁦−۰٫۰۰۱⁩</w:t>
            </w:r>
          </w:p>
        </w:tc>
      </w:tr>
      <w:tr>
        <w:trPr>
          <w:cantSplit/>
        </w:trPr>
        <w:tc>
          <w:tcPr>
            <w:tcW w:w="1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اسکالر</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۱۲۰۹٫۰</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۱۰۰۰</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۰٫۹۶۵</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۰٫۰۳۱</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۰٫۰۵۵</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⁦−۰٫۰۰۴⁩</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۰٫۰۰۲</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گروه بدون تجربهٔ زیان ۲۶۹ نفر و گروه دارای تجربهٔ زیان ۱۷۳ نفر.</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مدل پیکربندی برازش مطلوب داشت و افزودن قید برابری بارها (⁦ΔCFI = ۰٫۰۰۱⁩) و سپس برابری عرض از مبدأها (⁦ΔCFI = −۰٫۰۰۴⁩؛ ⁦ΔRMSEA = ۰٫۰۰۲⁩) از آستانه‌های توصیه‌شده فراتر نرفت؛ بنابراین ناوردایی اسکالر کامل پذیرفته می‌شود (فرضیهٔ ۸) و مقایسهٔ میانگین‌های پنهان و مسیرها مجاز است. جدول ۱۱ نشان می‌دهد گروه دارای تجربهٔ زیان میانگین پنهان بالاتری در فومو (⁦d = ۰٫۵۲⁩) و پشیمانی پیش‌بینی‌شده (⁦d = ۰٫۵۲⁩) دارد و در سازه‌های دیگر تفاوت معناداری دیده نمی‌شود.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۱۱. میانگین‌های پنهان گروه دارای تجربهٔ زیان نسبت به گروه فاقد (مدل اسکالر)</w:t>
      </w:r>
    </w:p>
    <w:tbl>
      <w:tblPr>
        <w:bidiVisual/>
        <w:tblW w:w="9000" w:type="dxa"/>
        <w:jc w:val="center"/>
        <w:tblLayout w:type="fixed"/>
        <w:tblCellMar>
          <w:left w:w="60" w:type="dxa"/>
          <w:right w:w="60" w:type="dxa"/>
        </w:tblCellMar>
      </w:tblPr>
      <w:tblGrid>
        <w:gridCol w:w="3200"/>
        <w:gridCol w:w="1500"/>
        <w:gridCol w:w="1100"/>
        <w:gridCol w:w="900"/>
        <w:gridCol w:w="1100"/>
        <w:gridCol w:w="1200"/>
      </w:tblGrid>
      <w:tr>
        <w:trPr>
          <w:tblHeader/>
        </w:trPr>
        <w:tc>
          <w:tcPr>
            <w:tcW w:w="3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سازه</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تفاوت میانگین پنهان</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خطای معیار</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z</w:t>
            </w:r>
          </w:p>
        </w:tc>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p</w:t>
            </w:r>
          </w:p>
        </w:tc>
        <w:tc>
          <w:tcPr>
            <w:tcW w:w="12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d استاندارد</w:t>
            </w:r>
          </w:p>
        </w:tc>
      </w:tr>
      <w:tr>
        <w:trPr>
          <w:cantSplit/>
        </w:trPr>
        <w:tc>
          <w:tcPr>
            <w:tcW w:w="3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مقایسهٔ اجتماعی (SC)</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⁦−۰٫۰۰۰⁩</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۰٫۰۹۵</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۰٫۹۹۷</w:t>
            </w:r>
          </w:p>
        </w:tc>
        <w:tc>
          <w:tcPr>
            <w:tcW w:w="1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⁦−۰٫۰۰⁩</w:t>
            </w:r>
          </w:p>
        </w:tc>
      </w:tr>
      <w:tr>
        <w:trPr>
          <w:cantSplit/>
        </w:trPr>
        <w:tc>
          <w:tcPr>
            <w:tcW w:w="3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پشیمانی پیش‌بینی‌شده (AR)</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۰٫۴۳۶</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۰٫۰۹۱</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۴٫۸۱</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&lt; ۰٫۰۰۱⁩</w:t>
            </w:r>
          </w:p>
        </w:tc>
        <w:tc>
          <w:tcPr>
            <w:tcW w:w="1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۰٫۵۲</w:t>
            </w:r>
          </w:p>
        </w:tc>
      </w:tr>
      <w:tr>
        <w:trPr>
          <w:cantSplit/>
        </w:trPr>
        <w:tc>
          <w:tcPr>
            <w:tcW w:w="3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مواجهه با محتوای شبکه‌ها (SME)</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⁦−۰٫۰۵۷⁩</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۰٫۰۹۰</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⁦−۰٫۶۴⁩</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۰٫۵۲۵</w:t>
            </w:r>
          </w:p>
        </w:tc>
        <w:tc>
          <w:tcPr>
            <w:tcW w:w="1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⁦−۰٫۰۷⁩</w:t>
            </w:r>
          </w:p>
        </w:tc>
      </w:tr>
      <w:tr>
        <w:trPr>
          <w:cantSplit/>
        </w:trPr>
        <w:tc>
          <w:tcPr>
            <w:tcW w:w="3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فومو (FOMO)</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۰٫۴۵۲</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۰٫۰۹۳</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۴٫۸۶</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&lt; ۰٫۰۰۱⁩</w:t>
            </w:r>
          </w:p>
        </w:tc>
        <w:tc>
          <w:tcPr>
            <w:tcW w:w="1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۰٫۵۲</w:t>
            </w:r>
          </w:p>
        </w:tc>
      </w:tr>
      <w:tr>
        <w:trPr>
          <w:cantSplit/>
        </w:trPr>
        <w:tc>
          <w:tcPr>
            <w:tcW w:w="3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سواد حسابداری (AL)</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۰٫۱۰۴</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۰٫۱۰۰</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۱٫۰۴</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۰٫۳۰۱</w:t>
            </w:r>
          </w:p>
        </w:tc>
        <w:tc>
          <w:tcPr>
            <w:tcW w:w="1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۰٫۱۱</w:t>
            </w:r>
          </w:p>
        </w:tc>
      </w:tr>
      <w:tr>
        <w:trPr>
          <w:cantSplit/>
        </w:trPr>
        <w:tc>
          <w:tcPr>
            <w:tcW w:w="3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استفاده از اطلاعات حسابداری (AIU)</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۰٫۰۲۵</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۰٫۰۹۷</w:t>
            </w:r>
          </w:p>
        </w:tc>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۰٫۲۶</w:t>
            </w:r>
          </w:p>
        </w:tc>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۰٫۷۹۴</w:t>
            </w:r>
          </w:p>
        </w:tc>
        <w:tc>
          <w:tcPr>
            <w:tcW w:w="12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۰٫۰۳</w:t>
            </w:r>
          </w:p>
        </w:tc>
      </w:tr>
      <w:tr>
        <w:trPr>
          <w:cantSplit/>
        </w:trPr>
        <w:tc>
          <w:tcPr>
            <w:tcW w:w="3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کیفیت تصمیم (IDQ)</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⁦−۰٫۰۱۳⁩</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۰٫۰۸۴</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⁦−۰٫۱۶⁩</w:t>
            </w:r>
          </w:p>
        </w:tc>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۰٫۸۷۶</w:t>
            </w:r>
          </w:p>
        </w:tc>
        <w:tc>
          <w:tcPr>
            <w:tcW w:w="12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⁦−۰٫۰۲⁩</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میانگین پنهان گروه فاقد تجربهٔ زیان برای شناسایی صفر در نظر گرفته شده است.</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۱۲. مقایسهٔ ضرایب ناستاندارد مسیر میان دو گروه</w:t>
      </w:r>
    </w:p>
    <w:tbl>
      <w:tblPr>
        <w:bidiVisual/>
        <w:tblW w:w="9000" w:type="dxa"/>
        <w:jc w:val="center"/>
        <w:tblLayout w:type="fixed"/>
        <w:tblCellMar>
          <w:left w:w="60" w:type="dxa"/>
          <w:right w:w="60" w:type="dxa"/>
        </w:tblCellMar>
      </w:tblPr>
      <w:tblGrid>
        <w:gridCol w:w="3000"/>
        <w:gridCol w:w="950"/>
        <w:gridCol w:w="950"/>
        <w:gridCol w:w="800"/>
        <w:gridCol w:w="700"/>
        <w:gridCol w:w="900"/>
        <w:gridCol w:w="1700"/>
      </w:tblGrid>
      <w:tr>
        <w:trPr>
          <w:tblHeader/>
        </w:trPr>
        <w:tc>
          <w:tcPr>
            <w:tcW w:w="3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مسیر</w:t>
            </w:r>
          </w:p>
        </w:tc>
        <w:tc>
          <w:tcPr>
            <w:tcW w:w="9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بدون تجربهٔ زیان</w:t>
            </w:r>
          </w:p>
        </w:tc>
        <w:tc>
          <w:tcPr>
            <w:tcW w:w="95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دارای تجربهٔ زیان</w:t>
            </w:r>
          </w:p>
        </w:tc>
        <w:tc>
          <w:tcPr>
            <w:tcW w:w="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تفاوت</w:t>
            </w:r>
          </w:p>
        </w:tc>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z</w:t>
            </w:r>
          </w:p>
        </w:tc>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p</w:t>
            </w:r>
          </w:p>
        </w:tc>
        <w:tc>
          <w:tcPr>
            <w:tcW w:w="1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فاصلهٔ اطمینان تفاوت</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مقایسهٔ اجتماعی ← فومو</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۰٫۳۰۷</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۰٫۲۳۶</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⁦−۰٫۰۷۱⁩</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⁦−۰٫۶۷⁩</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 ۰٫۵۰۱</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[⁦−۰٫۲۸۹⁩، ۰٫۱۴۸]</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پشیمانی پیش‌بینی‌شده ← فومو</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۰٫۱۳۱</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۰٫۴۱۰</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۰٫۲۷۹</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۲٫۴۰</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 ۰٫۰۱۷</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[۰٫۰۴۹، ۰٫۵۴۹]</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مواجهه ← فومو</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۰٫۴۳۱</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۰٫۳۲۴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⁦−۰٫۱۰۷⁩</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⁦−۰٫۹۹⁩</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 ۰٫۳۲۲</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[⁦−۰٫۳۵۵⁩، ۰٫۱۲۵]</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سواد حسابداری ← استفاده از اطلاعات حسابداری</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۰٫۵۳۳</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۰٫۴۲۴</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⁦−۰٫۱۰۸⁩</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⁦−۱٫۰۵⁩</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 ۰٫۲۹۴</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[⁦−۰٫۳۲۲⁩، ۰٫۱۱۲]</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مواجهه ← استفاده از اطلاعات حسابداری</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⁦−۰٫۱۷۰⁩</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⁦−۰٫۳۸۱⁩</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⁦−۰٫۲۱۱⁩</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⁦−۱٫۸۶⁩</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 ۰٫۰۶۳</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[⁦−۰٫۴۶۳⁩، ۰٫۰۰۹]</w:t>
            </w:r>
          </w:p>
        </w:tc>
      </w:tr>
      <w:tr>
        <w:trPr>
          <w:cantSplit/>
        </w:trPr>
        <w:tc>
          <w:tcPr>
            <w:tcW w:w="3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فومو ← کیفیت تصمیم</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⁦−۰٫۱۹۰⁩</w:t>
            </w:r>
          </w:p>
        </w:tc>
        <w:tc>
          <w:tcPr>
            <w:tcW w:w="95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⁦−۰٫۵۵۸⁩</w:t>
            </w:r>
          </w:p>
        </w:tc>
        <w:tc>
          <w:tcPr>
            <w:tcW w:w="8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⁦−۰٫۳۶۸⁩</w:t>
            </w:r>
          </w:p>
        </w:tc>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⁦−۳٫۶۲⁩</w:t>
            </w:r>
          </w:p>
        </w:tc>
        <w:tc>
          <w:tcPr>
            <w:tcW w:w="9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&lt; ۰٫۰۰۱⁩</w:t>
            </w:r>
          </w:p>
        </w:tc>
        <w:tc>
          <w:tcPr>
            <w:tcW w:w="1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[⁦−۰٫۶۲۰⁩، ⁦−۰٫۱۴۵⁩]</w:t>
            </w:r>
          </w:p>
        </w:tc>
      </w:tr>
      <w:tr>
        <w:trPr>
          <w:cantSplit/>
        </w:trPr>
        <w:tc>
          <w:tcPr>
            <w:tcW w:w="3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استفاده از اطلاعات حسابداری ← کیفیت تصمیم</w:t>
            </w:r>
          </w:p>
        </w:tc>
        <w:tc>
          <w:tcPr>
            <w:tcW w:w="9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۰٫۲۲۷</w:t>
            </w:r>
          </w:p>
        </w:tc>
        <w:tc>
          <w:tcPr>
            <w:tcW w:w="95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۰٫۲۶۱</w:t>
            </w:r>
          </w:p>
        </w:tc>
        <w:tc>
          <w:tcPr>
            <w:tcW w:w="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۰٫۰۳۳</w:t>
            </w:r>
          </w:p>
        </w:tc>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۰٫۳۲</w:t>
            </w:r>
          </w:p>
        </w:tc>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 = ۰٫۷۵۳</w:t>
            </w:r>
          </w:p>
        </w:tc>
        <w:tc>
          <w:tcPr>
            <w:tcW w:w="1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[⁦−۰٫۱۸۳⁩، ۰٫۲۵۷]</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اثر پشیمانی پیش‌بینی‌شده بر فومو در گروه دارای تجربهٔ زیان به‌طور معنادار قوی‌تر بود (⁦Δb = ۰٫۲۸⁩، ⁦z = ۲٫۴۰⁩، p = ۰٫۰۱۷؛ فاصلهٔ اطمینان خودگردان ۰٫۰۵ تا ۰٫۵۵) و اثر منفی فومو بر کیفیت تصمیم نیز در این گروه عمیق‌تر بود (⁦Δb = −۰٫۳۷⁩، ⁦z = −۳٫۶۲⁩، ⁦p &lt; ۰٫۰۰۱⁩)؛ فرضیه‌های ۹ و ۱۰ تأیید می‌شوند. در مقابل، مسیرهای مقایسهٔ اجتماعی ← فومو، سواد حسابداری ← استفاده از اطلاعات حسابداری و استفاده از اطلاعات حسابداری ← کیفیت تصمیم تفاوت معناداری میان دو گروه نشان ندادند (شکل ۳)، که نشان می‌دهد اثر اطلاعات حسابداری در هر دو گروه مشابه است.</w:t>
      </w:r>
    </w:p>
    <w:p>
      <w:pPr>
        <w:keepNext/>
        <w:jc w:val="center"/>
      </w:pPr>
      <w:r>
        <w:drawing>
          <wp:inline distT="0" distB="0" distL="0" distR="0">
            <wp:extent cx="4500000" cy="2675675"/>
            <wp:docPr id="3" name="Figure 3"/>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4500000" cy="2675675"/>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۳. تفاوت ضرایب مسیر میان دو گروه با فاصلهٔ اطمینان خودگردان</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۴-۵. یادگیری ماشین و تفسیر SHAP</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۱۳. دقت پیش‌بینی بیرون‌نمونه‌ای نمرهٔ عاملی کیفیت تصمیم (۵ لایه × ۱۰ تکرار)</w:t>
      </w:r>
    </w:p>
    <w:tbl>
      <w:tblPr>
        <w:bidiVisual/>
        <w:tblW w:w="8800" w:type="dxa"/>
        <w:jc w:val="center"/>
        <w:tblLayout w:type="fixed"/>
        <w:tblCellMar>
          <w:left w:w="60" w:type="dxa"/>
          <w:right w:w="60" w:type="dxa"/>
        </w:tblCellMar>
      </w:tblPr>
      <w:tblGrid>
        <w:gridCol w:w="1100"/>
        <w:gridCol w:w="1900"/>
        <w:gridCol w:w="1000"/>
        <w:gridCol w:w="1000"/>
        <w:gridCol w:w="1500"/>
        <w:gridCol w:w="1300"/>
        <w:gridCol w:w="1000"/>
      </w:tblGrid>
      <w:tr>
        <w:trPr>
          <w:tblHeader/>
        </w:trPr>
        <w:tc>
          <w:tcPr>
            <w:tcW w:w="1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مدل</w:t>
            </w:r>
          </w:p>
        </w:tc>
        <w:tc>
          <w:tcPr>
            <w:tcW w:w="1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R² (انحراف معیار)</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RMSE</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MAE</w:t>
            </w:r>
          </w:p>
        </w:tc>
        <w:tc>
          <w:tcPr>
            <w:tcW w:w="15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تفاوت R² با OLS</w:t>
            </w:r>
          </w:p>
        </w:tc>
        <w:tc>
          <w:tcPr>
            <w:tcW w:w="13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t اصلاح‌شده</w:t>
            </w:r>
          </w:p>
        </w:tc>
        <w:tc>
          <w:tcPr>
            <w:tcW w:w="1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p</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OLS</w:t>
            </w:r>
          </w:p>
        </w:tc>
        <w:tc>
          <w:tcPr>
            <w:tcW w:w="1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۰٫۲۹۱ (۰٫۱۰۱)</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۰٫۸۳۳</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۰٫۶۷۵</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c>
          <w:tcPr>
            <w:tcW w:w="13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w:t>
            </w:r>
          </w:p>
        </w:tc>
      </w:tr>
      <w:tr>
        <w:trPr>
          <w:cantSplit/>
        </w:trPr>
        <w:tc>
          <w:tcPr>
            <w:tcW w:w="1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RF</w:t>
            </w:r>
          </w:p>
        </w:tc>
        <w:tc>
          <w:tcPr>
            <w:tcW w:w="1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۰٫۳۷۵ (۰٫۰۷۹)</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۰٫۷۸۳</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۰٫۶۳۸</w:t>
            </w:r>
          </w:p>
        </w:tc>
        <w:tc>
          <w:tcPr>
            <w:tcW w:w="15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۰٫۰۸۴</w:t>
            </w:r>
          </w:p>
        </w:tc>
        <w:tc>
          <w:tcPr>
            <w:tcW w:w="13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۲٫۶۲</w:t>
            </w:r>
          </w:p>
        </w:tc>
        <w:tc>
          <w:tcPr>
            <w:tcW w:w="10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۰٫۰۱۲</w:t>
            </w:r>
          </w:p>
        </w:tc>
      </w:tr>
      <w:tr>
        <w:trPr>
          <w:cantSplit/>
        </w:trPr>
        <w:tc>
          <w:tcPr>
            <w:tcW w:w="1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GBM</w:t>
            </w:r>
          </w:p>
        </w:tc>
        <w:tc>
          <w:tcPr>
            <w:tcW w:w="1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۰٫۳۷۱ (۰٫۰۹۱)</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۰٫۷۸۴</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۰٫۶۳۱</w:t>
            </w:r>
          </w:p>
        </w:tc>
        <w:tc>
          <w:tcPr>
            <w:tcW w:w="15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۰٫۰۸۱</w:t>
            </w:r>
          </w:p>
        </w:tc>
        <w:tc>
          <w:tcPr>
            <w:tcW w:w="13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۲٫۶۶</w:t>
            </w:r>
          </w:p>
        </w:tc>
        <w:tc>
          <w:tcPr>
            <w:tcW w:w="1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 = ۰٫۰۱۱</w:t>
            </w:r>
          </w:p>
        </w:tc>
      </w:tr>
    </w:tbl>
    <w:p>
      <w:pPr>
        <w:bidi/>
        <w:spacing w:before="40" w:after="120" w:line="240" w:lineRule="auto"/>
        <w:jc w:val="both"/>
      </w:pPr>
      <w:r>
        <w:rPr>
          <w:rFonts w:ascii="Times New Roman" w:hAnsi="Times New Roman" w:cs="B Nazanin" w:eastAsia="Times New Roman"/>
          <w:sz w:val="20"/>
          <w:szCs w:val="20"/>
          <w:lang w:val="en-US" w:bidi="fa-IR"/>
        </w:rPr>
        <w:t xml:space="preserve">توضیح: OLS رگرسیون خطی، RF جنگل تصادفی، GBM تقویت گرادیان؛ آزمون t اصلاح‌شدهٔ ندو و بنجیو.</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رگرسیون خطی R² بیرون‌نمونه‌ای ۰٫۲۹۱ داشت، در حالی‌که جنگل تصادفی ۰٫۳۷۵ (⁦t = ۲٫۶۲⁩، p = ۰٫۰۱۲) و تقویت گرادیان ۰٫۳۷۱ (⁦t = ۲٫۶۶⁩، p = ۰٫۰۱۱) به دست آوردند؛ بنابراین فرضیهٔ ۱۱ تأیید می‌شود. افزایش دقت نشان می‌دهد بخشی از ساختار داده غیرخطی است (آستانه‌ای‌بودن اثر فومو و تعامل با اطلاعات حسابداری)؛ شاخص تعاملی SHAP میان فومو و اطلاعات حسابداری ۰٫۱۲۱ بود.</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۱۴. اهمیت SHAP و اثر کل استاندارد در مدل ساختاری</w:t>
      </w:r>
    </w:p>
    <w:tbl>
      <w:tblPr>
        <w:bidiVisual/>
        <w:tblW w:w="8000" w:type="dxa"/>
        <w:jc w:val="center"/>
        <w:tblLayout w:type="fixed"/>
        <w:tblCellMar>
          <w:left w:w="60" w:type="dxa"/>
          <w:right w:w="60" w:type="dxa"/>
        </w:tblCellMar>
      </w:tblPr>
      <w:tblGrid>
        <w:gridCol w:w="3800"/>
        <w:gridCol w:w="1800"/>
        <w:gridCol w:w="2400"/>
      </w:tblGrid>
      <w:tr>
        <w:trPr>
          <w:tblHeader/>
        </w:trPr>
        <w:tc>
          <w:tcPr>
            <w:tcW w:w="3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سازه</w:t>
            </w:r>
          </w:p>
        </w:tc>
        <w:tc>
          <w:tcPr>
            <w:tcW w:w="18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میانگین |SHAP|</w:t>
            </w:r>
          </w:p>
        </w:tc>
        <w:tc>
          <w:tcPr>
            <w:tcW w:w="2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4"/>
                <w:szCs w:val="24"/>
                <w:lang w:val="en-US" w:bidi="fa-IR"/>
              </w:rPr>
              <w:t xml:space="preserve">اثر کل استاندارد (SEM)</w:t>
            </w:r>
          </w:p>
        </w:tc>
      </w:tr>
      <w:tr>
        <w:trPr>
          <w:cantSplit/>
        </w:trPr>
        <w:tc>
          <w:tcPr>
            <w:tcW w:w="3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فومو (FOMO)</w:t>
            </w:r>
          </w:p>
        </w:tc>
        <w:tc>
          <w:tcPr>
            <w:tcW w:w="1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۰٫۳۳۸</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⁦−۰٫۳۷۵⁩</w:t>
            </w:r>
          </w:p>
        </w:tc>
      </w:tr>
      <w:tr>
        <w:trPr>
          <w:cantSplit/>
        </w:trPr>
        <w:tc>
          <w:tcPr>
            <w:tcW w:w="3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استفاده از اطلاعات حسابداری (AIU)</w:t>
            </w:r>
          </w:p>
        </w:tc>
        <w:tc>
          <w:tcPr>
            <w:tcW w:w="1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۰٫۲۳۹</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۰٫۳۱۵</w:t>
            </w:r>
          </w:p>
        </w:tc>
      </w:tr>
      <w:tr>
        <w:trPr>
          <w:cantSplit/>
        </w:trPr>
        <w:tc>
          <w:tcPr>
            <w:tcW w:w="3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سواد حسابداری (AL)</w:t>
            </w:r>
          </w:p>
        </w:tc>
        <w:tc>
          <w:tcPr>
            <w:tcW w:w="1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۰٫۰۵۴</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۰٫۱۷۷</w:t>
            </w:r>
          </w:p>
        </w:tc>
      </w:tr>
      <w:tr>
        <w:trPr>
          <w:cantSplit/>
        </w:trPr>
        <w:tc>
          <w:tcPr>
            <w:tcW w:w="3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مواجهه با محتوای شبکه‌ها (SME)</w:t>
            </w:r>
          </w:p>
        </w:tc>
        <w:tc>
          <w:tcPr>
            <w:tcW w:w="1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۰٫۰۴۲</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⁦−۰٫۲۱۰⁩</w:t>
            </w:r>
          </w:p>
        </w:tc>
      </w:tr>
      <w:tr>
        <w:trPr>
          <w:cantSplit/>
        </w:trPr>
        <w:tc>
          <w:tcPr>
            <w:tcW w:w="3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مقایسهٔ اجتماعی (SC)</w:t>
            </w:r>
          </w:p>
        </w:tc>
        <w:tc>
          <w:tcPr>
            <w:tcW w:w="18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۰٫۰۳۶</w:t>
            </w:r>
          </w:p>
        </w:tc>
        <w:tc>
          <w:tcPr>
            <w:tcW w:w="2400" w:type="dxa"/>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⁦−۰٫۱۰۲⁩</w:t>
            </w:r>
          </w:p>
        </w:tc>
      </w:tr>
      <w:tr>
        <w:trPr>
          <w:cantSplit/>
        </w:trPr>
        <w:tc>
          <w:tcPr>
            <w:tcW w:w="3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پشیمانی پیش‌بینی‌شده (AR)</w:t>
            </w:r>
          </w:p>
        </w:tc>
        <w:tc>
          <w:tcPr>
            <w:tcW w:w="18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۰٫۰۲۱</w:t>
            </w:r>
          </w:p>
        </w:tc>
        <w:tc>
          <w:tcPr>
            <w:tcW w:w="2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4"/>
                <w:szCs w:val="24"/>
                <w:lang w:val="en-US" w:bidi="fa-IR"/>
              </w:rPr>
              <w:t xml:space="preserve">⁦−۰٫۰۸۷⁩</w:t>
            </w:r>
          </w:p>
        </w:tc>
      </w:tr>
    </w:tbl>
    <w:p>
      <w:pPr>
        <w:bidi/>
        <w:spacing w:before="0" w:after="100" w:line="240" w:lineRule="auto"/>
        <w:ind w:firstLine="360"/>
        <w:jc w:val="both"/>
      </w:pPr>
    </w:p>
    <w:p>
      <w:pPr>
        <w:bidi/>
        <w:spacing w:before="0" w:after="50" w:line="240" w:lineRule="auto"/>
        <w:ind w:firstLine="360"/>
        <w:jc w:val="both"/>
      </w:pPr>
      <w:r>
        <w:rPr>
          <w:rFonts w:ascii="Times New Roman" w:hAnsi="Times New Roman" w:cs="B Nazanin" w:eastAsia="Times New Roman"/>
          <w:sz w:val="26"/>
          <w:szCs w:val="26"/>
          <w:lang w:val="en-US" w:bidi="fa-IR"/>
        </w:rPr>
        <w:t xml:space="preserve">بالاترین اهمیت SHAP به فومو و سپس استفاده از اطلاعات حسابداری تعلق داشت (شکل ۴). همبستگی رتبه‌ای اسپیرمن میان اهمیت SHAP و قدر مطلق اثر کل ساختاری ۰٫۹۴ بود (⁦n = ۶⁩)؛ بنابراین فرضیهٔ ۱۲ تأیید می‌شود، هرچند با شش سازه توان آماری آزمون پایین است و صرفاً سازگاری جهت‌دار را نشان می‌دهد.</w:t>
      </w:r>
    </w:p>
    <w:p>
      <w:pPr>
        <w:keepNext/>
        <w:jc w:val="center"/>
      </w:pPr>
      <w:r>
        <w:drawing>
          <wp:inline distT="0" distB="0" distL="0" distR="0">
            <wp:extent cx="5400000" cy="2365714"/>
            <wp:docPr id="4" name="Figure 4"/>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400000" cy="2365714"/>
                    </a:xfrm>
                    <a:prstGeom prst="rect">
                      <a:avLst/>
                    </a:prstGeom>
                  </pic:spPr>
                </pic:pic>
              </a:graphicData>
            </a:graphic>
          </wp:inline>
        </w:drawing>
      </w:r>
    </w:p>
    <w:p>
      <w:pPr>
        <w:bidi/>
        <w:spacing w:before="40" w:after="160" w:line="240" w:lineRule="auto"/>
        <w:jc w:val="center"/>
      </w:pPr>
      <w:r>
        <w:rPr>
          <w:rFonts w:ascii="Times New Roman" w:hAnsi="Times New Roman" w:cs="B Zar" w:eastAsia="Times New Roman"/>
          <w:b/>
          <w:bCs/>
          <w:sz w:val="20"/>
          <w:szCs w:val="20"/>
          <w:lang w:val="en-US" w:bidi="fa-IR"/>
        </w:rPr>
        <w:t xml:space="preserve">شکل ۴. اهمیت و توزیع مقادیر SHAP (مدل برتر)</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۵. بحث و نتیجه‌گیری</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یافته‌ها در چارچوب مدل مفروض تصویر منسجمی می‌سازند: فومو را مقایسهٔ اجتماعی و پشیمانی پیش‌بینی‌شده تغذیه می‌کنند، و فومو و اطلاعات حسابداری در دو سوی ترازو بر کیفیت تصمیم می‌نشینند. اثر مثبت مقایسهٔ اجتماعی بر فومو با نظریهٔ فستینگر (۱۹۵۴) و اثر پشیمانی با نظریهٔ پشیمانی (لومز و ساگدن، ۱۹۸۲) سازگار است. جایگزینی اطلاعاتی (اثر منفی مواجهه با شبکه‌ها بر استفاده از اطلاعات حسابداری) با دیدگاه توجه محدود (باربر و اودین، ۲۰۰۸؛ دا و همکاران، ۲۰۱۱) هم‌سو است و نشان می‌دهد مداخلات آموزشی باید هم هیجان و هم رقابت بر سر توجه را هدف بگیرند. غیرمعنادار بودن اثر مستقیم سواد حسابداری بر کیفیت تصمیم نیز نکته‌ای عملی دارد: سواد زمانی ارزشمند است که به رفتار استفاده از اطلاعات تبدیل شود؛ این با تأکید پژوهش‌های سواد مالی بر پیوند دانش و رفتار (لوساردی و میچل، ۲۰۱۴) و با یافتهٔ داخلی دربارهٔ اثر هم‌زمان سواد مالی و تورش‌های رفتاری (ترازودار و همکاران، ۱۴۰۲) سازگار است.</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از نظر تفاوت گروهی، ناوردایی اسکالر امکان مقایسهٔ منصفانهٔ میانگین‌ها و مسیرها را فراهم کرد. پشیمانی پیش‌بینی‌شده در سرمایه‌گذاران زیان‌دیده قوی‌تر به فومو تبدیل می‌شود و فومو برای آنان پیامد سنگین‌تری دارد؛ می‌توان آن را به حساسیت بیشتر به از دست دادن فرصت پس از تجربهٔ زیان نسبت داد، اما با طرح مقطعی نمی‌توان مدعی علّیت شد. هم‌زمان، اثر مفید اطلاعات حسابداری در هر دو گروه مشابه بود؛ یعنی آموزش و تقویت استفاده از اطلاعات حسابداری برای همگان سودمند است.</w:t>
      </w:r>
    </w:p>
    <w:p>
      <w:pPr>
        <w:bidi/>
        <w:spacing w:before="0" w:after="50" w:line="240" w:lineRule="auto"/>
        <w:ind w:firstLine="360"/>
        <w:jc w:val="both"/>
      </w:pPr>
      <w:r>
        <w:rPr>
          <w:rFonts w:ascii="Times New Roman" w:hAnsi="Times New Roman" w:cs="B Nazanin" w:eastAsia="Times New Roman"/>
          <w:sz w:val="26"/>
          <w:szCs w:val="26"/>
          <w:lang w:val="en-US" w:bidi="fa-IR"/>
        </w:rPr>
        <w:t xml:space="preserve">افزودن یادگیری ماشین نشان داد مدل‌های غیرخطی دقت بیشتری دارند و سازگار با مدل ساختاری‌اند. این ترکیب سهم محاسباتی مقاله است: SEM نظریه را آزمون می‌کند و SHAP اهمیت و شکل اثرها را بدون تحمیل خطی‌بودن نشان می‌دهد. </w:t>
      </w:r>
      <w:r>
        <w:rPr>
          <w:rFonts w:ascii="Times New Roman" w:hAnsi="Times New Roman" w:cs="B Nazanin" w:eastAsia="Times New Roman"/>
          <w:b/>
          <w:bCs/>
          <w:sz w:val="26"/>
          <w:szCs w:val="26"/>
          <w:lang w:val="en-US" w:bidi="fa-IR"/>
        </w:rPr>
        <w:t xml:space="preserve">پیشنهادهای کاربردی:</w:t>
      </w:r>
      <w:r>
        <w:rPr>
          <w:rFonts w:ascii="Times New Roman" w:hAnsi="Times New Roman" w:cs="B Nazanin" w:eastAsia="Times New Roman"/>
          <w:sz w:val="26"/>
          <w:szCs w:val="26"/>
          <w:lang w:val="en-US" w:bidi="fa-IR"/>
        </w:rPr>
        <w:t xml:space="preserve"> (۱) غربال‌گری رفتاری سرمایه‌گذاران زیان‌دیده در آموزش‌های کارگزاری؛ (۲) طراحی هشدارهای «فرصت از دست‌رفته» همراه با خلاصهٔ شاخص‌های بنیادی؛ (۳) آموزش خواندن صورت‌های مالی برای تبدیل سواد به کاربرد؛ (۴) انتشار خلاصه‌های قابل‌فهم گزارش‌های مالی در شبکه‌های اجتماعی ناشران و کارگزاران.</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محدودیت‌ها:</w:t>
      </w:r>
      <w:r>
        <w:rPr>
          <w:rFonts w:ascii="Times New Roman" w:hAnsi="Times New Roman" w:cs="B Nazanin" w:eastAsia="Times New Roman"/>
          <w:sz w:val="26"/>
          <w:szCs w:val="26"/>
          <w:lang w:val="en-US" w:bidi="fa-IR"/>
        </w:rPr>
        <w:t xml:space="preserve"> داده شبیه‌سازی‌شده است و اعداد به‌منزلهٔ شواهد دربارهٔ بازار واقعی نیستند؛ ناوردایی اسکالر در داده‌ٔ واقعی کمتر محتمل است و ممکن است ناوردایی جزئی لازم شود (کد این کار را پشتیبانی می‌کند). مقایسهٔ مسیرها با مدل‌های جداگانه بود و نه مدل چندگروهی با قیدهای هم‌زمان؛ نسبت مشاهده به پارامتر کمتر از ۱۰ است؛ ابرپارامترها از پیش ثابت شدند؛ نمرات عاملی برآوردی از متغیرهای پنهان‌اند و خطای برآورد دارند؛ و آزمون اسپیرمن تنها بر شش سازه استوار است. </w:t>
      </w:r>
      <w:r>
        <w:rPr>
          <w:rFonts w:ascii="Times New Roman" w:hAnsi="Times New Roman" w:cs="B Nazanin" w:eastAsia="Times New Roman"/>
          <w:b/>
          <w:bCs/>
          <w:sz w:val="26"/>
          <w:szCs w:val="26"/>
          <w:lang w:val="en-US" w:bidi="fa-IR"/>
        </w:rPr>
        <w:t xml:space="preserve">پژوهش‌های آینده:</w:t>
      </w:r>
      <w:r>
        <w:rPr>
          <w:rFonts w:ascii="Times New Roman" w:hAnsi="Times New Roman" w:cs="B Nazanin" w:eastAsia="Times New Roman"/>
          <w:sz w:val="26"/>
          <w:szCs w:val="26"/>
          <w:lang w:val="en-US" w:bidi="fa-IR"/>
        </w:rPr>
        <w:t xml:space="preserve"> اجرای پرسشنامه روی نمونهٔ واقعی، اعتبارسنجی تودرتو برای مدل‌های یادگیری ماشین، و افزودن داده‌های ردپای دیجیتال.</w:t>
      </w:r>
    </w:p>
    <w:p>
      <w:pPr>
        <w:bidi/>
        <w:spacing w:before="0" w:after="50" w:line="240" w:lineRule="auto"/>
        <w:ind w:firstLine="360"/>
        <w:jc w:val="both"/>
      </w:pPr>
      <w:r>
        <w:rPr>
          <w:rFonts w:ascii="Times New Roman" w:hAnsi="Times New Roman" w:cs="B Nazanin" w:eastAsia="Times New Roman"/>
          <w:b/>
          <w:bCs/>
          <w:sz w:val="26"/>
          <w:szCs w:val="26"/>
          <w:lang w:val="en-US" w:bidi="fa-IR"/>
        </w:rPr>
        <w:t xml:space="preserve">دسترسی به داده و کد:</w:t>
      </w:r>
      <w:r>
        <w:rPr>
          <w:rFonts w:ascii="Times New Roman" w:hAnsi="Times New Roman" w:cs="B Nazanin" w:eastAsia="Times New Roman"/>
          <w:sz w:val="26"/>
          <w:szCs w:val="26"/>
          <w:lang w:val="en-US" w:bidi="fa-IR"/>
        </w:rPr>
        <w:t xml:space="preserve"> پرسشنامه، داده، کد پایتون و دفترچهٔ Colab در مخزن پیوست‌اند. این مقاله و مقالهٔ همراه از دو شبیه‌سازی مستقل بهره می‌برند؛ در پژوهش واقعی اگر داده‌ها از یک پیمایش باشند باید در هر دو مقاله افشا و به یکدیگر ارجاع داده شود.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منابع</w:t>
      </w:r>
    </w:p>
    <w:p>
      <w:pPr>
        <w:bidi/>
        <w:spacing w:before="0" w:after="60" w:line="240" w:lineRule="auto"/>
        <w:jc w:val="both"/>
      </w:pPr>
      <w:r>
        <w:rPr>
          <w:rFonts w:ascii="Times New Roman" w:hAnsi="Times New Roman" w:cs="B Nazanin" w:eastAsia="Times New Roman"/>
          <w:b/>
          <w:bCs/>
          <w:sz w:val="24"/>
          <w:szCs w:val="24"/>
          <w:lang w:val="en-US" w:bidi="fa-IR"/>
        </w:rPr>
        <w:t xml:space="preserve">منابع فارسی</w:t>
      </w:r>
    </w:p>
    <w:p>
      <w:pPr>
        <w:bidi/>
        <w:spacing w:before="0" w:after="60" w:line="240" w:lineRule="auto"/>
        <w:jc w:val="both"/>
      </w:pPr>
      <w:r>
        <w:rPr>
          <w:rFonts w:ascii="Times New Roman" w:hAnsi="Times New Roman" w:cs="B Nazanin" w:eastAsia="Times New Roman"/>
          <w:sz w:val="24"/>
          <w:szCs w:val="24"/>
          <w:lang w:val="en-US" w:bidi="fa-IR"/>
        </w:rPr>
        <w:t xml:space="preserve">بهارمقدم، مهدی و جوکار، حسین (۱۳۹۷). بررسی تأثیر کیفیت اطلاعات حسابداری و عدم‌اطمینان اطلاعاتی بر تمایلات سرمایه‌گذاران، بررسی‌های حسابداری و حسابرسی، ۲۵(۱)، ۲۱-۵۰.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ترازودار، میترا؛ قاسمی، مصطفی و محسنی، عبدالرضا (۱۴۰۲). ارائه مدلی به منظور شناسایی تأثیر تورش‌های رفتاری و سواد مالی و نقش آنها بر تصمیم‌گیری سرمایه‌گذاران (مبتنی بر رویکرد گراندد تئوری)، دانش حسابداری، ۱۴(۵۵)، </w:t>
      </w:r>
      <w:r>
        <w:rPr>
          <w:rFonts w:ascii="Times New Roman" w:hAnsi="Times New Roman" w:cs="B Nazanin" w:eastAsia="Times New Roman"/>
          <w:sz w:val="24"/>
          <w:szCs w:val="24"/>
          <w:highlight w:val="yellow"/>
          <w:lang w:val="en-US" w:bidi="fa-IR"/>
        </w:rPr>
        <w:t xml:space="preserve">صفحات</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جمشیدی، ناصر؛ قالیباف اصل، حسن و فدایی‌نژاد، محمداسماعیل (۱۳۹۸). بررسی سوگیری‌های رفتاری و عملکرد سرمایه‌گذاران حقیقی بورس اوراق بهادار تهران، تحقیقات مالی، ۲۱(</w:t>
      </w:r>
      <w:r>
        <w:rPr>
          <w:rFonts w:ascii="Times New Roman" w:hAnsi="Times New Roman" w:cs="B Nazanin" w:eastAsia="Times New Roman"/>
          <w:sz w:val="24"/>
          <w:szCs w:val="24"/>
          <w:highlight w:val="yellow"/>
          <w:lang w:val="en-US" w:bidi="fa-IR"/>
        </w:rPr>
        <w:t xml:space="preserve">شماره</w:t>
      </w:r>
      <w:r>
        <w:rPr>
          <w:rFonts w:ascii="Times New Roman" w:hAnsi="Times New Roman" w:cs="B Nazanin" w:eastAsia="Times New Roman"/>
          <w:sz w:val="24"/>
          <w:szCs w:val="24"/>
          <w:lang w:val="en-US" w:bidi="fa-IR"/>
        </w:rPr>
        <w:t xml:space="preserve">)، ۱۴۳-۱۶۴.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حیدری هراتمه، مصطفی؛ آرایی، وحید و اسلامی، سیدمحمود (۱۴۰۲). تأثیر رسانه‌ها و شبکه‌های اجتماعی و مجازی بر خط‌مشی و تصمیمات سرمایه‌گذاران بازارهای مالی، مطالعات فرهنگ ـ ارتباطات، ۲۴(۶۳)، ۷-۲۴.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ندیری، محمد و پناهیان، حمیدرضا (۱۴۰۳). احساسات عقلانی و غیرعقلانی سرمایه‌گذاران و بازده بازار سهام: شواهدی از بورس اوراق بهادار تهران، تحقیقات مالی، ۲۶(</w:t>
      </w:r>
      <w:r>
        <w:rPr>
          <w:rFonts w:ascii="Times New Roman" w:hAnsi="Times New Roman" w:cs="B Nazanin" w:eastAsia="Times New Roman"/>
          <w:sz w:val="24"/>
          <w:szCs w:val="24"/>
          <w:highlight w:val="yellow"/>
          <w:lang w:val="en-US" w:bidi="fa-IR"/>
        </w:rPr>
        <w:t xml:space="preserve">شماره</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صفحات</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0" w:after="60" w:line="240" w:lineRule="auto"/>
        <w:jc w:val="both"/>
      </w:pPr>
      <w:r>
        <w:rPr>
          <w:rFonts w:ascii="Times New Roman" w:hAnsi="Times New Roman" w:cs="B Nazanin" w:eastAsia="Times New Roman"/>
          <w:sz w:val="24"/>
          <w:szCs w:val="24"/>
          <w:lang w:val="en-US" w:bidi="fa-IR"/>
        </w:rPr>
        <w:t xml:space="preserve">نمازی، محمد و زراعتگری، رامین (۱۳۹۹). بررسی اطلاعات حسابداری مورد علاقه سرمایه‌گذاران فعال در بورس اوراق بهادار تهران بر اساس تیپ شخصیتی آنان، پژوهش‌های تجربی حسابداری، ۱۰(۴)، </w:t>
      </w:r>
      <w:r>
        <w:rPr>
          <w:rFonts w:ascii="Times New Roman" w:hAnsi="Times New Roman" w:cs="B Nazanin" w:eastAsia="Times New Roman"/>
          <w:sz w:val="24"/>
          <w:szCs w:val="24"/>
          <w:highlight w:val="yellow"/>
          <w:lang w:val="en-US" w:bidi="fa-IR"/>
        </w:rPr>
        <w:t xml:space="preserve">صفحات</w:t>
      </w:r>
      <w:r>
        <w:rPr>
          <w:rFonts w:ascii="Times New Roman" w:hAnsi="Times New Roman" w:cs="B Nazanin" w:eastAsia="Times New Roman"/>
          <w:sz w:val="24"/>
          <w:szCs w:val="24"/>
          <w:lang w:val="en-US" w:bidi="fa-IR"/>
        </w:rPr>
        <w:t xml:space="preserve">. </w:t>
      </w:r>
      <w:r>
        <w:rPr>
          <w:rFonts w:ascii="Times New Roman" w:hAnsi="Times New Roman" w:cs="B Nazanin" w:eastAsia="Times New Roman"/>
          <w:sz w:val="24"/>
          <w:szCs w:val="24"/>
          <w:highlight w:val="yellow"/>
          <w:lang w:val="en-US" w:bidi="fa-IR"/>
        </w:rPr>
        <w:t xml:space="preserve">DOI: ‹از صفحهٔ مقاله تکمیل شود›</w:t>
      </w:r>
    </w:p>
    <w:p>
      <w:pPr>
        <w:bidi/>
        <w:spacing w:before="100" w:after="60" w:line="240" w:lineRule="auto"/>
        <w:jc w:val="both"/>
      </w:pPr>
      <w:r>
        <w:rPr>
          <w:rFonts w:ascii="Times New Roman" w:hAnsi="Times New Roman" w:cs="B Nazanin" w:eastAsia="Times New Roman"/>
          <w:b/>
          <w:bCs/>
          <w:sz w:val="24"/>
          <w:szCs w:val="24"/>
          <w:lang w:val="en-US" w:bidi="fa-IR"/>
        </w:rPr>
        <w:t xml:space="preserve">منابع لاتین</w:t>
      </w:r>
    </w:p>
    <w:p>
      <w:pPr>
        <w:spacing w:before="0" w:after="30" w:line="240" w:lineRule="auto"/>
        <w:jc w:val="left"/>
      </w:pPr>
      <w:r>
        <w:rPr>
          <w:rFonts w:ascii="Times New Roman" w:hAnsi="Times New Roman" w:cs="Times New Roman" w:eastAsia="Times New Roman"/>
          <w:sz w:val="24"/>
          <w:szCs w:val="24"/>
          <w:lang w:val="en-US" w:bidi="fa-IR"/>
        </w:rPr>
        <w:t xml:space="preserve">Abel, J. P., Buff, C. L., &amp; Burr, S. A. (2016). Social media and the fear of missing out: Scale development and assessment. Journal of Business &amp; Economic Research, 14(1), 33–44. https://doi.org/10.19030/jber.v14i1.9554</w:t>
      </w:r>
    </w:p>
    <w:p>
      <w:pPr>
        <w:spacing w:before="0" w:after="30" w:line="240" w:lineRule="auto"/>
        <w:jc w:val="left"/>
      </w:pPr>
      <w:r>
        <w:rPr>
          <w:rFonts w:ascii="Times New Roman" w:hAnsi="Times New Roman" w:cs="Times New Roman" w:eastAsia="Times New Roman"/>
          <w:sz w:val="24"/>
          <w:szCs w:val="24"/>
          <w:lang w:val="en-US" w:bidi="fa-IR"/>
        </w:rPr>
        <w:t xml:space="preserve">Ball, R., &amp; Brown, P. (1968). An empirical evaluation of accounting income numbers. Journal of Accounting Research, 6(2), 159–178. https://doi.org/10.2307/2490232</w:t>
      </w:r>
    </w:p>
    <w:p>
      <w:pPr>
        <w:spacing w:before="0" w:after="30" w:line="240" w:lineRule="auto"/>
        <w:jc w:val="left"/>
      </w:pPr>
      <w:r>
        <w:rPr>
          <w:rFonts w:ascii="Times New Roman" w:hAnsi="Times New Roman" w:cs="Times New Roman" w:eastAsia="Times New Roman"/>
          <w:sz w:val="24"/>
          <w:szCs w:val="24"/>
          <w:lang w:val="en-US" w:bidi="fa-IR"/>
        </w:rPr>
        <w:t xml:space="preserve">Barber, B. M., &amp; Odean, T. (2008). All that glitters: The effect of attention and news on the buying behavior of individual and institutional investors. The Review of Financial Studies, 21(2), 785–818. https://doi.org/10.1093/rfs/hhm079</w:t>
      </w:r>
    </w:p>
    <w:p>
      <w:pPr>
        <w:spacing w:before="0" w:after="30" w:line="240" w:lineRule="auto"/>
        <w:jc w:val="left"/>
      </w:pPr>
      <w:r>
        <w:rPr>
          <w:rFonts w:ascii="Times New Roman" w:hAnsi="Times New Roman" w:cs="Times New Roman" w:eastAsia="Times New Roman"/>
          <w:sz w:val="24"/>
          <w:szCs w:val="24"/>
          <w:lang w:val="en-US" w:bidi="fa-IR"/>
        </w:rPr>
        <w:t xml:space="preserve">Bartov, E., Faurel, L., &amp; Mohanram, P. S. (2018). Can Twitter help predict firm-level earnings and stock returns? The Accounting Review, 93(3), 25–57. https://doi.org/10.2308/accr-51865</w:t>
      </w:r>
    </w:p>
    <w:p>
      <w:pPr>
        <w:spacing w:before="0" w:after="30" w:line="240" w:lineRule="auto"/>
        <w:jc w:val="left"/>
      </w:pPr>
      <w:r>
        <w:rPr>
          <w:rFonts w:ascii="Times New Roman" w:hAnsi="Times New Roman" w:cs="Times New Roman" w:eastAsia="Times New Roman"/>
          <w:sz w:val="24"/>
          <w:szCs w:val="24"/>
          <w:lang w:val="en-US" w:bidi="fa-IR"/>
        </w:rPr>
        <w:t xml:space="preserve">Beaver, W. H. (1968). The information content of annual earnings announcements. Journal of Accounting Research, 6, 67–92. https://doi.org/10.2307/2490070</w:t>
      </w:r>
    </w:p>
    <w:p>
      <w:pPr>
        <w:spacing w:before="0" w:after="30" w:line="240" w:lineRule="auto"/>
        <w:jc w:val="left"/>
      </w:pPr>
      <w:r>
        <w:rPr>
          <w:rFonts w:ascii="Times New Roman" w:hAnsi="Times New Roman" w:cs="Times New Roman" w:eastAsia="Times New Roman"/>
          <w:sz w:val="24"/>
          <w:szCs w:val="24"/>
          <w:lang w:val="en-US" w:bidi="fa-IR"/>
        </w:rPr>
        <w:t xml:space="preserve">Blankespoor, E., Miller, G. S., &amp; White, H. D. (2014). The role of dissemination in market liquidity: Evidence from firms' use of Twitter. The Accounting Review, 89(1), 79–112. https://doi.org/10.2308/accr-50576</w:t>
      </w:r>
    </w:p>
    <w:p>
      <w:pPr>
        <w:spacing w:before="0" w:after="30" w:line="240" w:lineRule="auto"/>
        <w:jc w:val="left"/>
      </w:pPr>
      <w:r>
        <w:rPr>
          <w:rFonts w:ascii="Times New Roman" w:hAnsi="Times New Roman" w:cs="Times New Roman" w:eastAsia="Times New Roman"/>
          <w:sz w:val="24"/>
          <w:szCs w:val="24"/>
          <w:lang w:val="en-US" w:bidi="fa-IR"/>
        </w:rPr>
        <w:t xml:space="preserve">Breiman, L. (2001). Random forests. Machine Learning, 45(1), 5–32. https://doi.org/10.1023/A:1010933404324</w:t>
      </w:r>
    </w:p>
    <w:p>
      <w:pPr>
        <w:spacing w:before="0" w:after="30" w:line="240" w:lineRule="auto"/>
        <w:jc w:val="left"/>
      </w:pPr>
      <w:r>
        <w:rPr>
          <w:rFonts w:ascii="Times New Roman" w:hAnsi="Times New Roman" w:cs="Times New Roman" w:eastAsia="Times New Roman"/>
          <w:sz w:val="24"/>
          <w:szCs w:val="24"/>
          <w:lang w:val="en-US" w:bidi="fa-IR"/>
        </w:rPr>
        <w:t xml:space="preserve">Bruine de Bruin, W., Parker, A. M., &amp; Fischhoff, B. (2007). Individual differences in adult decision-making competence. Journal of Personality and Social Psychology, 92(5), 938–956. https://doi.org/10.1037/0022-3514.92.5.938</w:t>
      </w:r>
    </w:p>
    <w:p>
      <w:pPr>
        <w:spacing w:before="0" w:after="30" w:line="240" w:lineRule="auto"/>
        <w:jc w:val="left"/>
      </w:pPr>
      <w:r>
        <w:rPr>
          <w:rFonts w:ascii="Times New Roman" w:hAnsi="Times New Roman" w:cs="Times New Roman" w:eastAsia="Times New Roman"/>
          <w:sz w:val="24"/>
          <w:szCs w:val="24"/>
          <w:lang w:val="en-US" w:bidi="fa-IR"/>
        </w:rPr>
        <w:t xml:space="preserve">Chen, F. F. (2007). Sensitivity of goodness of fit indexes to lack of measurement invariance. Structural Equation Modeling, 14(3), 464–504. https://doi.org/10.1080/10705510701301834</w:t>
      </w:r>
    </w:p>
    <w:p>
      <w:pPr>
        <w:spacing w:before="0" w:after="30" w:line="240" w:lineRule="auto"/>
        <w:jc w:val="left"/>
      </w:pPr>
      <w:r>
        <w:rPr>
          <w:rFonts w:ascii="Times New Roman" w:hAnsi="Times New Roman" w:cs="Times New Roman" w:eastAsia="Times New Roman"/>
          <w:sz w:val="24"/>
          <w:szCs w:val="24"/>
          <w:lang w:val="en-US" w:bidi="fa-IR"/>
        </w:rPr>
        <w:t xml:space="preserve">Cheung, G. W., &amp; Rensvold, R. B. (2002). Evaluating goodness-of-fit indexes for testing measurement invariance. Structural Equation Modeling, 9(2), 233–255. https://doi.org/10.1207/S15328007SEM0902_5</w:t>
      </w:r>
    </w:p>
    <w:p>
      <w:pPr>
        <w:spacing w:before="0" w:after="30" w:line="240" w:lineRule="auto"/>
        <w:jc w:val="left"/>
      </w:pPr>
      <w:r>
        <w:rPr>
          <w:rFonts w:ascii="Times New Roman" w:hAnsi="Times New Roman" w:cs="Times New Roman" w:eastAsia="Times New Roman"/>
          <w:sz w:val="24"/>
          <w:szCs w:val="24"/>
          <w:lang w:val="en-US" w:bidi="fa-IR"/>
        </w:rPr>
        <w:t xml:space="preserve">Cookson, J. A., Engelberg, J. E., &amp; Mullins, W. (2023). Echo chambers. The Review of Financial Studies, 36(2), 450–500. https://doi.org/10.1093/rfs/hhac058</w:t>
      </w:r>
    </w:p>
    <w:p>
      <w:pPr>
        <w:spacing w:before="0" w:after="30" w:line="240" w:lineRule="auto"/>
        <w:jc w:val="left"/>
      </w:pPr>
      <w:r>
        <w:rPr>
          <w:rFonts w:ascii="Times New Roman" w:hAnsi="Times New Roman" w:cs="Times New Roman" w:eastAsia="Times New Roman"/>
          <w:sz w:val="24"/>
          <w:szCs w:val="24"/>
          <w:lang w:val="en-US" w:bidi="fa-IR"/>
        </w:rPr>
        <w:t xml:space="preserve">Da, Z., Engelberg, J., &amp; Gao, P. (2011). In search of attention. The Journal of Finance, 66(5), 1461–1499. https://doi.org/10.1111/j.1540-6261.2011.01679.x</w:t>
      </w:r>
    </w:p>
    <w:p>
      <w:pPr>
        <w:spacing w:before="0" w:after="30" w:line="240" w:lineRule="auto"/>
        <w:jc w:val="left"/>
      </w:pPr>
      <w:r>
        <w:rPr>
          <w:rFonts w:ascii="Times New Roman" w:hAnsi="Times New Roman" w:cs="Times New Roman" w:eastAsia="Times New Roman"/>
          <w:sz w:val="24"/>
          <w:szCs w:val="24"/>
          <w:lang w:val="en-US" w:bidi="fa-IR"/>
        </w:rPr>
        <w:t xml:space="preserve">Festinger, L. (1954). A theory of social comparison processes. Human Relations, 7(2), 117–140. https://doi.org/10.1177/001872675400700202</w:t>
      </w:r>
    </w:p>
    <w:p>
      <w:pPr>
        <w:spacing w:before="0" w:after="30" w:line="240" w:lineRule="auto"/>
        <w:jc w:val="left"/>
      </w:pPr>
      <w:r>
        <w:rPr>
          <w:rFonts w:ascii="Times New Roman" w:hAnsi="Times New Roman" w:cs="Times New Roman" w:eastAsia="Times New Roman"/>
          <w:sz w:val="24"/>
          <w:szCs w:val="24"/>
          <w:lang w:val="en-US" w:bidi="fa-IR"/>
        </w:rPr>
        <w:t xml:space="preserve">Fornell, C., &amp; Larcker, D. F. (1981). Evaluating structural equation models with unobservable variables and measurement error. Journal of Marketing Research, 18(1), 39–50. https://doi.org/10.1177/002224378101800104</w:t>
      </w:r>
    </w:p>
    <w:p>
      <w:pPr>
        <w:spacing w:before="0" w:after="30" w:line="240" w:lineRule="auto"/>
        <w:jc w:val="left"/>
      </w:pPr>
      <w:r>
        <w:rPr>
          <w:rFonts w:ascii="Times New Roman" w:hAnsi="Times New Roman" w:cs="Times New Roman" w:eastAsia="Times New Roman"/>
          <w:sz w:val="24"/>
          <w:szCs w:val="24"/>
          <w:lang w:val="en-US" w:bidi="fa-IR"/>
        </w:rPr>
        <w:t xml:space="preserve">Friedman, J. H. (2001). Greedy function approximation: A gradient boosting machine. The Annals of Statistics, 29(5), 1189–1232. https://doi.org/10.1214/aos/1013203451</w:t>
      </w:r>
    </w:p>
    <w:p>
      <w:pPr>
        <w:spacing w:before="0" w:after="30" w:line="240" w:lineRule="auto"/>
        <w:jc w:val="left"/>
      </w:pPr>
      <w:r>
        <w:rPr>
          <w:rFonts w:ascii="Times New Roman" w:hAnsi="Times New Roman" w:cs="Times New Roman" w:eastAsia="Times New Roman"/>
          <w:sz w:val="24"/>
          <w:szCs w:val="24"/>
          <w:lang w:val="en-US" w:bidi="fa-IR"/>
        </w:rPr>
        <w:t xml:space="preserve">Gibbons, F. X., &amp; Buunk, B. P. (1999). Individual differences in social comparison: Development of a scale of social comparison orientation. Journal of Personality and Social Psychology, 76(1), 129–142. https://doi.org/10.1037/0022-3514.76.1.129</w:t>
      </w:r>
    </w:p>
    <w:p>
      <w:pPr>
        <w:spacing w:before="0" w:after="30" w:line="240" w:lineRule="auto"/>
        <w:jc w:val="left"/>
      </w:pPr>
      <w:r>
        <w:rPr>
          <w:rFonts w:ascii="Times New Roman" w:hAnsi="Times New Roman" w:cs="Times New Roman" w:eastAsia="Times New Roman"/>
          <w:sz w:val="24"/>
          <w:szCs w:val="24"/>
          <w:lang w:val="en-US" w:bidi="fa-IR"/>
        </w:rPr>
        <w:t xml:space="preserve">Henseler, J., Ringle, C. M., &amp; Sarstedt, M. (2015). A new criterion for assessing discriminant validity in variance-based structural equation modeling. Journal of the Academy of Marketing Science, 43(1), 115–135. https://doi.org/10.1007/s11747-014-0403-8</w:t>
      </w:r>
    </w:p>
    <w:p>
      <w:pPr>
        <w:spacing w:before="0" w:after="30" w:line="240" w:lineRule="auto"/>
        <w:jc w:val="left"/>
      </w:pPr>
      <w:r>
        <w:rPr>
          <w:rFonts w:ascii="Times New Roman" w:hAnsi="Times New Roman" w:cs="Times New Roman" w:eastAsia="Times New Roman"/>
          <w:sz w:val="24"/>
          <w:szCs w:val="24"/>
          <w:lang w:val="en-US" w:bidi="fa-IR"/>
        </w:rPr>
        <w:t xml:space="preserve">Hirshleifer, D., &amp; Teoh, S. H. (2003b). Limited attention, information disclosure, and financial reporting. Journal of Accounting and Economics, 36(1–3), 337–386. https://doi.org/10.1016/j.jacceco.2003.10.002</w:t>
      </w:r>
    </w:p>
    <w:p>
      <w:pPr>
        <w:spacing w:before="0" w:after="30" w:line="240" w:lineRule="auto"/>
        <w:jc w:val="left"/>
      </w:pPr>
      <w:r>
        <w:rPr>
          <w:rFonts w:ascii="Times New Roman" w:hAnsi="Times New Roman" w:cs="Times New Roman" w:eastAsia="Times New Roman"/>
          <w:sz w:val="24"/>
          <w:szCs w:val="24"/>
          <w:lang w:val="en-US" w:bidi="fa-IR"/>
        </w:rPr>
        <w:t xml:space="preserve">Hu, L., &amp; Bentler, P. M. (1999). Cutoff criteria for fit indexes in covariance structure analysis: Conventional criteria versus new alternatives. Structural Equation Modeling, 6(1), 1–55. https://doi.org/10.1080/10705519909540118</w:t>
      </w:r>
    </w:p>
    <w:p>
      <w:pPr>
        <w:spacing w:before="0" w:after="30" w:line="240" w:lineRule="auto"/>
        <w:jc w:val="left"/>
      </w:pPr>
      <w:r>
        <w:rPr>
          <w:rFonts w:ascii="Times New Roman" w:hAnsi="Times New Roman" w:cs="Times New Roman" w:eastAsia="Times New Roman"/>
          <w:sz w:val="24"/>
          <w:szCs w:val="24"/>
          <w:lang w:val="en-US" w:bidi="fa-IR"/>
        </w:rPr>
        <w:t xml:space="preserve">Igolkina, A. A., &amp; Meshcheryakov, G. (2020). semopy: A Python package for structural equation modeling. Structural Equation Modeling, 27(6), 952–963. https://doi.org/10.1080/10705511.2019.1704289</w:t>
      </w:r>
    </w:p>
    <w:p>
      <w:pPr>
        <w:spacing w:before="0" w:after="30" w:line="240" w:lineRule="auto"/>
        <w:jc w:val="left"/>
      </w:pPr>
      <w:r>
        <w:rPr>
          <w:rFonts w:ascii="Times New Roman" w:hAnsi="Times New Roman" w:cs="Times New Roman" w:eastAsia="Times New Roman"/>
          <w:sz w:val="24"/>
          <w:szCs w:val="24"/>
          <w:lang w:val="en-US" w:bidi="fa-IR"/>
        </w:rPr>
        <w:t xml:space="preserve">Kahneman, D., &amp; Tversky, A. (1979). Prospect theory: An analysis of decision under risk. Econometrica, 47(2), 263–291. https://doi.org/10.2307/1914185</w:t>
      </w:r>
    </w:p>
    <w:p>
      <w:pPr>
        <w:spacing w:before="0" w:after="30" w:line="240" w:lineRule="auto"/>
        <w:jc w:val="left"/>
      </w:pPr>
      <w:r>
        <w:rPr>
          <w:rFonts w:ascii="Times New Roman" w:hAnsi="Times New Roman" w:cs="Times New Roman" w:eastAsia="Times New Roman"/>
          <w:sz w:val="24"/>
          <w:szCs w:val="24"/>
          <w:lang w:val="en-US" w:bidi="fa-IR"/>
        </w:rPr>
        <w:t xml:space="preserve">Lawrence, A. (2013). Individual investors and financial disclosure. Journal of Accounting and Economics, 56(1), 130–147. https://doi.org/10.1016/j.jacceco.2013.05.001</w:t>
      </w:r>
    </w:p>
    <w:p>
      <w:pPr>
        <w:spacing w:before="0" w:after="30" w:line="240" w:lineRule="auto"/>
        <w:jc w:val="left"/>
      </w:pPr>
      <w:r>
        <w:rPr>
          <w:rFonts w:ascii="Times New Roman" w:hAnsi="Times New Roman" w:cs="Times New Roman" w:eastAsia="Times New Roman"/>
          <w:sz w:val="24"/>
          <w:szCs w:val="24"/>
          <w:lang w:val="en-US" w:bidi="fa-IR"/>
        </w:rPr>
        <w:t xml:space="preserve">Lerner, J. S., Li, Y., Valdesolo, P., &amp; Kassam, K. S. (2015). Emotion and decision making. Annual Review of Psychology, 66, 799–823. https://doi.org/10.1146/annurev-psych-010213-115043</w:t>
      </w:r>
    </w:p>
    <w:p>
      <w:pPr>
        <w:spacing w:before="0" w:after="30" w:line="240" w:lineRule="auto"/>
        <w:jc w:val="left"/>
      </w:pPr>
      <w:r>
        <w:rPr>
          <w:rFonts w:ascii="Times New Roman" w:hAnsi="Times New Roman" w:cs="Times New Roman" w:eastAsia="Times New Roman"/>
          <w:sz w:val="24"/>
          <w:szCs w:val="24"/>
          <w:lang w:val="en-US" w:bidi="fa-IR"/>
        </w:rPr>
        <w:t xml:space="preserve">Loomes, G., &amp; Sugden, R. (1982). Regret theory: An alternative theory of rational choice under uncertainty. The Economic Journal, 92(368), 805–824. https://doi.org/10.2307/2232669</w:t>
      </w:r>
    </w:p>
    <w:p>
      <w:pPr>
        <w:spacing w:before="0" w:after="30" w:line="240" w:lineRule="auto"/>
        <w:jc w:val="left"/>
      </w:pPr>
      <w:r>
        <w:rPr>
          <w:rFonts w:ascii="Times New Roman" w:hAnsi="Times New Roman" w:cs="Times New Roman" w:eastAsia="Times New Roman"/>
          <w:sz w:val="24"/>
          <w:szCs w:val="24"/>
          <w:lang w:val="en-US" w:bidi="fa-IR"/>
        </w:rPr>
        <w:t xml:space="preserve">Lundberg, S. M., &amp; Lee, S.-I. (2017). A unified approach to interpreting model predictions. In Advances in Neural Information Processing Systems (Vol. 30, pp. 4765–4774). Curran Associates.</w:t>
      </w:r>
    </w:p>
    <w:p>
      <w:pPr>
        <w:spacing w:before="0" w:after="30" w:line="240" w:lineRule="auto"/>
        <w:jc w:val="left"/>
      </w:pPr>
      <w:r>
        <w:rPr>
          <w:rFonts w:ascii="Times New Roman" w:hAnsi="Times New Roman" w:cs="Times New Roman" w:eastAsia="Times New Roman"/>
          <w:sz w:val="24"/>
          <w:szCs w:val="24"/>
          <w:lang w:val="en-US" w:bidi="fa-IR"/>
        </w:rPr>
        <w:t xml:space="preserve">Lusardi, A., &amp; Mitchell, O. S. (2014). The economic importance of financial literacy: Theory and evidence. Journal of Economic Literature, 52(1), 5–44. https://doi.org/10.1257/jel.52.1.5</w:t>
      </w:r>
    </w:p>
    <w:p>
      <w:pPr>
        <w:spacing w:before="0" w:after="30" w:line="240" w:lineRule="auto"/>
        <w:jc w:val="left"/>
      </w:pPr>
      <w:r>
        <w:rPr>
          <w:rFonts w:ascii="Times New Roman" w:hAnsi="Times New Roman" w:cs="Times New Roman" w:eastAsia="Times New Roman"/>
          <w:sz w:val="24"/>
          <w:szCs w:val="24"/>
          <w:lang w:val="en-US" w:bidi="fa-IR"/>
        </w:rPr>
        <w:t xml:space="preserve">MacCallum, R. C., Browne, M. W., &amp; Sugawara, H. M. (1996). Power analysis and determination of sample size for covariance structure modeling. Psychological Methods, 1(2), 130–149. https://doi.org/10.1037/1082-989X.1.2.130</w:t>
      </w:r>
    </w:p>
    <w:p>
      <w:pPr>
        <w:spacing w:before="0" w:after="30" w:line="240" w:lineRule="auto"/>
        <w:jc w:val="left"/>
      </w:pPr>
      <w:r>
        <w:rPr>
          <w:rFonts w:ascii="Times New Roman" w:hAnsi="Times New Roman" w:cs="Times New Roman" w:eastAsia="Times New Roman"/>
          <w:sz w:val="24"/>
          <w:szCs w:val="24"/>
          <w:lang w:val="en-US" w:bidi="fa-IR"/>
        </w:rPr>
        <w:t xml:space="preserve">Miller, G. S., &amp; Skinner, D. J. (2015). The evolving disclosure landscape: How changes in technology, the media, and capital markets are affecting disclosure. Journal of Accounting Research, 53(2), 221–239. https://doi.org/10.1111/1475-679X.12075</w:t>
      </w:r>
    </w:p>
    <w:p>
      <w:pPr>
        <w:spacing w:before="0" w:after="30" w:line="240" w:lineRule="auto"/>
        <w:jc w:val="left"/>
      </w:pPr>
      <w:r>
        <w:rPr>
          <w:rFonts w:ascii="Times New Roman" w:hAnsi="Times New Roman" w:cs="Times New Roman" w:eastAsia="Times New Roman"/>
          <w:sz w:val="24"/>
          <w:szCs w:val="24"/>
          <w:lang w:val="en-US" w:bidi="fa-IR"/>
        </w:rPr>
        <w:t xml:space="preserve">Milyavskaya, M., Saffran, M., Hope, N., &amp; Koestner, R. (2018). Fear of missing out: Prevalence, dynamics, and consequences of experiencing FOMO. Motivation and Emotion, 42(5), 725–737. https://doi.org/10.1007/s11031-018-9683-5</w:t>
      </w:r>
    </w:p>
    <w:p>
      <w:pPr>
        <w:spacing w:before="0" w:after="30" w:line="240" w:lineRule="auto"/>
        <w:jc w:val="left"/>
      </w:pPr>
      <w:r>
        <w:rPr>
          <w:rFonts w:ascii="Times New Roman" w:hAnsi="Times New Roman" w:cs="Times New Roman" w:eastAsia="Times New Roman"/>
          <w:sz w:val="24"/>
          <w:szCs w:val="24"/>
          <w:lang w:val="en-US" w:bidi="fa-IR"/>
        </w:rPr>
        <w:t xml:space="preserve">Nadeau, C., &amp; Bengio, Y. (2003). Inference for the generalization error. Machine Learning, 52(3), 239–281. https://doi.org/10.1023/A:1024068626366</w:t>
      </w:r>
    </w:p>
    <w:p>
      <w:pPr>
        <w:spacing w:before="0" w:after="30" w:line="240" w:lineRule="auto"/>
        <w:jc w:val="left"/>
      </w:pPr>
      <w:r>
        <w:rPr>
          <w:rFonts w:ascii="Times New Roman" w:hAnsi="Times New Roman" w:cs="Times New Roman" w:eastAsia="Times New Roman"/>
          <w:sz w:val="24"/>
          <w:szCs w:val="24"/>
          <w:lang w:val="en-US" w:bidi="fa-IR"/>
        </w:rPr>
        <w:t xml:space="preserve">Odean, T. (1998). Are investors reluctant to realize their losses? The Journal of Finance, 53(5), 1775–1798. https://doi.org/10.1111/0022-1082.00072</w:t>
      </w:r>
    </w:p>
    <w:p>
      <w:pPr>
        <w:spacing w:before="0" w:after="30" w:line="240" w:lineRule="auto"/>
        <w:jc w:val="left"/>
      </w:pPr>
      <w:r>
        <w:rPr>
          <w:rFonts w:ascii="Times New Roman" w:hAnsi="Times New Roman" w:cs="Times New Roman" w:eastAsia="Times New Roman"/>
          <w:sz w:val="24"/>
          <w:szCs w:val="24"/>
          <w:lang w:val="en-US" w:bidi="fa-IR"/>
        </w:rPr>
        <w:t xml:space="preserve">Parker, A. M., &amp; Fischhoff, B. (2005). Decision-making competence: External validation through an individual-differences approach. Journal of Behavioral Decision Making, 18(1), 1–27. https://doi.org/10.1002/bdm.481</w:t>
      </w:r>
    </w:p>
    <w:p>
      <w:pPr>
        <w:spacing w:before="0" w:after="30" w:line="240" w:lineRule="auto"/>
        <w:jc w:val="left"/>
      </w:pPr>
      <w:r>
        <w:rPr>
          <w:rFonts w:ascii="Times New Roman" w:hAnsi="Times New Roman" w:cs="Times New Roman" w:eastAsia="Times New Roman"/>
          <w:sz w:val="24"/>
          <w:szCs w:val="24"/>
          <w:lang w:val="en-US" w:bidi="fa-IR"/>
        </w:rPr>
        <w:t xml:space="preserve">Pedregosa, F., Varoquaux, G., Gramfort, A., Michel, V., Thirion, B., Grisel, O., … Duchesnay, É. (2011). Scikit-learn: Machine learning in Python. Journal of Machine Learning Research, 12, 2825–2830.</w:t>
      </w:r>
    </w:p>
    <w:p>
      <w:pPr>
        <w:spacing w:before="0" w:after="30" w:line="240" w:lineRule="auto"/>
        <w:jc w:val="left"/>
      </w:pPr>
      <w:r>
        <w:rPr>
          <w:rFonts w:ascii="Times New Roman" w:hAnsi="Times New Roman" w:cs="Times New Roman" w:eastAsia="Times New Roman"/>
          <w:sz w:val="24"/>
          <w:szCs w:val="24"/>
          <w:lang w:val="en-US" w:bidi="fa-IR"/>
        </w:rPr>
        <w:t xml:space="preserve">Podsakoff, P. M., MacKenzie, S. B., Lee, J.-Y., &amp; Podsakoff, N. P. (2003). Common method biases in behavioral research: A critical review of the literature and recommended remedies. Journal of Applied Psychology, 88(5), 879–903. https://doi.org/10.1037/0021-9010.88.5.879</w:t>
      </w:r>
    </w:p>
    <w:p>
      <w:pPr>
        <w:spacing w:before="0" w:after="30" w:line="240" w:lineRule="auto"/>
        <w:jc w:val="left"/>
      </w:pPr>
      <w:r>
        <w:rPr>
          <w:rFonts w:ascii="Times New Roman" w:hAnsi="Times New Roman" w:cs="Times New Roman" w:eastAsia="Times New Roman"/>
          <w:sz w:val="24"/>
          <w:szCs w:val="24"/>
          <w:lang w:val="en-US" w:bidi="fa-IR"/>
        </w:rPr>
        <w:t xml:space="preserve">Preacher, K. J., &amp; Hayes, A. F. (2008). Asymptotic and resampling strategies for assessing and comparing indirect effects in multiple mediator models. Behavior Research Methods, 40(3), 879–891. https://doi.org/10.3758/BRM.40.3.879</w:t>
      </w:r>
    </w:p>
    <w:p>
      <w:pPr>
        <w:spacing w:before="0" w:after="30" w:line="240" w:lineRule="auto"/>
        <w:jc w:val="left"/>
      </w:pPr>
      <w:r>
        <w:rPr>
          <w:rFonts w:ascii="Times New Roman" w:hAnsi="Times New Roman" w:cs="Times New Roman" w:eastAsia="Times New Roman"/>
          <w:sz w:val="24"/>
          <w:szCs w:val="24"/>
          <w:lang w:val="en-US" w:bidi="fa-IR"/>
        </w:rPr>
        <w:t xml:space="preserve">Przybylski, A. K., Murayama, K., DeHaan, C. R., &amp; Gladwell, V. (2013). Motivational, emotional, and behavioral correlates of fear of missing out. Computers in Human Behavior, 29(4), 1841–1848. https://doi.org/10.1016/j.chb.2013.02.014</w:t>
      </w:r>
    </w:p>
    <w:p>
      <w:pPr>
        <w:spacing w:before="0" w:after="30" w:line="240" w:lineRule="auto"/>
        <w:jc w:val="left"/>
      </w:pPr>
      <w:r>
        <w:rPr>
          <w:rFonts w:ascii="Times New Roman" w:hAnsi="Times New Roman" w:cs="Times New Roman" w:eastAsia="Times New Roman"/>
          <w:sz w:val="24"/>
          <w:szCs w:val="24"/>
          <w:lang w:val="en-US" w:bidi="fa-IR"/>
        </w:rPr>
        <w:t xml:space="preserve">Sandberg, T., &amp; Conner, M. (2008). Anticipated regret as an additional predictor in the theory of planned behaviour: A meta-analysis. British Journal of Social Psychology, 47(4), 589–606. https://doi.org/10.1348/014466607X258704</w:t>
      </w:r>
    </w:p>
    <w:p>
      <w:pPr>
        <w:spacing w:before="0" w:after="30" w:line="240" w:lineRule="auto"/>
        <w:jc w:val="left"/>
      </w:pPr>
      <w:r>
        <w:rPr>
          <w:rFonts w:ascii="Times New Roman" w:hAnsi="Times New Roman" w:cs="Times New Roman" w:eastAsia="Times New Roman"/>
          <w:sz w:val="24"/>
          <w:szCs w:val="24"/>
          <w:lang w:val="en-US" w:bidi="fa-IR"/>
        </w:rPr>
        <w:t xml:space="preserve">Schwartz, B., Ward, A., Monterosso, J., Lyubomirsky, S., White, K., &amp; Lehman, D. R. (2002). Maximizing versus satisficing: Happiness is a matter of choice. Journal of Personality and Social Psychology, 83(5), 1178–1197. https://doi.org/10.1037/0022-3514.83.5.1178</w:t>
      </w:r>
    </w:p>
    <w:p>
      <w:pPr>
        <w:spacing w:before="0" w:after="30" w:line="240" w:lineRule="auto"/>
        <w:jc w:val="left"/>
      </w:pPr>
      <w:r>
        <w:rPr>
          <w:rFonts w:ascii="Times New Roman" w:hAnsi="Times New Roman" w:cs="Times New Roman" w:eastAsia="Times New Roman"/>
          <w:sz w:val="24"/>
          <w:szCs w:val="24"/>
          <w:lang w:val="en-US" w:bidi="fa-IR"/>
        </w:rPr>
        <w:t xml:space="preserve">Wolf, E. J., Harrington, K. M., Clark, S. L., &amp; Miller, M. W. (2013). Sample size requirements for structural equation models: An evaluation of power, bias, and solution propriety. Educational and Psychological Measurement, 73(6), 913–934. https://doi.org/10.1177/0013164413495237</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 w:id="1">
    <w:p>
      <w:pPr>
        <w:bidi w:val="0"/>
        <w:spacing w:after="0" w:line="240" w:lineRule="auto"/>
        <w:jc w:val="left"/>
      </w:pPr>
      <w:r>
        <w:rPr>
          <w:rFonts w:ascii="Times New Roman" w:hAnsi="Times New Roman" w:cs="Times New Roman"/>
          <w:sz w:val="22"/>
          <w:szCs w:val="22"/>
          <w:vertAlign w:val="superscript"/>
        </w:rPr>
        <w:t xml:space="preserve">۱ </w:t>
      </w:r>
      <w:r>
        <w:rPr>
          <w:rFonts w:ascii="Times New Roman" w:hAnsi="Times New Roman" w:cs="Times New Roman"/>
          <w:sz w:val="22"/>
          <w:szCs w:val="22"/>
        </w:rPr>
        <w:t xml:space="preserve">Barber &amp; Odean</w:t>
      </w:r>
    </w:p>
  </w:footnote>
  <w:footnote w:id="2">
    <w:p>
      <w:pPr>
        <w:bidi w:val="0"/>
        <w:spacing w:after="0" w:line="240" w:lineRule="auto"/>
        <w:jc w:val="left"/>
      </w:pPr>
      <w:r>
        <w:rPr>
          <w:rFonts w:ascii="Times New Roman" w:hAnsi="Times New Roman" w:cs="Times New Roman"/>
          <w:sz w:val="22"/>
          <w:szCs w:val="22"/>
          <w:vertAlign w:val="superscript"/>
        </w:rPr>
        <w:t xml:space="preserve">۲ </w:t>
      </w:r>
      <w:r>
        <w:rPr>
          <w:rFonts w:ascii="Times New Roman" w:hAnsi="Times New Roman" w:cs="Times New Roman"/>
          <w:sz w:val="22"/>
          <w:szCs w:val="22"/>
        </w:rPr>
        <w:t xml:space="preserve">Da et al.</w:t>
      </w:r>
    </w:p>
  </w:footnote>
  <w:footnote w:id="3">
    <w:p>
      <w:pPr>
        <w:bidi w:val="0"/>
        <w:spacing w:after="0" w:line="240" w:lineRule="auto"/>
        <w:jc w:val="left"/>
      </w:pPr>
      <w:r>
        <w:rPr>
          <w:rFonts w:ascii="Times New Roman" w:hAnsi="Times New Roman" w:cs="Times New Roman"/>
          <w:sz w:val="22"/>
          <w:szCs w:val="22"/>
          <w:vertAlign w:val="superscript"/>
        </w:rPr>
        <w:t xml:space="preserve">۳ </w:t>
      </w:r>
      <w:r>
        <w:rPr>
          <w:rFonts w:ascii="Times New Roman" w:hAnsi="Times New Roman" w:cs="Times New Roman"/>
          <w:sz w:val="22"/>
          <w:szCs w:val="22"/>
        </w:rPr>
        <w:t xml:space="preserve">Blankespoor et al.</w:t>
      </w:r>
    </w:p>
  </w:footnote>
  <w:footnote w:id="4">
    <w:p>
      <w:pPr>
        <w:bidi w:val="0"/>
        <w:spacing w:after="0" w:line="240" w:lineRule="auto"/>
        <w:jc w:val="left"/>
      </w:pPr>
      <w:r>
        <w:rPr>
          <w:rFonts w:ascii="Times New Roman" w:hAnsi="Times New Roman" w:cs="Times New Roman"/>
          <w:sz w:val="22"/>
          <w:szCs w:val="22"/>
          <w:vertAlign w:val="superscript"/>
        </w:rPr>
        <w:t xml:space="preserve">۴ </w:t>
      </w:r>
      <w:r>
        <w:rPr>
          <w:rFonts w:ascii="Times New Roman" w:hAnsi="Times New Roman" w:cs="Times New Roman"/>
          <w:sz w:val="22"/>
          <w:szCs w:val="22"/>
        </w:rPr>
        <w:t xml:space="preserve">Cookson et al.</w:t>
      </w:r>
    </w:p>
  </w:footnote>
  <w:footnote w:id="5">
    <w:p>
      <w:pPr>
        <w:bidi w:val="0"/>
        <w:spacing w:after="0" w:line="240" w:lineRule="auto"/>
        <w:jc w:val="left"/>
      </w:pPr>
      <w:r>
        <w:rPr>
          <w:rFonts w:ascii="Times New Roman" w:hAnsi="Times New Roman" w:cs="Times New Roman"/>
          <w:sz w:val="22"/>
          <w:szCs w:val="22"/>
          <w:vertAlign w:val="superscript"/>
        </w:rPr>
        <w:t xml:space="preserve">۵ </w:t>
      </w:r>
      <w:r>
        <w:rPr>
          <w:rFonts w:ascii="Times New Roman" w:hAnsi="Times New Roman" w:cs="Times New Roman"/>
          <w:sz w:val="22"/>
          <w:szCs w:val="22"/>
        </w:rPr>
        <w:t xml:space="preserve">Fear of Missing Out</w:t>
      </w:r>
    </w:p>
  </w:footnote>
  <w:footnote w:id="6">
    <w:p>
      <w:pPr>
        <w:bidi w:val="0"/>
        <w:spacing w:after="0" w:line="240" w:lineRule="auto"/>
        <w:jc w:val="left"/>
      </w:pPr>
      <w:r>
        <w:rPr>
          <w:rFonts w:ascii="Times New Roman" w:hAnsi="Times New Roman" w:cs="Times New Roman"/>
          <w:sz w:val="22"/>
          <w:szCs w:val="22"/>
          <w:vertAlign w:val="superscript"/>
        </w:rPr>
        <w:t xml:space="preserve">۶ </w:t>
      </w:r>
      <w:r>
        <w:rPr>
          <w:rFonts w:ascii="Times New Roman" w:hAnsi="Times New Roman" w:cs="Times New Roman"/>
          <w:sz w:val="22"/>
          <w:szCs w:val="22"/>
        </w:rPr>
        <w:t xml:space="preserve">Przybylski et al.</w:t>
      </w:r>
    </w:p>
  </w:footnote>
  <w:footnote w:id="7">
    <w:p>
      <w:pPr>
        <w:bidi w:val="0"/>
        <w:spacing w:after="0" w:line="240" w:lineRule="auto"/>
        <w:jc w:val="left"/>
      </w:pPr>
      <w:r>
        <w:rPr>
          <w:rFonts w:ascii="Times New Roman" w:hAnsi="Times New Roman" w:cs="Times New Roman"/>
          <w:sz w:val="22"/>
          <w:szCs w:val="22"/>
          <w:vertAlign w:val="superscript"/>
        </w:rPr>
        <w:t xml:space="preserve">۷ </w:t>
      </w:r>
      <w:r>
        <w:rPr>
          <w:rFonts w:ascii="Times New Roman" w:hAnsi="Times New Roman" w:cs="Times New Roman"/>
          <w:sz w:val="22"/>
          <w:szCs w:val="22"/>
        </w:rPr>
        <w:t xml:space="preserve">Abel et al.</w:t>
      </w:r>
    </w:p>
  </w:footnote>
  <w:footnote w:id="8">
    <w:p>
      <w:pPr>
        <w:bidi w:val="0"/>
        <w:spacing w:after="0" w:line="240" w:lineRule="auto"/>
        <w:jc w:val="left"/>
      </w:pPr>
      <w:r>
        <w:rPr>
          <w:rFonts w:ascii="Times New Roman" w:hAnsi="Times New Roman" w:cs="Times New Roman"/>
          <w:sz w:val="22"/>
          <w:szCs w:val="22"/>
          <w:vertAlign w:val="superscript"/>
        </w:rPr>
        <w:t xml:space="preserve">۸ </w:t>
      </w:r>
      <w:r>
        <w:rPr>
          <w:rFonts w:ascii="Times New Roman" w:hAnsi="Times New Roman" w:cs="Times New Roman"/>
          <w:sz w:val="22"/>
          <w:szCs w:val="22"/>
        </w:rPr>
        <w:t xml:space="preserve">Milyavskaya et al.</w:t>
      </w:r>
    </w:p>
  </w:footnote>
  <w:footnote w:id="9">
    <w:p>
      <w:pPr>
        <w:bidi w:val="0"/>
        <w:spacing w:after="0" w:line="240" w:lineRule="auto"/>
        <w:jc w:val="left"/>
      </w:pPr>
      <w:r>
        <w:rPr>
          <w:rFonts w:ascii="Times New Roman" w:hAnsi="Times New Roman" w:cs="Times New Roman"/>
          <w:sz w:val="22"/>
          <w:szCs w:val="22"/>
          <w:vertAlign w:val="superscript"/>
        </w:rPr>
        <w:t xml:space="preserve">۹ </w:t>
      </w:r>
      <w:r>
        <w:rPr>
          <w:rFonts w:ascii="Times New Roman" w:hAnsi="Times New Roman" w:cs="Times New Roman"/>
          <w:sz w:val="22"/>
          <w:szCs w:val="22"/>
        </w:rPr>
        <w:t xml:space="preserve">Social comparison</w:t>
      </w:r>
    </w:p>
  </w:footnote>
  <w:footnote w:id="10">
    <w:p>
      <w:pPr>
        <w:bidi w:val="0"/>
        <w:spacing w:after="0" w:line="240" w:lineRule="auto"/>
        <w:jc w:val="left"/>
      </w:pPr>
      <w:r>
        <w:rPr>
          <w:rFonts w:ascii="Times New Roman" w:hAnsi="Times New Roman" w:cs="Times New Roman"/>
          <w:sz w:val="22"/>
          <w:szCs w:val="22"/>
          <w:vertAlign w:val="superscript"/>
        </w:rPr>
        <w:t xml:space="preserve">۱۰ </w:t>
      </w:r>
      <w:r>
        <w:rPr>
          <w:rFonts w:ascii="Times New Roman" w:hAnsi="Times New Roman" w:cs="Times New Roman"/>
          <w:sz w:val="22"/>
          <w:szCs w:val="22"/>
        </w:rPr>
        <w:t xml:space="preserve">Festinger</w:t>
      </w:r>
    </w:p>
  </w:footnote>
  <w:footnote w:id="11">
    <w:p>
      <w:pPr>
        <w:bidi w:val="0"/>
        <w:spacing w:after="0" w:line="240" w:lineRule="auto"/>
        <w:jc w:val="left"/>
      </w:pPr>
      <w:r>
        <w:rPr>
          <w:rFonts w:ascii="Times New Roman" w:hAnsi="Times New Roman" w:cs="Times New Roman"/>
          <w:sz w:val="22"/>
          <w:szCs w:val="22"/>
          <w:vertAlign w:val="superscript"/>
        </w:rPr>
        <w:t xml:space="preserve">۱۱ </w:t>
      </w:r>
      <w:r>
        <w:rPr>
          <w:rFonts w:ascii="Times New Roman" w:hAnsi="Times New Roman" w:cs="Times New Roman"/>
          <w:sz w:val="22"/>
          <w:szCs w:val="22"/>
        </w:rPr>
        <w:t xml:space="preserve">Gibbons &amp; Buunk</w:t>
      </w:r>
    </w:p>
  </w:footnote>
  <w:footnote w:id="12">
    <w:p>
      <w:pPr>
        <w:bidi w:val="0"/>
        <w:spacing w:after="0" w:line="240" w:lineRule="auto"/>
        <w:jc w:val="left"/>
      </w:pPr>
      <w:r>
        <w:rPr>
          <w:rFonts w:ascii="Times New Roman" w:hAnsi="Times New Roman" w:cs="Times New Roman"/>
          <w:sz w:val="22"/>
          <w:szCs w:val="22"/>
          <w:vertAlign w:val="superscript"/>
        </w:rPr>
        <w:t xml:space="preserve">۱۲ </w:t>
      </w:r>
      <w:r>
        <w:rPr>
          <w:rFonts w:ascii="Times New Roman" w:hAnsi="Times New Roman" w:cs="Times New Roman"/>
          <w:sz w:val="22"/>
          <w:szCs w:val="22"/>
        </w:rPr>
        <w:t xml:space="preserve">Anticipated regret</w:t>
      </w:r>
    </w:p>
  </w:footnote>
  <w:footnote w:id="13">
    <w:p>
      <w:pPr>
        <w:bidi w:val="0"/>
        <w:spacing w:after="0" w:line="240" w:lineRule="auto"/>
        <w:jc w:val="left"/>
      </w:pPr>
      <w:r>
        <w:rPr>
          <w:rFonts w:ascii="Times New Roman" w:hAnsi="Times New Roman" w:cs="Times New Roman"/>
          <w:sz w:val="22"/>
          <w:szCs w:val="22"/>
          <w:vertAlign w:val="superscript"/>
        </w:rPr>
        <w:t xml:space="preserve">۱۳ </w:t>
      </w:r>
      <w:r>
        <w:rPr>
          <w:rFonts w:ascii="Times New Roman" w:hAnsi="Times New Roman" w:cs="Times New Roman"/>
          <w:sz w:val="22"/>
          <w:szCs w:val="22"/>
        </w:rPr>
        <w:t xml:space="preserve">Loomes &amp; Sugden</w:t>
      </w:r>
    </w:p>
  </w:footnote>
  <w:footnote w:id="14">
    <w:p>
      <w:pPr>
        <w:bidi w:val="0"/>
        <w:spacing w:after="0" w:line="240" w:lineRule="auto"/>
        <w:jc w:val="left"/>
      </w:pPr>
      <w:r>
        <w:rPr>
          <w:rFonts w:ascii="Times New Roman" w:hAnsi="Times New Roman" w:cs="Times New Roman"/>
          <w:sz w:val="22"/>
          <w:szCs w:val="22"/>
          <w:vertAlign w:val="superscript"/>
        </w:rPr>
        <w:t xml:space="preserve">۱۴ </w:t>
      </w:r>
      <w:r>
        <w:rPr>
          <w:rFonts w:ascii="Times New Roman" w:hAnsi="Times New Roman" w:cs="Times New Roman"/>
          <w:sz w:val="22"/>
          <w:szCs w:val="22"/>
        </w:rPr>
        <w:t xml:space="preserve">Sandberg &amp; Conner</w:t>
      </w:r>
    </w:p>
  </w:footnote>
  <w:footnote w:id="15">
    <w:p>
      <w:pPr>
        <w:bidi w:val="0"/>
        <w:spacing w:after="0" w:line="240" w:lineRule="auto"/>
        <w:jc w:val="left"/>
      </w:pPr>
      <w:r>
        <w:rPr>
          <w:rFonts w:ascii="Times New Roman" w:hAnsi="Times New Roman" w:cs="Times New Roman"/>
          <w:sz w:val="22"/>
          <w:szCs w:val="22"/>
          <w:vertAlign w:val="superscript"/>
        </w:rPr>
        <w:t xml:space="preserve">۱۵ </w:t>
      </w:r>
      <w:r>
        <w:rPr>
          <w:rFonts w:ascii="Times New Roman" w:hAnsi="Times New Roman" w:cs="Times New Roman"/>
          <w:sz w:val="22"/>
          <w:szCs w:val="22"/>
        </w:rPr>
        <w:t xml:space="preserve">Schwartz et al.</w:t>
      </w:r>
    </w:p>
  </w:footnote>
  <w:footnote w:id="16">
    <w:p>
      <w:pPr>
        <w:bidi w:val="0"/>
        <w:spacing w:after="0" w:line="240" w:lineRule="auto"/>
        <w:jc w:val="left"/>
      </w:pPr>
      <w:r>
        <w:rPr>
          <w:rFonts w:ascii="Times New Roman" w:hAnsi="Times New Roman" w:cs="Times New Roman"/>
          <w:sz w:val="22"/>
          <w:szCs w:val="22"/>
          <w:vertAlign w:val="superscript"/>
        </w:rPr>
        <w:t xml:space="preserve">۱۶ </w:t>
      </w:r>
      <w:r>
        <w:rPr>
          <w:rFonts w:ascii="Times New Roman" w:hAnsi="Times New Roman" w:cs="Times New Roman"/>
          <w:sz w:val="22"/>
          <w:szCs w:val="22"/>
        </w:rPr>
        <w:t xml:space="preserve">Hirshleifer &amp; Teoh</w:t>
      </w:r>
    </w:p>
  </w:footnote>
  <w:footnote w:id="17">
    <w:p>
      <w:pPr>
        <w:bidi w:val="0"/>
        <w:spacing w:after="0" w:line="240" w:lineRule="auto"/>
        <w:jc w:val="left"/>
      </w:pPr>
      <w:r>
        <w:rPr>
          <w:rFonts w:ascii="Times New Roman" w:hAnsi="Times New Roman" w:cs="Times New Roman"/>
          <w:sz w:val="22"/>
          <w:szCs w:val="22"/>
          <w:vertAlign w:val="superscript"/>
        </w:rPr>
        <w:t xml:space="preserve">۱۷ </w:t>
      </w:r>
      <w:r>
        <w:rPr>
          <w:rFonts w:ascii="Times New Roman" w:hAnsi="Times New Roman" w:cs="Times New Roman"/>
          <w:sz w:val="22"/>
          <w:szCs w:val="22"/>
        </w:rPr>
        <w:t xml:space="preserve">Ball &amp; Brown</w:t>
      </w:r>
    </w:p>
  </w:footnote>
  <w:footnote w:id="18">
    <w:p>
      <w:pPr>
        <w:bidi w:val="0"/>
        <w:spacing w:after="0" w:line="240" w:lineRule="auto"/>
        <w:jc w:val="left"/>
      </w:pPr>
      <w:r>
        <w:rPr>
          <w:rFonts w:ascii="Times New Roman" w:hAnsi="Times New Roman" w:cs="Times New Roman"/>
          <w:sz w:val="22"/>
          <w:szCs w:val="22"/>
          <w:vertAlign w:val="superscript"/>
        </w:rPr>
        <w:t xml:space="preserve">۱۸ </w:t>
      </w:r>
      <w:r>
        <w:rPr>
          <w:rFonts w:ascii="Times New Roman" w:hAnsi="Times New Roman" w:cs="Times New Roman"/>
          <w:sz w:val="22"/>
          <w:szCs w:val="22"/>
        </w:rPr>
        <w:t xml:space="preserve">Beaver</w:t>
      </w:r>
    </w:p>
  </w:footnote>
  <w:footnote w:id="19">
    <w:p>
      <w:pPr>
        <w:bidi w:val="0"/>
        <w:spacing w:after="0" w:line="240" w:lineRule="auto"/>
        <w:jc w:val="left"/>
      </w:pPr>
      <w:r>
        <w:rPr>
          <w:rFonts w:ascii="Times New Roman" w:hAnsi="Times New Roman" w:cs="Times New Roman"/>
          <w:sz w:val="22"/>
          <w:szCs w:val="22"/>
          <w:vertAlign w:val="superscript"/>
        </w:rPr>
        <w:t xml:space="preserve">۱۹ </w:t>
      </w:r>
      <w:r>
        <w:rPr>
          <w:rFonts w:ascii="Times New Roman" w:hAnsi="Times New Roman" w:cs="Times New Roman"/>
          <w:sz w:val="22"/>
          <w:szCs w:val="22"/>
        </w:rPr>
        <w:t xml:space="preserve">Lawrence</w:t>
      </w:r>
    </w:p>
  </w:footnote>
  <w:footnote w:id="20">
    <w:p>
      <w:pPr>
        <w:bidi w:val="0"/>
        <w:spacing w:after="0" w:line="240" w:lineRule="auto"/>
        <w:jc w:val="left"/>
      </w:pPr>
      <w:r>
        <w:rPr>
          <w:rFonts w:ascii="Times New Roman" w:hAnsi="Times New Roman" w:cs="Times New Roman"/>
          <w:sz w:val="22"/>
          <w:szCs w:val="22"/>
          <w:vertAlign w:val="superscript"/>
        </w:rPr>
        <w:t xml:space="preserve">۲۰ </w:t>
      </w:r>
      <w:r>
        <w:rPr>
          <w:rFonts w:ascii="Times New Roman" w:hAnsi="Times New Roman" w:cs="Times New Roman"/>
          <w:sz w:val="22"/>
          <w:szCs w:val="22"/>
        </w:rPr>
        <w:t xml:space="preserve">Miller &amp; Skinner</w:t>
      </w:r>
    </w:p>
  </w:footnote>
  <w:footnote w:id="21">
    <w:p>
      <w:pPr>
        <w:bidi w:val="0"/>
        <w:spacing w:after="0" w:line="240" w:lineRule="auto"/>
        <w:jc w:val="left"/>
      </w:pPr>
      <w:r>
        <w:rPr>
          <w:rFonts w:ascii="Times New Roman" w:hAnsi="Times New Roman" w:cs="Times New Roman"/>
          <w:sz w:val="22"/>
          <w:szCs w:val="22"/>
          <w:vertAlign w:val="superscript"/>
        </w:rPr>
        <w:t xml:space="preserve">۲۱ </w:t>
      </w:r>
      <w:r>
        <w:rPr>
          <w:rFonts w:ascii="Times New Roman" w:hAnsi="Times New Roman" w:cs="Times New Roman"/>
          <w:sz w:val="22"/>
          <w:szCs w:val="22"/>
        </w:rPr>
        <w:t xml:space="preserve">Bartov et al.</w:t>
      </w:r>
    </w:p>
  </w:footnote>
  <w:footnote w:id="22">
    <w:p>
      <w:pPr>
        <w:bidi w:val="0"/>
        <w:spacing w:after="0" w:line="240" w:lineRule="auto"/>
        <w:jc w:val="left"/>
      </w:pPr>
      <w:r>
        <w:rPr>
          <w:rFonts w:ascii="Times New Roman" w:hAnsi="Times New Roman" w:cs="Times New Roman"/>
          <w:sz w:val="22"/>
          <w:szCs w:val="22"/>
          <w:vertAlign w:val="superscript"/>
        </w:rPr>
        <w:t xml:space="preserve">۲۲ </w:t>
      </w:r>
      <w:r>
        <w:rPr>
          <w:rFonts w:ascii="Times New Roman" w:hAnsi="Times New Roman" w:cs="Times New Roman"/>
          <w:sz w:val="22"/>
          <w:szCs w:val="22"/>
        </w:rPr>
        <w:t xml:space="preserve">Lusardi &amp; Mitchell</w:t>
      </w:r>
    </w:p>
  </w:footnote>
  <w:footnote w:id="23">
    <w:p>
      <w:pPr>
        <w:bidi w:val="0"/>
        <w:spacing w:after="0" w:line="240" w:lineRule="auto"/>
        <w:jc w:val="left"/>
      </w:pPr>
      <w:r>
        <w:rPr>
          <w:rFonts w:ascii="Times New Roman" w:hAnsi="Times New Roman" w:cs="Times New Roman"/>
          <w:sz w:val="22"/>
          <w:szCs w:val="22"/>
          <w:vertAlign w:val="superscript"/>
        </w:rPr>
        <w:t xml:space="preserve">۲۳ </w:t>
      </w:r>
      <w:r>
        <w:rPr>
          <w:rFonts w:ascii="Times New Roman" w:hAnsi="Times New Roman" w:cs="Times New Roman"/>
          <w:sz w:val="22"/>
          <w:szCs w:val="22"/>
        </w:rPr>
        <w:t xml:space="preserve">Lerner et al.</w:t>
      </w:r>
    </w:p>
  </w:footnote>
  <w:footnote w:id="24">
    <w:p>
      <w:pPr>
        <w:bidi w:val="0"/>
        <w:spacing w:after="0" w:line="240" w:lineRule="auto"/>
        <w:jc w:val="left"/>
      </w:pPr>
      <w:r>
        <w:rPr>
          <w:rFonts w:ascii="Times New Roman" w:hAnsi="Times New Roman" w:cs="Times New Roman"/>
          <w:sz w:val="22"/>
          <w:szCs w:val="22"/>
          <w:vertAlign w:val="superscript"/>
        </w:rPr>
        <w:t xml:space="preserve">۲۴ </w:t>
      </w:r>
      <w:r>
        <w:rPr>
          <w:rFonts w:ascii="Times New Roman" w:hAnsi="Times New Roman" w:cs="Times New Roman"/>
          <w:sz w:val="22"/>
          <w:szCs w:val="22"/>
        </w:rPr>
        <w:t xml:space="preserve">Parker &amp; Fischhoff</w:t>
      </w:r>
    </w:p>
  </w:footnote>
  <w:footnote w:id="25">
    <w:p>
      <w:pPr>
        <w:bidi w:val="0"/>
        <w:spacing w:after="0" w:line="240" w:lineRule="auto"/>
        <w:jc w:val="left"/>
      </w:pPr>
      <w:r>
        <w:rPr>
          <w:rFonts w:ascii="Times New Roman" w:hAnsi="Times New Roman" w:cs="Times New Roman"/>
          <w:sz w:val="22"/>
          <w:szCs w:val="22"/>
          <w:vertAlign w:val="superscript"/>
        </w:rPr>
        <w:t xml:space="preserve">۲۵ </w:t>
      </w:r>
      <w:r>
        <w:rPr>
          <w:rFonts w:ascii="Times New Roman" w:hAnsi="Times New Roman" w:cs="Times New Roman"/>
          <w:sz w:val="22"/>
          <w:szCs w:val="22"/>
        </w:rPr>
        <w:t xml:space="preserve">Bruine de Bruin et al.</w:t>
      </w:r>
    </w:p>
  </w:footnote>
  <w:footnote w:id="26">
    <w:p>
      <w:pPr>
        <w:bidi w:val="0"/>
        <w:spacing w:after="0" w:line="240" w:lineRule="auto"/>
        <w:jc w:val="left"/>
      </w:pPr>
      <w:r>
        <w:rPr>
          <w:rFonts w:ascii="Times New Roman" w:hAnsi="Times New Roman" w:cs="Times New Roman"/>
          <w:sz w:val="22"/>
          <w:szCs w:val="22"/>
          <w:vertAlign w:val="superscript"/>
        </w:rPr>
        <w:t xml:space="preserve">۲۶ </w:t>
      </w:r>
      <w:r>
        <w:rPr>
          <w:rFonts w:ascii="Times New Roman" w:hAnsi="Times New Roman" w:cs="Times New Roman"/>
          <w:sz w:val="22"/>
          <w:szCs w:val="22"/>
        </w:rPr>
        <w:t xml:space="preserve">Kahneman &amp; Tversky</w:t>
      </w:r>
    </w:p>
  </w:footnote>
  <w:footnote w:id="27">
    <w:p>
      <w:pPr>
        <w:bidi w:val="0"/>
        <w:spacing w:after="0" w:line="240" w:lineRule="auto"/>
        <w:jc w:val="left"/>
      </w:pPr>
      <w:r>
        <w:rPr>
          <w:rFonts w:ascii="Times New Roman" w:hAnsi="Times New Roman" w:cs="Times New Roman"/>
          <w:sz w:val="22"/>
          <w:szCs w:val="22"/>
          <w:vertAlign w:val="superscript"/>
        </w:rPr>
        <w:t xml:space="preserve">۲۷ </w:t>
      </w:r>
      <w:r>
        <w:rPr>
          <w:rFonts w:ascii="Times New Roman" w:hAnsi="Times New Roman" w:cs="Times New Roman"/>
          <w:sz w:val="22"/>
          <w:szCs w:val="22"/>
        </w:rPr>
        <w:t xml:space="preserve">Odean</w:t>
      </w:r>
    </w:p>
  </w:footnote>
  <w:footnote w:id="28">
    <w:p>
      <w:pPr>
        <w:bidi w:val="0"/>
        <w:spacing w:after="0" w:line="240" w:lineRule="auto"/>
        <w:jc w:val="left"/>
      </w:pPr>
      <w:r>
        <w:rPr>
          <w:rFonts w:ascii="Times New Roman" w:hAnsi="Times New Roman" w:cs="Times New Roman"/>
          <w:sz w:val="22"/>
          <w:szCs w:val="22"/>
          <w:vertAlign w:val="superscript"/>
        </w:rPr>
        <w:t xml:space="preserve">۲۸ </w:t>
      </w:r>
      <w:r>
        <w:rPr>
          <w:rFonts w:ascii="Times New Roman" w:hAnsi="Times New Roman" w:cs="Times New Roman"/>
          <w:sz w:val="22"/>
          <w:szCs w:val="22"/>
        </w:rPr>
        <w:t xml:space="preserve">Measurement invariance</w:t>
      </w:r>
    </w:p>
  </w:footnote>
  <w:footnote w:id="29">
    <w:p>
      <w:pPr>
        <w:bidi w:val="0"/>
        <w:spacing w:after="0" w:line="240" w:lineRule="auto"/>
        <w:jc w:val="left"/>
      </w:pPr>
      <w:r>
        <w:rPr>
          <w:rFonts w:ascii="Times New Roman" w:hAnsi="Times New Roman" w:cs="Times New Roman"/>
          <w:sz w:val="22"/>
          <w:szCs w:val="22"/>
          <w:vertAlign w:val="superscript"/>
        </w:rPr>
        <w:t xml:space="preserve">۲۹ </w:t>
      </w:r>
      <w:r>
        <w:rPr>
          <w:rFonts w:ascii="Times New Roman" w:hAnsi="Times New Roman" w:cs="Times New Roman"/>
          <w:sz w:val="22"/>
          <w:szCs w:val="22"/>
        </w:rPr>
        <w:t xml:space="preserve">Cheung &amp; Rensvold</w:t>
      </w:r>
    </w:p>
  </w:footnote>
  <w:footnote w:id="30">
    <w:p>
      <w:pPr>
        <w:bidi w:val="0"/>
        <w:spacing w:after="0" w:line="240" w:lineRule="auto"/>
        <w:jc w:val="left"/>
      </w:pPr>
      <w:r>
        <w:rPr>
          <w:rFonts w:ascii="Times New Roman" w:hAnsi="Times New Roman" w:cs="Times New Roman"/>
          <w:sz w:val="22"/>
          <w:szCs w:val="22"/>
          <w:vertAlign w:val="superscript"/>
        </w:rPr>
        <w:t xml:space="preserve">۳۰ </w:t>
      </w:r>
      <w:r>
        <w:rPr>
          <w:rFonts w:ascii="Times New Roman" w:hAnsi="Times New Roman" w:cs="Times New Roman"/>
          <w:sz w:val="22"/>
          <w:szCs w:val="22"/>
        </w:rPr>
        <w:t xml:space="preserve">Chen</w:t>
      </w:r>
    </w:p>
  </w:footnote>
  <w:footnote w:id="31">
    <w:p>
      <w:pPr>
        <w:bidi w:val="0"/>
        <w:spacing w:after="0" w:line="240" w:lineRule="auto"/>
        <w:jc w:val="left"/>
      </w:pPr>
      <w:r>
        <w:rPr>
          <w:rFonts w:ascii="Times New Roman" w:hAnsi="Times New Roman" w:cs="Times New Roman"/>
          <w:sz w:val="22"/>
          <w:szCs w:val="22"/>
          <w:vertAlign w:val="superscript"/>
        </w:rPr>
        <w:t xml:space="preserve">۳۱ </w:t>
      </w:r>
      <w:r>
        <w:rPr>
          <w:rFonts w:ascii="Times New Roman" w:hAnsi="Times New Roman" w:cs="Times New Roman"/>
          <w:sz w:val="22"/>
          <w:szCs w:val="22"/>
        </w:rPr>
        <w:t xml:space="preserve">Breiman</w:t>
      </w:r>
    </w:p>
  </w:footnote>
  <w:footnote w:id="32">
    <w:p>
      <w:pPr>
        <w:bidi w:val="0"/>
        <w:spacing w:after="0" w:line="240" w:lineRule="auto"/>
        <w:jc w:val="left"/>
      </w:pPr>
      <w:r>
        <w:rPr>
          <w:rFonts w:ascii="Times New Roman" w:hAnsi="Times New Roman" w:cs="Times New Roman"/>
          <w:sz w:val="22"/>
          <w:szCs w:val="22"/>
          <w:vertAlign w:val="superscript"/>
        </w:rPr>
        <w:t xml:space="preserve">۳۲ </w:t>
      </w:r>
      <w:r>
        <w:rPr>
          <w:rFonts w:ascii="Times New Roman" w:hAnsi="Times New Roman" w:cs="Times New Roman"/>
          <w:sz w:val="22"/>
          <w:szCs w:val="22"/>
        </w:rPr>
        <w:t xml:space="preserve">Friedman</w:t>
      </w:r>
    </w:p>
  </w:footnote>
  <w:footnote w:id="33">
    <w:p>
      <w:pPr>
        <w:bidi w:val="0"/>
        <w:spacing w:after="0" w:line="240" w:lineRule="auto"/>
        <w:jc w:val="left"/>
      </w:pPr>
      <w:r>
        <w:rPr>
          <w:rFonts w:ascii="Times New Roman" w:hAnsi="Times New Roman" w:cs="Times New Roman"/>
          <w:sz w:val="22"/>
          <w:szCs w:val="22"/>
          <w:vertAlign w:val="superscript"/>
        </w:rPr>
        <w:t xml:space="preserve">۳۳ </w:t>
      </w:r>
      <w:r>
        <w:rPr>
          <w:rFonts w:ascii="Times New Roman" w:hAnsi="Times New Roman" w:cs="Times New Roman"/>
          <w:sz w:val="22"/>
          <w:szCs w:val="22"/>
        </w:rPr>
        <w:t xml:space="preserve">Lundberg &amp; Lee</w:t>
      </w:r>
    </w:p>
  </w:footnote>
  <w:footnote w:id="34">
    <w:p>
      <w:pPr>
        <w:bidi w:val="0"/>
        <w:spacing w:after="0" w:line="240" w:lineRule="auto"/>
        <w:jc w:val="left"/>
      </w:pPr>
      <w:r>
        <w:rPr>
          <w:rFonts w:ascii="Times New Roman" w:hAnsi="Times New Roman" w:cs="Times New Roman"/>
          <w:sz w:val="22"/>
          <w:szCs w:val="22"/>
          <w:vertAlign w:val="superscript"/>
        </w:rPr>
        <w:t xml:space="preserve">۳۴ </w:t>
      </w:r>
      <w:r>
        <w:rPr>
          <w:rFonts w:ascii="Times New Roman" w:hAnsi="Times New Roman" w:cs="Times New Roman"/>
          <w:sz w:val="22"/>
          <w:szCs w:val="22"/>
        </w:rPr>
        <w:t xml:space="preserve">Wolf et al.</w:t>
      </w:r>
    </w:p>
  </w:footnote>
  <w:footnote w:id="35">
    <w:p>
      <w:pPr>
        <w:bidi w:val="0"/>
        <w:spacing w:after="0" w:line="240" w:lineRule="auto"/>
        <w:jc w:val="left"/>
      </w:pPr>
      <w:r>
        <w:rPr>
          <w:rFonts w:ascii="Times New Roman" w:hAnsi="Times New Roman" w:cs="Times New Roman"/>
          <w:sz w:val="22"/>
          <w:szCs w:val="22"/>
          <w:vertAlign w:val="superscript"/>
        </w:rPr>
        <w:t xml:space="preserve">۳۵ </w:t>
      </w:r>
      <w:r>
        <w:rPr>
          <w:rFonts w:ascii="Times New Roman" w:hAnsi="Times New Roman" w:cs="Times New Roman"/>
          <w:sz w:val="22"/>
          <w:szCs w:val="22"/>
        </w:rPr>
        <w:t xml:space="preserve">MacCallum et al.</w:t>
      </w:r>
    </w:p>
  </w:footnote>
  <w:footnote w:id="36">
    <w:p>
      <w:pPr>
        <w:bidi w:val="0"/>
        <w:spacing w:after="0" w:line="240" w:lineRule="auto"/>
        <w:jc w:val="left"/>
      </w:pPr>
      <w:r>
        <w:rPr>
          <w:rFonts w:ascii="Times New Roman" w:hAnsi="Times New Roman" w:cs="Times New Roman"/>
          <w:sz w:val="22"/>
          <w:szCs w:val="22"/>
          <w:vertAlign w:val="superscript"/>
        </w:rPr>
        <w:t xml:space="preserve">۳۶ </w:t>
      </w:r>
      <w:r>
        <w:rPr>
          <w:rFonts w:ascii="Times New Roman" w:hAnsi="Times New Roman" w:cs="Times New Roman"/>
          <w:sz w:val="22"/>
          <w:szCs w:val="22"/>
        </w:rPr>
        <w:t xml:space="preserve">Igolkina &amp; Meshcheryakov</w:t>
      </w:r>
    </w:p>
  </w:footnote>
  <w:footnote w:id="37">
    <w:p>
      <w:pPr>
        <w:bidi w:val="0"/>
        <w:spacing w:after="0" w:line="240" w:lineRule="auto"/>
        <w:jc w:val="left"/>
      </w:pPr>
      <w:r>
        <w:rPr>
          <w:rFonts w:ascii="Times New Roman" w:hAnsi="Times New Roman" w:cs="Times New Roman"/>
          <w:sz w:val="22"/>
          <w:szCs w:val="22"/>
          <w:vertAlign w:val="superscript"/>
        </w:rPr>
        <w:t xml:space="preserve">۳۷ </w:t>
      </w:r>
      <w:r>
        <w:rPr>
          <w:rFonts w:ascii="Times New Roman" w:hAnsi="Times New Roman" w:cs="Times New Roman"/>
          <w:sz w:val="22"/>
          <w:szCs w:val="22"/>
        </w:rPr>
        <w:t xml:space="preserve">Fornell &amp; Larcker</w:t>
      </w:r>
    </w:p>
  </w:footnote>
  <w:footnote w:id="38">
    <w:p>
      <w:pPr>
        <w:bidi w:val="0"/>
        <w:spacing w:after="0" w:line="240" w:lineRule="auto"/>
        <w:jc w:val="left"/>
      </w:pPr>
      <w:r>
        <w:rPr>
          <w:rFonts w:ascii="Times New Roman" w:hAnsi="Times New Roman" w:cs="Times New Roman"/>
          <w:sz w:val="22"/>
          <w:szCs w:val="22"/>
          <w:vertAlign w:val="superscript"/>
        </w:rPr>
        <w:t xml:space="preserve">۳۸ </w:t>
      </w:r>
      <w:r>
        <w:rPr>
          <w:rFonts w:ascii="Times New Roman" w:hAnsi="Times New Roman" w:cs="Times New Roman"/>
          <w:sz w:val="22"/>
          <w:szCs w:val="22"/>
        </w:rPr>
        <w:t xml:space="preserve">Henseler et al.</w:t>
      </w:r>
    </w:p>
  </w:footnote>
  <w:footnote w:id="39">
    <w:p>
      <w:pPr>
        <w:bidi w:val="0"/>
        <w:spacing w:after="0" w:line="240" w:lineRule="auto"/>
        <w:jc w:val="left"/>
      </w:pPr>
      <w:r>
        <w:rPr>
          <w:rFonts w:ascii="Times New Roman" w:hAnsi="Times New Roman" w:cs="Times New Roman"/>
          <w:sz w:val="22"/>
          <w:szCs w:val="22"/>
          <w:vertAlign w:val="superscript"/>
        </w:rPr>
        <w:t xml:space="preserve">۳۹ </w:t>
      </w:r>
      <w:r>
        <w:rPr>
          <w:rFonts w:ascii="Times New Roman" w:hAnsi="Times New Roman" w:cs="Times New Roman"/>
          <w:sz w:val="22"/>
          <w:szCs w:val="22"/>
        </w:rPr>
        <w:t xml:space="preserve">Podsakoff et al.</w:t>
      </w:r>
    </w:p>
  </w:footnote>
  <w:footnote w:id="40">
    <w:p>
      <w:pPr>
        <w:bidi w:val="0"/>
        <w:spacing w:after="0" w:line="240" w:lineRule="auto"/>
        <w:jc w:val="left"/>
      </w:pPr>
      <w:r>
        <w:rPr>
          <w:rFonts w:ascii="Times New Roman" w:hAnsi="Times New Roman" w:cs="Times New Roman"/>
          <w:sz w:val="22"/>
          <w:szCs w:val="22"/>
          <w:vertAlign w:val="superscript"/>
        </w:rPr>
        <w:t xml:space="preserve">۴۰ </w:t>
      </w:r>
      <w:r>
        <w:rPr>
          <w:rFonts w:ascii="Times New Roman" w:hAnsi="Times New Roman" w:cs="Times New Roman"/>
          <w:sz w:val="22"/>
          <w:szCs w:val="22"/>
        </w:rPr>
        <w:t xml:space="preserve">Hu &amp; Bentler</w:t>
      </w:r>
    </w:p>
  </w:footnote>
  <w:footnote w:id="41">
    <w:p>
      <w:pPr>
        <w:bidi w:val="0"/>
        <w:spacing w:after="0" w:line="240" w:lineRule="auto"/>
        <w:jc w:val="left"/>
      </w:pPr>
      <w:r>
        <w:rPr>
          <w:rFonts w:ascii="Times New Roman" w:hAnsi="Times New Roman" w:cs="Times New Roman"/>
          <w:sz w:val="22"/>
          <w:szCs w:val="22"/>
          <w:vertAlign w:val="superscript"/>
        </w:rPr>
        <w:t xml:space="preserve">۴۱ </w:t>
      </w:r>
      <w:r>
        <w:rPr>
          <w:rFonts w:ascii="Times New Roman" w:hAnsi="Times New Roman" w:cs="Times New Roman"/>
          <w:sz w:val="22"/>
          <w:szCs w:val="22"/>
        </w:rPr>
        <w:t xml:space="preserve">Preacher &amp; Hayes</w:t>
      </w:r>
    </w:p>
  </w:footnote>
  <w:footnote w:id="42">
    <w:p>
      <w:pPr>
        <w:bidi w:val="0"/>
        <w:spacing w:after="0" w:line="240" w:lineRule="auto"/>
        <w:jc w:val="left"/>
      </w:pPr>
      <w:r>
        <w:rPr>
          <w:rFonts w:ascii="Times New Roman" w:hAnsi="Times New Roman" w:cs="Times New Roman"/>
          <w:sz w:val="22"/>
          <w:szCs w:val="22"/>
          <w:vertAlign w:val="superscript"/>
        </w:rPr>
        <w:t xml:space="preserve">۴۲ </w:t>
      </w:r>
      <w:r>
        <w:rPr>
          <w:rFonts w:ascii="Times New Roman" w:hAnsi="Times New Roman" w:cs="Times New Roman"/>
          <w:sz w:val="22"/>
          <w:szCs w:val="22"/>
        </w:rPr>
        <w:t xml:space="preserve">Nadeau &amp; Bengio</w:t>
      </w:r>
    </w:p>
  </w:footnote>
  <w:footnote w:id="43">
    <w:p>
      <w:pPr>
        <w:bidi w:val="0"/>
        <w:spacing w:after="0" w:line="240" w:lineRule="auto"/>
        <w:jc w:val="left"/>
      </w:pPr>
      <w:r>
        <w:rPr>
          <w:rFonts w:ascii="Times New Roman" w:hAnsi="Times New Roman" w:cs="Times New Roman"/>
          <w:sz w:val="22"/>
          <w:szCs w:val="22"/>
          <w:vertAlign w:val="superscript"/>
        </w:rPr>
        <w:t xml:space="preserve">۴۳ </w:t>
      </w:r>
      <w:r>
        <w:rPr>
          <w:rFonts w:ascii="Times New Roman" w:hAnsi="Times New Roman" w:cs="Times New Roman"/>
          <w:sz w:val="22"/>
          <w:szCs w:val="22"/>
        </w:rPr>
        <w:t xml:space="preserve">Pedregosa et al.</w:t>
      </w:r>
    </w:p>
  </w:footnote>
</w:footnotes>
</file>

<file path=word/settings.xml><?xml version="1.0" encoding="utf-8"?>
<w:settings xmlns:w="http://schemas.openxmlformats.org/wordprocessingml/2006/main">
  <w:view w:val="print"/>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6"/>
        <w:szCs w:val="26"/>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