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Competence Illusion or Calibrated Reliance? Generative-AI Use, Overconfidence and Decision Quality among Individual Investors</w:t>
      </w:r>
    </w:p>
    <w:p>
      <w:pPr>
        <w:spacing w:before="0" w:after="120" w:line="276" w:lineRule="auto"/>
        <w:jc w:val="center"/>
      </w:pPr>
      <w:r>
        <w:rPr>
          <w:rFonts w:ascii="Times New Roman" w:hAnsi="Times New Roman" w:cs="Times New Roman" w:eastAsia="Times New Roman"/>
          <w:i/>
          <w:iCs/>
          <w:sz w:val="24"/>
          <w:szCs w:val="24"/>
          <w:lang w:val="en-US" w:bidi="fa-IR"/>
        </w:rPr>
        <w:t xml:space="preserve">[Author names, affiliations, ORCID and corresponding author – to be completed by the authors]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Abstract</w:t>
      </w:r>
    </w:p>
    <w:p>
      <w:pPr>
        <w:spacing w:before="0" w:after="80" w:line="276" w:lineRule="auto"/>
        <w:jc w:val="both"/>
      </w:pPr>
      <w:r>
        <w:rPr>
          <w:rFonts w:ascii="Times New Roman" w:hAnsi="Times New Roman" w:cs="Times New Roman" w:eastAsia="Times New Roman"/>
          <w:b/>
          <w:bCs/>
          <w:sz w:val="24"/>
          <w:szCs w:val="24"/>
          <w:lang w:val="en-US" w:bidi="fa-IR"/>
        </w:rPr>
        <w:t xml:space="preserve">Purpose.</w:t>
      </w:r>
      <w:r>
        <w:rPr>
          <w:rFonts w:ascii="Times New Roman" w:hAnsi="Times New Roman" w:cs="Times New Roman" w:eastAsia="Times New Roman"/>
          <w:sz w:val="24"/>
          <w:szCs w:val="24"/>
          <w:lang w:val="en-US" w:bidi="fa-IR"/>
        </w:rPr>
        <w:t xml:space="preserve"> Individual investors increasingly consult generative AI (GenAI) for stock analysis, yet fluent but unverified answers may inflate perceived competence without raising actual skill. We test whether GenAI use lowers investment decision quality through an overconfidence (“competence illusion”) channel and an uncritical-reliance channel, and whether a verification channel and two competences—financial knowledge and AI literacy—offset these effects. </w:t>
      </w:r>
      <w:r>
        <w:rPr>
          <w:rFonts w:ascii="Times New Roman" w:hAnsi="Times New Roman" w:cs="Times New Roman" w:eastAsia="Times New Roman"/>
          <w:b/>
          <w:bCs/>
          <w:sz w:val="24"/>
          <w:szCs w:val="24"/>
          <w:lang w:val="en-US" w:bidi="fa-IR"/>
        </w:rPr>
        <w:t xml:space="preserve">Design.</w:t>
      </w:r>
      <w:r>
        <w:rPr>
          <w:rFonts w:ascii="Times New Roman" w:hAnsi="Times New Roman" w:cs="Times New Roman" w:eastAsia="Times New Roman"/>
          <w:sz w:val="24"/>
          <w:szCs w:val="24"/>
          <w:lang w:val="en-US" w:bidi="fa-IR"/>
        </w:rPr>
        <w:t xml:space="preserve"> Covariance-based structural equation modelling with fully latent variables (no item composites), latent interactions, and bootstrap conditional-indirect effects (B = 2000), on a questionnaire-plus-knowledge-test design. </w:t>
      </w:r>
      <w:r>
        <w:rPr>
          <w:rFonts w:ascii="Times New Roman" w:hAnsi="Times New Roman" w:cs="Times New Roman" w:eastAsia="Times New Roman"/>
          <w:b/>
          <w:bCs/>
          <w:sz w:val="24"/>
          <w:szCs w:val="24"/>
          <w:lang w:val="en-US" w:bidi="fa-IR"/>
        </w:rPr>
        <w:t xml:space="preserve">Findings.</w:t>
      </w:r>
      <w:r>
        <w:rPr>
          <w:rFonts w:ascii="Times New Roman" w:hAnsi="Times New Roman" w:cs="Times New Roman" w:eastAsia="Times New Roman"/>
          <w:sz w:val="24"/>
          <w:szCs w:val="24"/>
          <w:lang w:val="en-US" w:bidi="fa-IR"/>
        </w:rPr>
        <w:t xml:space="preserve"> GenAI use is associated with higher perceived competence (β = 0.51) and a larger calibration gap between predicted and actual knowledge-test scores (β = 0.26), and with more uncritical reliance (β = 0.45) but also more verification (β = 0.27). Illusion and reliance transmit negative indirect effects on decision quality, verification a positive one, so the net indirect effect is distinguishable from zero (indirect = −0.11 [−0.22, −0.00]). Financial knowledge weakens the use→illusion links, and AI literacy weakens the use→reliance link and strengthens the use→verification link. </w:t>
      </w:r>
      <w:r>
        <w:rPr>
          <w:rFonts w:ascii="Times New Roman" w:hAnsi="Times New Roman" w:cs="Times New Roman" w:eastAsia="Times New Roman"/>
          <w:b/>
          <w:bCs/>
          <w:sz w:val="24"/>
          <w:szCs w:val="24"/>
          <w:lang w:val="en-US" w:bidi="fa-IR"/>
        </w:rPr>
        <w:t xml:space="preserve">Originality.</w:t>
      </w:r>
      <w:r>
        <w:rPr>
          <w:rFonts w:ascii="Times New Roman" w:hAnsi="Times New Roman" w:cs="Times New Roman" w:eastAsia="Times New Roman"/>
          <w:sz w:val="24"/>
          <w:szCs w:val="24"/>
          <w:lang w:val="en-US" w:bidi="fa-IR"/>
        </w:rPr>
        <w:t xml:space="preserve"> The study separates illusion, reliance and verification in one model and shows that the decision-quality cost of GenAI depends on how it is used and by whom. </w:t>
      </w:r>
      <w:r>
        <w:rPr>
          <w:rFonts w:ascii="Times New Roman" w:hAnsi="Times New Roman" w:cs="Times New Roman" w:eastAsia="Times New Roman"/>
          <w:b/>
          <w:bCs/>
          <w:sz w:val="24"/>
          <w:szCs w:val="24"/>
          <w:lang w:val="en-US" w:bidi="fa-IR"/>
        </w:rPr>
        <w:t xml:space="preserve">Data note.</w:t>
      </w:r>
      <w:r>
        <w:rPr>
          <w:rFonts w:ascii="Times New Roman" w:hAnsi="Times New Roman" w:cs="Times New Roman" w:eastAsia="Times New Roman"/>
          <w:sz w:val="24"/>
          <w:szCs w:val="24"/>
          <w:lang w:val="en-US" w:bidi="fa-IR"/>
        </w:rPr>
        <w:t xml:space="preserve"> The data analysed here are synthetic, generated to demonstrate the design and code; they are not empirical evidence.</w:t>
      </w:r>
    </w:p>
    <w:p>
      <w:pPr>
        <w:spacing w:before="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generative artificial intelligence; overconfidence; automation bias; financial literacy; AI literacy; investor decision quality; structural equation modelling</w:t>
      </w:r>
    </w:p>
    <w:p>
      <w:pPr>
        <w:spacing w:before="0" w:after="80" w:line="276" w:lineRule="auto"/>
        <w:jc w:val="both"/>
      </w:pPr>
      <w:r>
        <w:rPr>
          <w:rFonts w:ascii="Times New Roman" w:hAnsi="Times New Roman" w:cs="Times New Roman" w:eastAsia="Times New Roman"/>
          <w:b/>
          <w:bCs/>
          <w:sz w:val="24"/>
          <w:szCs w:val="24"/>
          <w:lang w:val="en-US" w:bidi="fa-IR"/>
        </w:rPr>
        <w:t xml:space="preserve">JEL:</w:t>
      </w:r>
      <w:r>
        <w:rPr>
          <w:rFonts w:ascii="Times New Roman" w:hAnsi="Times New Roman" w:cs="Times New Roman" w:eastAsia="Times New Roman"/>
          <w:sz w:val="24"/>
          <w:szCs w:val="24"/>
          <w:lang w:val="en-US" w:bidi="fa-IR"/>
        </w:rPr>
        <w:t xml:space="preserve"> G11, G41, D91, O33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Transparency statement on the data</w:t>
      </w:r>
    </w:p>
    <w:p>
      <w:pPr>
        <w:spacing w:before="0" w:after="80" w:line="276" w:lineRule="auto"/>
        <w:jc w:val="both"/>
      </w:pPr>
      <w:r>
        <w:rPr>
          <w:rFonts w:ascii="Times New Roman" w:hAnsi="Times New Roman" w:cs="Times New Roman" w:eastAsia="Times New Roman"/>
          <w:sz w:val="24"/>
          <w:szCs w:val="24"/>
          <w:lang w:val="en-US" w:bidi="fa-IR"/>
        </w:rPr>
        <w:t xml:space="preserve">The sample (N = 428) is </w:t>
      </w:r>
      <w:r>
        <w:rPr>
          <w:rFonts w:ascii="Times New Roman" w:hAnsi="Times New Roman" w:cs="Times New Roman" w:eastAsia="Times New Roman"/>
          <w:b/>
          <w:bCs/>
          <w:sz w:val="24"/>
          <w:szCs w:val="24"/>
          <w:lang w:val="en-US" w:bidi="fa-IR"/>
        </w:rPr>
        <w:t xml:space="preserve">simulated</w:t>
      </w:r>
      <w:r>
        <w:rPr>
          <w:rFonts w:ascii="Times New Roman" w:hAnsi="Times New Roman" w:cs="Times New Roman" w:eastAsia="Times New Roman"/>
          <w:sz w:val="24"/>
          <w:szCs w:val="24"/>
          <w:lang w:val="en-US" w:bidi="fa-IR"/>
        </w:rPr>
        <w:t xml:space="preserve">. It was generated in Python from a pre-specified data-generating process (seed 31415) with realistic Likert thresholds, cross-loadings, correlated residuals and a weak method factor, so that the pipeline, the models and the reporting could be developed and tested before fieldwork. All coefficients, p values and confidence intervals reported below are properties of this synthetic sample and </w:t>
      </w:r>
      <w:r>
        <w:rPr>
          <w:rFonts w:ascii="Times New Roman" w:hAnsi="Times New Roman" w:cs="Times New Roman" w:eastAsia="Times New Roman"/>
          <w:b/>
          <w:bCs/>
          <w:sz w:val="24"/>
          <w:szCs w:val="24"/>
          <w:lang w:val="en-US" w:bidi="fa-IR"/>
        </w:rPr>
        <w:t xml:space="preserve">must not be cited as empirical findings</w:t>
      </w:r>
      <w:r>
        <w:rPr>
          <w:rFonts w:ascii="Times New Roman" w:hAnsi="Times New Roman" w:cs="Times New Roman" w:eastAsia="Times New Roman"/>
          <w:sz w:val="24"/>
          <w:szCs w:val="24"/>
          <w:lang w:val="en-US" w:bidi="fa-IR"/>
        </w:rPr>
        <w:t xml:space="preserve">. The manuscript, questionnaire, code and data are released together so that the same script can be run on real data (set DATA_PATH). Hypotheses are stated ex ante and are supported in the synthetic data by construction; with real data, partial support or non-support is the expected and informative outcome.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Introduction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Since late 2022, general-purpose large language models have become a routine research assistant for retail investors: they summarise filings, explain ratios and propose trades in seconds. Early evidence suggests that such models can extract signal from financial text (Lopez-Lira &amp; Tang, 2023), but the same systems can state falsehoods fluently (Ji et al., 2023), and investors have long been shown to trade too much and earn too little when they overestimate their own ability (Barber &amp; Odean, 2000, 2001; Glaser &amp; Weber, 2007; Grinblatt &amp; Keloharju, 2009). The behavioural question is therefore not whether GenAI is accurate on average, but what it does to the </w:t>
      </w:r>
      <w:r>
        <w:rPr>
          <w:rFonts w:ascii="Times New Roman" w:hAnsi="Times New Roman" w:cs="Times New Roman" w:eastAsia="Times New Roman"/>
          <w:i/>
          <w:iCs/>
          <w:sz w:val="24"/>
          <w:szCs w:val="24"/>
          <w:lang w:val="en-US" w:bidi="fa-IR"/>
        </w:rPr>
        <w:t xml:space="preserve">investor's</w:t>
      </w:r>
      <w:r>
        <w:rPr>
          <w:rFonts w:ascii="Times New Roman" w:hAnsi="Times New Roman" w:cs="Times New Roman" w:eastAsia="Times New Roman"/>
          <w:sz w:val="24"/>
          <w:szCs w:val="24"/>
          <w:lang w:val="en-US" w:bidi="fa-IR"/>
        </w:rPr>
        <w:t xml:space="preserve"> judgement: does it leave the user better informed, or merely more confident?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Two literatures speak to this question but rarely meet. Research on overconfidence and the Dunning–Kruger pattern shows that people with little knowledge poorly recognise the limits of that knowledge (Kruger &amp; Dunning, 1999; Ehrlinger et al., 2008) and that miscalibration takes distinct forms—overestimation, over-placement and over-precision (Moore &amp; Healy, 2008). Research on human–automation interaction shows that decision aids invite complacency and automation bias—accepting an aid's output without adequate checking (Parasuraman &amp; Manzey, 2010; Skitka et al., 1999; Goddard et al., 2012)—and that appropriate reliance requires trust calibrated to reliability (Lee &amp; See, 2004; Hoff &amp; Bashir, 2015). Evidence on algorithm aversion and appreciation shows that people sometimes over- and sometimes under-weight algorithmic advice (Dietvorst et al., 2015; Logg et al., 2019), and robo-advisory work documents both benefits and pitfalls for household finance (D'Acunto et al., 2019). Recent commentary warns that AI can create </w:t>
      </w:r>
      <w:r>
        <w:rPr>
          <w:rFonts w:ascii="Times New Roman" w:hAnsi="Times New Roman" w:cs="Times New Roman" w:eastAsia="Times New Roman"/>
          <w:i/>
          <w:iCs/>
          <w:sz w:val="24"/>
          <w:szCs w:val="24"/>
          <w:lang w:val="en-US" w:bidi="fa-IR"/>
        </w:rPr>
        <w:t xml:space="preserve">illusions of understanding</w:t>
      </w:r>
      <w:r>
        <w:rPr>
          <w:rFonts w:ascii="Times New Roman" w:hAnsi="Times New Roman" w:cs="Times New Roman" w:eastAsia="Times New Roman"/>
          <w:sz w:val="24"/>
          <w:szCs w:val="24"/>
          <w:lang w:val="en-US" w:bidi="fa-IR"/>
        </w:rPr>
        <w:t xml:space="preserve"> (Messeri &amp; Crockett, 2024). What is missing, to our knowledge, is an investor-level model that places an </w:t>
      </w:r>
      <w:r>
        <w:rPr>
          <w:rFonts w:ascii="Times New Roman" w:hAnsi="Times New Roman" w:cs="Times New Roman" w:eastAsia="Times New Roman"/>
          <w:i/>
          <w:iCs/>
          <w:sz w:val="24"/>
          <w:szCs w:val="24"/>
          <w:lang w:val="en-US" w:bidi="fa-IR"/>
        </w:rPr>
        <w:t xml:space="preserve">illusion</w:t>
      </w:r>
      <w:r>
        <w:rPr>
          <w:rFonts w:ascii="Times New Roman" w:hAnsi="Times New Roman" w:cs="Times New Roman" w:eastAsia="Times New Roman"/>
          <w:sz w:val="24"/>
          <w:szCs w:val="24"/>
          <w:lang w:val="en-US" w:bidi="fa-IR"/>
        </w:rPr>
        <w:t xml:space="preserve"> channel, an </w:t>
      </w:r>
      <w:r>
        <w:rPr>
          <w:rFonts w:ascii="Times New Roman" w:hAnsi="Times New Roman" w:cs="Times New Roman" w:eastAsia="Times New Roman"/>
          <w:i/>
          <w:iCs/>
          <w:sz w:val="24"/>
          <w:szCs w:val="24"/>
          <w:lang w:val="en-US" w:bidi="fa-IR"/>
        </w:rPr>
        <w:t xml:space="preserve">uncritical-reliance</w:t>
      </w:r>
      <w:r>
        <w:rPr>
          <w:rFonts w:ascii="Times New Roman" w:hAnsi="Times New Roman" w:cs="Times New Roman" w:eastAsia="Times New Roman"/>
          <w:sz w:val="24"/>
          <w:szCs w:val="24"/>
          <w:lang w:val="en-US" w:bidi="fa-IR"/>
        </w:rPr>
        <w:t xml:space="preserve"> channel and a </w:t>
      </w:r>
      <w:r>
        <w:rPr>
          <w:rFonts w:ascii="Times New Roman" w:hAnsi="Times New Roman" w:cs="Times New Roman" w:eastAsia="Times New Roman"/>
          <w:i/>
          <w:iCs/>
          <w:sz w:val="24"/>
          <w:szCs w:val="24"/>
          <w:lang w:val="en-US" w:bidi="fa-IR"/>
        </w:rPr>
        <w:t xml:space="preserve">verification</w:t>
      </w:r>
      <w:r>
        <w:rPr>
          <w:rFonts w:ascii="Times New Roman" w:hAnsi="Times New Roman" w:cs="Times New Roman" w:eastAsia="Times New Roman"/>
          <w:sz w:val="24"/>
          <w:szCs w:val="24"/>
          <w:lang w:val="en-US" w:bidi="fa-IR"/>
        </w:rPr>
        <w:t xml:space="preserve"> channel side by side, links them to decision quality, and asks which competences make GenAI use safe.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We contribute in three ways. First, we separate three behavioural consequences of GenAI use that are usually conflated: inflated perceived competence (measured both by self-report and by a behavioural calibration gap), uncritical reliance, and verification. Second, we show how the net association between use and decision quality arises as the sum of opposing indirect effects, which explains why a simple use→quality regression can show little (the “suppression” case). Third, we test two boundary conditions with direct managerial and regulatory relevance: objective financial knowledge, which should reduce the inflation of confidence, and AI literacy, which should reduce blind reliance and raise checking. We also provide an openly documented instrument, with each scale classified as adapted or researcher-made, to support replication.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Theory and hypotheses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GenAI use and the competence illusion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Fluent, well-structured explanations generate a feeling of understanding that need not reflect competence. When an investor receives a polished analysis, the cognitive effort of producing it is outsourced, but the sense of mastery is retained (Messeri &amp; Crockett, 2024). Overconfidence in finance is typically defined as miscalibrated beliefs about one's own ability or the precision of one's forecasts (Moore &amp; Healy, 2008; Glaser &amp; Weber, 2007). We therefore expect heavier GenAI users to feel more competent </w:t>
      </w:r>
      <w:r>
        <w:rPr>
          <w:rFonts w:ascii="Times New Roman" w:hAnsi="Times New Roman" w:cs="Times New Roman" w:eastAsia="Times New Roman"/>
          <w:i/>
          <w:iCs/>
          <w:sz w:val="24"/>
          <w:szCs w:val="24"/>
          <w:lang w:val="en-US" w:bidi="fa-IR"/>
        </w:rPr>
        <w:t xml:space="preserve">with</w:t>
      </w:r>
      <w:r>
        <w:rPr>
          <w:rFonts w:ascii="Times New Roman" w:hAnsi="Times New Roman" w:cs="Times New Roman" w:eastAsia="Times New Roman"/>
          <w:sz w:val="24"/>
          <w:szCs w:val="24"/>
          <w:lang w:val="en-US" w:bidi="fa-IR"/>
        </w:rPr>
        <w:t xml:space="preserve"> AI (perceived competence, PCA) and to overestimate their objective knowledge relative to a test (calibration gap, CG).</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w:t>
      </w:r>
      <w:r>
        <w:rPr>
          <w:rFonts w:ascii="Times New Roman" w:hAnsi="Times New Roman" w:cs="Times New Roman" w:eastAsia="Times New Roman"/>
          <w:sz w:val="24"/>
          <w:szCs w:val="24"/>
          <w:lang w:val="en-US" w:bidi="fa-IR"/>
        </w:rPr>
        <w:t xml:space="preserve"> GenAI use is positively related to perceived competence with AI.  </w:t>
      </w:r>
      <w:r>
        <w:rPr>
          <w:rFonts w:ascii="Times New Roman" w:hAnsi="Times New Roman" w:cs="Times New Roman" w:eastAsia="Times New Roman"/>
          <w:b/>
          <w:bCs/>
          <w:sz w:val="24"/>
          <w:szCs w:val="24"/>
          <w:lang w:val="en-US" w:bidi="fa-IR"/>
        </w:rPr>
        <w:t xml:space="preserve">H2.</w:t>
      </w:r>
      <w:r>
        <w:rPr>
          <w:rFonts w:ascii="Times New Roman" w:hAnsi="Times New Roman" w:cs="Times New Roman" w:eastAsia="Times New Roman"/>
          <w:sz w:val="24"/>
          <w:szCs w:val="24"/>
          <w:lang w:val="en-US" w:bidi="fa-IR"/>
        </w:rPr>
        <w:t xml:space="preserve"> GenAI use is positively related to the calibration gap (overestimation).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Reliance, verification and decision quality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Automation-bias research defines two error types—omission (failing to act because the aid is silent) and commission (following incorrect advice)—and attributes them to cognitive-miser heuristics and diffused responsibility (Skitka et al., 1999; Parasuraman &amp; Manzey, 2010; Goddard et al., 2012). In investing, the analogue is accepting an AI answer about a ratio, an audit opinion or a price trend without cross-checking. We define uncritical reliance (UR) as the tendency to accept AI output without independent checks, and verification (VER) as the behavioural counterpart of calibrated reliance: comparing AI claims with filings, independent sources and own calculations (Lee &amp; See, 2004; Hoff &amp; Bashir, 2015). Heavier use should raise both, because use creates both opportunity and exposure; but only verification should protect the quality of decisions.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H3.</w:t>
      </w:r>
      <w:r>
        <w:rPr>
          <w:rFonts w:ascii="Times New Roman" w:hAnsi="Times New Roman" w:cs="Times New Roman" w:eastAsia="Times New Roman"/>
          <w:sz w:val="24"/>
          <w:szCs w:val="24"/>
          <w:lang w:val="en-US" w:bidi="fa-IR"/>
        </w:rPr>
        <w:t xml:space="preserve"> GenAI use is positively related to uncritical reliance.  </w:t>
      </w:r>
      <w:r>
        <w:rPr>
          <w:rFonts w:ascii="Times New Roman" w:hAnsi="Times New Roman" w:cs="Times New Roman" w:eastAsia="Times New Roman"/>
          <w:b/>
          <w:bCs/>
          <w:sz w:val="24"/>
          <w:szCs w:val="24"/>
          <w:lang w:val="en-US" w:bidi="fa-IR"/>
        </w:rPr>
        <w:t xml:space="preserve">H4.</w:t>
      </w:r>
      <w:r>
        <w:rPr>
          <w:rFonts w:ascii="Times New Roman" w:hAnsi="Times New Roman" w:cs="Times New Roman" w:eastAsia="Times New Roman"/>
          <w:sz w:val="24"/>
          <w:szCs w:val="24"/>
          <w:lang w:val="en-US" w:bidi="fa-IR"/>
        </w:rPr>
        <w:t xml:space="preserve"> GenAI use is positively related to verification (competing mechanism).</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Decision quality (IDQ) reflects documented analysis, satisfaction with outcomes, goal alignment and low regret (Parker &amp; Fischhoff, 2005; Bruine de Bruin et al., 2007). Overconfident investors trade more and perform worse (Barber &amp; Odean, 2000), and reliance on incorrect advice degrades outcomes, whereas checking limits errors.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H5.</w:t>
      </w:r>
      <w:r>
        <w:rPr>
          <w:rFonts w:ascii="Times New Roman" w:hAnsi="Times New Roman" w:cs="Times New Roman" w:eastAsia="Times New Roman"/>
          <w:sz w:val="24"/>
          <w:szCs w:val="24"/>
          <w:lang w:val="en-US" w:bidi="fa-IR"/>
        </w:rPr>
        <w:t xml:space="preserve"> Perceived competence with AI is negatively related to decision quality.  </w:t>
      </w:r>
      <w:r>
        <w:rPr>
          <w:rFonts w:ascii="Times New Roman" w:hAnsi="Times New Roman" w:cs="Times New Roman" w:eastAsia="Times New Roman"/>
          <w:b/>
          <w:bCs/>
          <w:sz w:val="24"/>
          <w:szCs w:val="24"/>
          <w:lang w:val="en-US" w:bidi="fa-IR"/>
        </w:rPr>
        <w:t xml:space="preserve">H6.</w:t>
      </w:r>
      <w:r>
        <w:rPr>
          <w:rFonts w:ascii="Times New Roman" w:hAnsi="Times New Roman" w:cs="Times New Roman" w:eastAsia="Times New Roman"/>
          <w:sz w:val="24"/>
          <w:szCs w:val="24"/>
          <w:lang w:val="en-US" w:bidi="fa-IR"/>
        </w:rPr>
        <w:t xml:space="preserve"> The calibration gap is negatively related to decision quality.  </w:t>
      </w:r>
      <w:r>
        <w:rPr>
          <w:rFonts w:ascii="Times New Roman" w:hAnsi="Times New Roman" w:cs="Times New Roman" w:eastAsia="Times New Roman"/>
          <w:b/>
          <w:bCs/>
          <w:sz w:val="24"/>
          <w:szCs w:val="24"/>
          <w:lang w:val="en-US" w:bidi="fa-IR"/>
        </w:rPr>
        <w:t xml:space="preserve">H7.</w:t>
      </w:r>
      <w:r>
        <w:rPr>
          <w:rFonts w:ascii="Times New Roman" w:hAnsi="Times New Roman" w:cs="Times New Roman" w:eastAsia="Times New Roman"/>
          <w:sz w:val="24"/>
          <w:szCs w:val="24"/>
          <w:lang w:val="en-US" w:bidi="fa-IR"/>
        </w:rPr>
        <w:t xml:space="preserve"> Uncritical reliance is negatively related to decision quality.  </w:t>
      </w:r>
      <w:r>
        <w:rPr>
          <w:rFonts w:ascii="Times New Roman" w:hAnsi="Times New Roman" w:cs="Times New Roman" w:eastAsia="Times New Roman"/>
          <w:b/>
          <w:bCs/>
          <w:sz w:val="24"/>
          <w:szCs w:val="24"/>
          <w:lang w:val="en-US" w:bidi="fa-IR"/>
        </w:rPr>
        <w:t xml:space="preserve">H8.</w:t>
      </w:r>
      <w:r>
        <w:rPr>
          <w:rFonts w:ascii="Times New Roman" w:hAnsi="Times New Roman" w:cs="Times New Roman" w:eastAsia="Times New Roman"/>
          <w:sz w:val="24"/>
          <w:szCs w:val="24"/>
          <w:lang w:val="en-US" w:bidi="fa-IR"/>
        </w:rPr>
        <w:t xml:space="preserve"> Verification is positively related to decision quality.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H9 (mediation).</w:t>
      </w:r>
      <w:r>
        <w:rPr>
          <w:rFonts w:ascii="Times New Roman" w:hAnsi="Times New Roman" w:cs="Times New Roman" w:eastAsia="Times New Roman"/>
          <w:sz w:val="24"/>
          <w:szCs w:val="24"/>
          <w:lang w:val="en-US" w:bidi="fa-IR"/>
        </w:rPr>
        <w:t xml:space="preserve"> GenAI use has negative indirect effects on decision quality through perceived competence, the calibration gap and uncritical reliance, and a positive indirect effect through verification; the net indirect effect is the sum of opposing paths.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Boundary conditions: financial knowledge and AI literacy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Knowledge provides the standard against which an AI answer can be judged, and the metacognitive skill to see where it is lacking. Higher objective financial and accounting knowledge should therefore weaken the translation of use into inflated confidence (Kruger &amp; Dunning, 1999; Lusardi &amp; Mitchell, 2014; Van Rooij et al., 2011). AI literacy—understanding that GenAI can hallucinate, is trained on dated data, and must be evaluated (Long &amp; Magerko, 2020; Ng et al., 2021; Wang et al., 2023)—should reduce blind acceptance and increase checking, because the user knows </w:t>
      </w:r>
      <w:r>
        <w:rPr>
          <w:rFonts w:ascii="Times New Roman" w:hAnsi="Times New Roman" w:cs="Times New Roman" w:eastAsia="Times New Roman"/>
          <w:i/>
          <w:iCs/>
          <w:sz w:val="24"/>
          <w:szCs w:val="24"/>
          <w:lang w:val="en-US" w:bidi="fa-IR"/>
        </w:rPr>
        <w:t xml:space="preserve">when</w:t>
      </w:r>
      <w:r>
        <w:rPr>
          <w:rFonts w:ascii="Times New Roman" w:hAnsi="Times New Roman" w:cs="Times New Roman" w:eastAsia="Times New Roman"/>
          <w:sz w:val="24"/>
          <w:szCs w:val="24"/>
          <w:lang w:val="en-US" w:bidi="fa-IR"/>
        </w:rPr>
        <w:t xml:space="preserve"> not to rely.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H10.</w:t>
      </w:r>
      <w:r>
        <w:rPr>
          <w:rFonts w:ascii="Times New Roman" w:hAnsi="Times New Roman" w:cs="Times New Roman" w:eastAsia="Times New Roman"/>
          <w:sz w:val="24"/>
          <w:szCs w:val="24"/>
          <w:lang w:val="en-US" w:bidi="fa-IR"/>
        </w:rPr>
        <w:t xml:space="preserve"> Financial knowledge weakens the relation of GenAI use to (a) perceived competence and (b) the calibration gap.  </w:t>
      </w:r>
      <w:r>
        <w:rPr>
          <w:rFonts w:ascii="Times New Roman" w:hAnsi="Times New Roman" w:cs="Times New Roman" w:eastAsia="Times New Roman"/>
          <w:b/>
          <w:bCs/>
          <w:sz w:val="24"/>
          <w:szCs w:val="24"/>
          <w:lang w:val="en-US" w:bidi="fa-IR"/>
        </w:rPr>
        <w:t xml:space="preserve">H11.</w:t>
      </w:r>
      <w:r>
        <w:rPr>
          <w:rFonts w:ascii="Times New Roman" w:hAnsi="Times New Roman" w:cs="Times New Roman" w:eastAsia="Times New Roman"/>
          <w:sz w:val="24"/>
          <w:szCs w:val="24"/>
          <w:lang w:val="en-US" w:bidi="fa-IR"/>
        </w:rPr>
        <w:t xml:space="preserve"> AI literacy (a) weakens the relation of use to uncritical reliance and (b) strengthens its relation to verification.  Moderated-mediation indices (Hayes, 2015) test whether the conditional indirect effects differ across moderator levels.</w:t>
      </w:r>
    </w:p>
    <w:p>
      <w:pPr>
        <w:sectPr>
          <w:footerReference w:type="default" r:id="rIdFooter"/>
          <w:pgSz w:w="11906" w:h="16838"/>
          <w:pgMar w:top="1417" w:right="1417" w:bottom="1417" w:left="1417" w:header="708" w:footer="708" w:gutter="0"/>
        </w:sectPr>
      </w:pPr>
    </w:p>
    <w:p>
      <w:pPr>
        <w:keepNext/>
        <w:jc w:val="center"/>
      </w:pPr>
      <w:r>
        <w:drawing>
          <wp:inline distT="0" distB="0" distL="0" distR="0">
            <wp:extent cx="8460000" cy="6184551"/>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8460000" cy="6184551"/>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1. Estimated structural model with all indicators: standardized loadings (λ) and standardized path coefficients (β), with latent R². Latent variables are ellipses, observed variables and indicators are boxes; dashed orange arrows are interaction (moderation) terms.</w:t>
      </w:r>
    </w:p>
    <w:p>
      <w:pPr>
        <w:sectPr>
          <w:footerReference w:type="default" r:id="rIdFooter"/>
          <w:pgSz w:w="16838" w:h="11906" w:orient="landscape"/>
          <w:pgMar w:top="1000" w:right="1000" w:bottom="1000" w:left="1000" w:header="708" w:footer="708" w:gutter="0"/>
        </w:sectPr>
      </w:pP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Data and method</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3.1 Design and sample (synthetic)</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planned study is a cross-sectional online survey of active individual stock investors with an embedded knowledge test. The synthetic sample has N = 428; 66% male, mean age 36.2 years (SD = 8.9), mean trading experience 6.6 years (SD = 4.0), and 64% reporting at least occasional GenAI use for investing (GUI1 ≥ 3). Because the model has 104 free parameters, the ratio of observations to parameters is 4.1:1; we therefore rely on a power analysis for covariance-structure models (MacCallum et al., 1996), which gives power above .99 to reject close fit (RMSEA = .05) against RMSEA = .08 at this N and these degrees of freedom, and we report DWLS and trimmed-sample checks. For real data, a target of N ≥ 400 with at least 40% regular users is recommended so that the exogenous construct keeps its variance.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3.2 Measures</w:t>
      </w:r>
    </w:p>
    <w:p>
      <w:pPr>
        <w:spacing w:before="0" w:after="80" w:line="276" w:lineRule="auto"/>
        <w:jc w:val="both"/>
      </w:pPr>
      <w:r>
        <w:rPr>
          <w:rFonts w:ascii="Times New Roman" w:hAnsi="Times New Roman" w:cs="Times New Roman" w:eastAsia="Times New Roman"/>
          <w:sz w:val="24"/>
          <w:szCs w:val="24"/>
          <w:lang w:val="en-US" w:bidi="fa-IR"/>
        </w:rPr>
        <w:t xml:space="preserve">Table 1 lists each scale, its origin and its principal sources; the full item wording, scoring and validation protocol are in the accompanying questionnaire (Appendix A and the separate questionnaire file). Latent variables are indicated by their own items in the structural model; no summed or averaged composites enter any model.</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Measures and origin of the scales</w:t>
      </w:r>
    </w:p>
    <w:tbl>
      <w:tblPr>
        <w:tblW w:w="9300" w:type="dxa"/>
        <w:jc w:val="center"/>
        <w:tblLayout w:type="fixed"/>
        <w:tblCellMar>
          <w:left w:w="60" w:type="dxa"/>
          <w:right w:w="60" w:type="dxa"/>
        </w:tblCellMar>
      </w:tblPr>
      <w:tblGrid>
        <w:gridCol w:w="700"/>
        <w:gridCol w:w="4400"/>
        <w:gridCol w:w="700"/>
        <w:gridCol w:w="35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4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Construct</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Origin</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Generative-AI use for investing</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Objective financial/accounting knowledge test (8 items, scored 0/1)</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8</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CG</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Calibration gap (overestimation): predicted minus actual test score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2</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Perceived competence with AI (the 'illusion' facet)</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Uncritical reliance on AI output (automation-bias tendency)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Verification behaviour (calibrated reliance)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literacy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Investment decision quality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VIG</w:t>
            </w:r>
          </w:p>
        </w:tc>
        <w:tc>
          <w:tcPr>
            <w:tcW w:w="4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Vignette task: acceptance of incorrect AI advice (behavioural criterion)</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Calibration gap.</w:t>
      </w:r>
      <w:r>
        <w:rPr>
          <w:rFonts w:ascii="Times New Roman" w:hAnsi="Times New Roman" w:cs="Times New Roman" w:eastAsia="Times New Roman"/>
          <w:sz w:val="24"/>
          <w:szCs w:val="24"/>
          <w:lang w:val="en-US" w:bidi="fa-IR"/>
        </w:rPr>
        <w:t xml:space="preserve"> After the eight-item knowledge test, respondents predict how many items they answered correctly (C1). The gap is CG = C1 − actual score (positive = overestimation), the “overestimation” form of miscalibration in the taxonomy of Moore &amp; Healy (2008). It is standardized (CGz) and enters the model as an observed mediator. </w:t>
      </w:r>
      <w:r>
        <w:rPr>
          <w:rFonts w:ascii="Times New Roman" w:hAnsi="Times New Roman" w:cs="Times New Roman" w:eastAsia="Times New Roman"/>
          <w:i/>
          <w:iCs/>
          <w:sz w:val="24"/>
          <w:szCs w:val="24"/>
          <w:lang w:val="en-US" w:bidi="fa-IR"/>
        </w:rPr>
        <w:t xml:space="preserve">Financial knowledge</w:t>
      </w:r>
      <w:r>
        <w:rPr>
          <w:rFonts w:ascii="Times New Roman" w:hAnsi="Times New Roman" w:cs="Times New Roman" w:eastAsia="Times New Roman"/>
          <w:sz w:val="24"/>
          <w:szCs w:val="24"/>
          <w:lang w:val="en-US" w:bidi="fa-IR"/>
        </w:rPr>
        <w:t xml:space="preserve"> is the standardized test score (FKz; KR-20 = 0.66); a latent single-factor treatment is unnecessary because items are binary and the score is the test's intended output. </w:t>
      </w:r>
      <w:r>
        <w:rPr>
          <w:rFonts w:ascii="Times New Roman" w:hAnsi="Times New Roman" w:cs="Times New Roman" w:eastAsia="Times New Roman"/>
          <w:i/>
          <w:iCs/>
          <w:sz w:val="24"/>
          <w:szCs w:val="24"/>
          <w:lang w:val="en-US" w:bidi="fa-IR"/>
        </w:rPr>
        <w:t xml:space="preserve">Interactions</w:t>
      </w:r>
      <w:r>
        <w:rPr>
          <w:rFonts w:ascii="Times New Roman" w:hAnsi="Times New Roman" w:cs="Times New Roman" w:eastAsia="Times New Roman"/>
          <w:sz w:val="24"/>
          <w:szCs w:val="24"/>
          <w:lang w:val="en-US" w:bidi="fa-IR"/>
        </w:rPr>
        <w:t xml:space="preserve"> are latent: GUI×AIL and GUI×FKz are represented by matched-pair product indicators (Marsh et al., 2004) with residual-centred indicators as a robustness check (Little et al., 2006).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3.3 Analytic strategy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Models were estimated by maximum likelihood in semopy (Igolkina &amp; Meshcheryakov, 2020) in Python. Fit is judged jointly: CFI/TLI ≥ .95, RMSEA ≤ .06, SRMR ≤ .08 (Hu &amp; Bentler, 1999), with the χ² test reported but not used alone because it over-rejects at this size. Convergent and discriminant validity use CR, AVE (Fornell &amp; Larcker, 1981) and HTMT (Henseler et al., 2015). Common-method bias is probed by Harman's single-factor test, a one-factor CFA and a common-latent-factor model (Podsakoff et al., 2003). Indirect and conditional indirect effects use 2,000 nonparametric bootstrap draws with percentile intervals (Preacher &amp; Hayes, 2008), evaluated at −1, 0 and +1 SD of the moderator, and indices of moderated mediation follow Hayes (2015). R² for latent outcomes is 1 − the standardized residual variance; the effect size of an interaction is f² from the R² change. Five competing structures (M1–M5) are compared by AIC/BIC and fit.</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Results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4.1 Descriptives and the knowledge test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eight-item test had a mean of 3.73 (SD = 2.08); proportions correct ranged from 0.24 (FK8, compound interest) to 0.68 (FK1, inflation). KR-20 was 0.66, acceptable for an eight-item research test. Respondents' predictions averaged 3.71, so the mean calibration gap was −0.02 (SD = 1.35), but 34% overestimated; individual-level overestimation, not the mean, is the target construct. Item skewness (−0.56 to 0.42) and kurtosis (−0.81 to −0.39) were moderate; Mardia's multivariate kurtosis (769 vs. expected 783) indicated mild departure from normality, which motivated the DWLS check below.</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4.2 Measurement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six-factor CFA fitted well: χ²(309) = 378.8, p = .004; CFI = 0.986, TLI = 0.984, RMSEA = 0.023, SRMR = 0.037. All standardized loadings were between 0.64 and 0.84, CR ranged 0.82–0.87, and AVE 0.51–0.60 (Table 2). The largest HTMT was 0.56, well below .85, and the square root of each AVE exceeded its latent correlations. Harman's first factor explained 19.5% of variance; a one-factor CFA fitted poorly (CFI = 0.31) and adding a common latent factor changed fit only slightly (CFI = 0.994; common variance 15%), so method variance is not a dominant concern. Latent variance-inflation factors for the IDQ predictors were ≤ 1.87.</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 Reliability and convergent validity</w:t>
      </w:r>
    </w:p>
    <w:tbl>
      <w:tblPr>
        <w:tblW w:w="8100" w:type="dxa"/>
        <w:jc w:val="center"/>
        <w:tblLayout w:type="fixed"/>
        <w:tblCellMar>
          <w:left w:w="60" w:type="dxa"/>
          <w:right w:w="60" w:type="dxa"/>
        </w:tblCellMar>
      </w:tblPr>
      <w:tblGrid>
        <w:gridCol w:w="1700"/>
        <w:gridCol w:w="900"/>
        <w:gridCol w:w="1100"/>
        <w:gridCol w:w="1100"/>
        <w:gridCol w:w="1100"/>
        <w:gridCol w:w="22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Construct</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α</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CR</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AVE</w:t>
            </w:r>
          </w:p>
        </w:tc>
        <w:tc>
          <w:tcPr>
            <w:tcW w:w="2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Loadings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0.85</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0.60</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0.56</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0.64–0.82</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0.55</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0.68–0.78</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0.68–0.81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2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0.65–0.79</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4.3 Structural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full model fitted well: χ²(716) = 832.4, p = .002; CFI = 0.981, TLI = 0.979, RMSEA = 0.020, SRMR = 0.042. Table 3 and Figure 1 give the estimates.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3. Structural estimates</w:t>
      </w:r>
    </w:p>
    <w:tbl>
      <w:tblPr>
        <w:tblW w:w="8600" w:type="dxa"/>
        <w:jc w:val="center"/>
        <w:tblLayout w:type="fixed"/>
        <w:tblCellMar>
          <w:left w:w="60" w:type="dxa"/>
          <w:right w:w="60" w:type="dxa"/>
        </w:tblCellMar>
      </w:tblPr>
      <w:tblGrid>
        <w:gridCol w:w="800"/>
        <w:gridCol w:w="2700"/>
        <w:gridCol w:w="900"/>
        <w:gridCol w:w="800"/>
        <w:gridCol w:w="900"/>
        <w:gridCol w:w="1000"/>
        <w:gridCol w:w="1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Hyp.</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Path</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b</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SE</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β</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w:t>
            </w:r>
          </w:p>
        </w:tc>
        <w:tc>
          <w:tcPr>
            <w:tcW w:w="1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Result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H2</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H3</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0.45</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H4</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H5</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PCA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H6</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CG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−0.13</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H7</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H8</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IDQ (direct)</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.763</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FK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AIL → 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.367</w:t>
            </w:r>
          </w:p>
        </w:tc>
        <w:tc>
          <w:tcPr>
            <w:tcW w:w="1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GenAI use predicted higher perceived competence (β = 0.51, SE = 0.05, p &lt; .001; H1) and a larger calibration gap (β = 0.26, SE = 0.05, p &lt; .001; H2), more uncritical reliance (β = 0.45, SE = 0.05, p &lt; .001; H3) and more verification (β = 0.27, SE = 0.05, p &lt; .001; H4). Decision quality was lower when perceived competence (β = −0.22, SE = 0.06, p &lt; .001; H5), the calibration gap (β = −0.16, SE = 0.04, p = .002; H6) or uncritical reliance (β = −0.18, SE = 0.06, p = .002; H7) was higher, and higher with verification (β = 0.41, SE = 0.06, p &lt; .001; H8). The direct effect of use on quality was small (β = −0.02, SE = 0.07, p = .763), consistent with full mediation. Explained variance was R² = 0.30 (PCA), 0.19 (CG), 0.25 (UR), 0.28 (VER) and 0.34 (IDQ).</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Moderation. Financial knowledge weakened the effect of use on perceived competence (β = −0.16, SE = 0.05, p = .002; H10a) and on the calibration gap (β = −0.19, SE = 0.05, p &lt; .001; H10b). AI literacy weakened the effect of use on uncritical reliance (β = −0.16, SE = 0.06, p = .006; H11a) and strengthened its effect on verification (β = 0.27, SE = 0.06, p &lt; .001; H11b). Interaction effect sizes were small to moderate (f² = 0.025 for PCA, 0.040 for CG, 0.026 for UR, 0.099 for VER), typical of interaction effects in non-experimental data.</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4.4 Indirect and conditional indirect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4. Conditional indirect effects of GenAI use on decision quality (unstandardized; 95% bootstrap CI)</w:t>
      </w:r>
    </w:p>
    <w:tbl>
      <w:tblPr>
        <w:tblW w:w="9400" w:type="dxa"/>
        <w:jc w:val="center"/>
        <w:tblLayout w:type="fixed"/>
        <w:tblCellMar>
          <w:left w:w="60" w:type="dxa"/>
          <w:right w:w="60" w:type="dxa"/>
        </w:tblCellMar>
      </w:tblPr>
      <w:tblGrid>
        <w:gridCol w:w="2500"/>
        <w:gridCol w:w="2300"/>
        <w:gridCol w:w="2300"/>
        <w:gridCol w:w="23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Route</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Moderator −1 SD</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Mean</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+1 SD</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PCA</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[−0.17, −0.05]</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CG</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 [−0.12,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 [−0.07, −0.01]</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 [−0.04,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UR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[−0.18, −0.03]</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 [−0.10,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VER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0.00 [−0.06,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[0.05, 0.16]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[0.11, 0.31]</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Illusion route (PCA + CG)</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[−0.30, −0.12]</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−0.08]</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−0.08 [−0.14, −0.03]</w:t>
            </w:r>
          </w:p>
        </w:tc>
      </w:tr>
    </w:tbl>
    <w:p>
      <w:pPr>
        <w:spacing w:before="40" w:after="120" w:line="276" w:lineRule="auto"/>
        <w:jc w:val="both"/>
      </w:pPr>
      <w:r>
        <w:rPr>
          <w:rFonts w:ascii="Times New Roman" w:hAnsi="Times New Roman" w:cs="Times New Roman" w:eastAsia="Times New Roman"/>
          <w:sz w:val="20"/>
          <w:szCs w:val="20"/>
          <w:lang w:val="en-US" w:bidi="fa-IR"/>
        </w:rPr>
        <w:t xml:space="preserve">For the PCA and CG routes the moderator is financial knowledge; for the UR and VER routes it is AI literacy. Intervals are percentile bootstrap, B = 2000.</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At mean moderator levels the indirect effects were −0.10 [−0.17, −0.05] via perceived competence, −0.04 [−0.07, −0.01] via the calibration gap, −0.07 [−0.13, −0.02] via uncritical reliance, and 0.10 [0.05, 0.16] via verification, supporting H9. The negative illusion route was larger at low than at high knowledge (−1 SD: −0.20 [−0.30, −0.12]; +1 SD: −0.08 [−0.14, −0.03]), and the verification route was larger at high AI literacy (0.20 [0.11, 0.31]) than at low (0.00 [−0.06, 0.06]). Indices of moderated mediation were 0.03 [0.01, 0.06] (PCA), 0.03 [0.01, 0.06] (CG), 0.03 [0.00, 0.06] (UR) and 0.10 [0.04, 0.17] (VER). The total indirect effect was −0.11 [−0.22, −0.00], so the opposing routes largely offset one another; the total effect (direct + indirect) was −0.13 [−0.23, −0.03].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4.5 Competing models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5. Competing structural models</w:t>
      </w:r>
    </w:p>
    <w:tbl>
      <w:tblPr>
        <w:tblW w:w="8500" w:type="dxa"/>
        <w:jc w:val="center"/>
        <w:tblLayout w:type="fixed"/>
        <w:tblCellMar>
          <w:left w:w="60" w:type="dxa"/>
          <w:right w:w="60" w:type="dxa"/>
        </w:tblCellMar>
      </w:tblPr>
      <w:tblGrid>
        <w:gridCol w:w="600"/>
        <w:gridCol w:w="3500"/>
        <w:gridCol w:w="700"/>
        <w:gridCol w:w="600"/>
        <w:gridCol w:w="700"/>
        <w:gridCol w:w="800"/>
        <w:gridCol w:w="800"/>
        <w:gridCol w:w="8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Model</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Specification</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χ²</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df</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CFI</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RMSEA</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AIC</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BIC</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M1</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Full model (illusion + reliance paths, two moderators)</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716</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626</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M2</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moderation (interaction paths removed)</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885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M3</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Illusion paths only (UR, VER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893</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M4</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Reliance/verification paths only (PCA, CG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855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M5</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Direct effect only (no mediators)</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914</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0.968</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hypothesised model M1 had the best fit on the absolute and incremental indices (CFI = 0.981, RMSEA = 0.020). Chi-square difference tests favoured M1 over M2 (no moderation; Δχ²(4) = 53.0), M3 (Δχ²(2) = 60.6), M4 (Δχ²(2) = 23.0) and M5 (Δχ²(4) = 81.9), all p &lt; .001. The BIC values reported by semopy, however, are lower for the more parsimonious structures (M5 lowest), because the information-criterion penalty is heavy with 104 parameters and the product-indicator blocks; we therefore interpret BIC as favouring parsimony rather than as evidence against M1, and rely on the nested χ² tests and fit indices for model selection. AIC/BIC values are comparable only within this table.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4.6 Robustness checks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6. Robustness of key standardized paths</w:t>
      </w:r>
    </w:p>
    <w:tbl>
      <w:tblPr>
        <w:tblW w:w="9000" w:type="dxa"/>
        <w:jc w:val="center"/>
        <w:tblLayout w:type="fixed"/>
        <w:tblCellMar>
          <w:left w:w="60" w:type="dxa"/>
          <w:right w:w="60" w:type="dxa"/>
        </w:tblCellMar>
      </w:tblPr>
      <w:tblGrid>
        <w:gridCol w:w="1700"/>
        <w:gridCol w:w="1000"/>
        <w:gridCol w:w="1400"/>
        <w:gridCol w:w="1300"/>
        <w:gridCol w:w="1200"/>
        <w:gridCol w:w="1100"/>
        <w:gridCol w:w="13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Path</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Baseline</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DWLS (no interactions)</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Residual-centred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Respecified</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Trimmed 5%</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Regular users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PCA</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0.54</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CG</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0.30</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0.29</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UR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VER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CG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−0.21</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 → IDQ</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0.42</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0.43</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0.34</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Estimates were stable in sign and size across estimators (DWLS for ordinal indicators, ignoring interaction terms), a residual-centred product-indicator specification (CFI = 0.993), a specification adding the four largest within-factor residual correlations (UR3–UR4, IDQ4–IDQ5, AIL1–AIL2, VER3–VER4; CFI = 0.988), removal of the 22 most extreme multivariate cases, and restriction to the 274 regular users (GUI1 ≥ 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4.7 Behavioural criterion validity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As an external check that does not share response format with the scales, respondents judged four AI statements about valuation and accounting, two of them wrong (Appendix A, V1–V4). The number of wrong statements accepted was predicted positively by uncritical reliance (β = 0.38, SE = 0.05, p &lt; .001) and negatively by verification (β = −0.37, SE = 0.05, p &lt; .001), controlling for use (β = 0.04, SE = 0.05, p = .527). This shows that the self-reported reliance and verification factors map onto observable acceptance of incorrect advice.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Discussion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synthetic results illustrate the pattern the theory predicts and the design is built to detect: GenAI use raises feelings of competence and overestimation, and raises uncritical reliance, each of which is linked to poorer decision quality; at the same time heavier users also verify more, and verification is the strongest positive correlate of quality. The net association between use and quality is therefore small, which would be mistaken for “no effect” in a simple regression but hides two opposing behavioural channels. If the pattern replicates on real data, it implies that the question “does GenAI help investors?” should be replaced by “which uses, by whom, with which checking habits?”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Both competences operate as boundary conditions in the predicted directions. Objective knowledge buffers the inflation of confidence—consistent with the metacognitive account in which the same knowledge that produces competence also allows its limits to be recognised (Kruger &amp; Dunning, 1999; Ehrlinger et al., 2008)—while AI literacy changes the </w:t>
      </w:r>
      <w:r>
        <w:rPr>
          <w:rFonts w:ascii="Times New Roman" w:hAnsi="Times New Roman" w:cs="Times New Roman" w:eastAsia="Times New Roman"/>
          <w:i/>
          <w:iCs/>
          <w:sz w:val="24"/>
          <w:szCs w:val="24"/>
          <w:lang w:val="en-US" w:bidi="fa-IR"/>
        </w:rPr>
        <w:t xml:space="preserve">kind</w:t>
      </w:r>
      <w:r>
        <w:rPr>
          <w:rFonts w:ascii="Times New Roman" w:hAnsi="Times New Roman" w:cs="Times New Roman" w:eastAsia="Times New Roman"/>
          <w:sz w:val="24"/>
          <w:szCs w:val="24"/>
          <w:lang w:val="en-US" w:bidi="fa-IR"/>
        </w:rPr>
        <w:t xml:space="preserve"> of reliance rather than its quantity: literate users do not use AI less, they check it more. This is consistent with calibrated-trust accounts (Lee &amp; See, 2004) and suggests that training that targets verification routines may matter more than warnings alone.</w:t>
      </w: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Practical implications.</w:t>
      </w:r>
      <w:r>
        <w:rPr>
          <w:rFonts w:ascii="Times New Roman" w:hAnsi="Times New Roman" w:cs="Times New Roman" w:eastAsia="Times New Roman"/>
          <w:sz w:val="24"/>
          <w:szCs w:val="24"/>
          <w:lang w:val="en-US" w:bidi="fa-IR"/>
        </w:rPr>
        <w:t xml:space="preserve"> For investor-education bodies, brokers and regulators, the findings (if replicated) imply (i) pairing GenAI features in investment apps with prompts to verify against official filings, (ii) offering calibration feedback (predict-then-test exercises), and (iii) targeting AI literacy content at heavy users with low objective knowledge, who show the largest conditional illusion effect. For auditors and accounting educators, items on audit opinions, cash-flow versus profit and ratio calculation can serve as a diagnostic of knowledge against which confidence is benchmarked.</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6. Limitations and future research</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First and foremost, the data are synthetic; the coefficients demonstrate the pipeline, not a finding. Second, with real data the design remains cross-sectional and self-reported, so causal ordering (use → illusion) cannot be established; overconfident investors may also self-select into heavy use. Panel data, or an experiment that randomises exposure to correct versus incorrect AI advice and AI-label versus analyst-label (Dietvorst et al., 2015; Logg et al., 2019), would identify causal effects. Third, the calibration gap is based on an eight-item test and a single prediction; richer tests, over-placement (percentile rank) and over-precision (confidence intervals) should be added. Fourth, decision quality is self-reported; trading records (turnover, returns, disposition effect) would give behavioural outcomes. Fifth, the interaction effects are small, and latent-interaction estimates are sensitive to the product-indicator strategy; we therefore report two strategies. Sixth, scales are new or adapted and need the validation protocol (content validity, pilot, CFA, invariance across countries and languages) before inferential use. Finally, generalisability to markets with different disclosure regimes and AI access remains open.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7. Conclusion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Generative AI can make investors feel more competent faster than it makes them more competent. The design proposed here separates illusion, uncritical reliance and verification, and tests the two competences—objective knowledge and AI literacy—that should make GenAI use safe. The synthetic demonstration shows the model is identified, estimable and interpretable; the decisive test is a real, pre-registered survey.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Declarations</w:t>
      </w:r>
    </w:p>
    <w:p>
      <w:pPr>
        <w:spacing w:before="0" w:after="80" w:line="276" w:lineRule="auto"/>
        <w:jc w:val="both"/>
      </w:pPr>
      <w:r>
        <w:rPr>
          <w:rFonts w:ascii="Times New Roman" w:hAnsi="Times New Roman" w:cs="Times New Roman" w:eastAsia="Times New Roman"/>
          <w:b/>
          <w:bCs/>
          <w:sz w:val="24"/>
          <w:szCs w:val="24"/>
          <w:lang w:val="en-US" w:bidi="fa-IR"/>
        </w:rPr>
        <w:t xml:space="preserve">Data and code availability.</w:t>
      </w:r>
      <w:r>
        <w:rPr>
          <w:rFonts w:ascii="Times New Roman" w:hAnsi="Times New Roman" w:cs="Times New Roman" w:eastAsia="Times New Roman"/>
          <w:sz w:val="24"/>
          <w:szCs w:val="24"/>
          <w:lang w:val="en-US" w:bidi="fa-IR"/>
        </w:rPr>
        <w:t xml:space="preserve"> Synthetic dataset (CSV/XLSX), the Python script (paper3_analysis.py, with simlib.py) and the Colab notebook are provided with this manuscript. </w:t>
      </w:r>
      <w:r>
        <w:rPr>
          <w:rFonts w:ascii="Times New Roman" w:hAnsi="Times New Roman" w:cs="Times New Roman" w:eastAsia="Times New Roman"/>
          <w:b/>
          <w:bCs/>
          <w:sz w:val="24"/>
          <w:szCs w:val="24"/>
          <w:lang w:val="en-US" w:bidi="fa-IR"/>
        </w:rPr>
        <w:t xml:space="preserve">Ethics.</w:t>
      </w:r>
      <w:r>
        <w:rPr>
          <w:rFonts w:ascii="Times New Roman" w:hAnsi="Times New Roman" w:cs="Times New Roman" w:eastAsia="Times New Roman"/>
          <w:sz w:val="24"/>
          <w:szCs w:val="24"/>
          <w:lang w:val="en-US" w:bidi="fa-IR"/>
        </w:rPr>
        <w:t xml:space="preserve"> For real data collection, ethics approval and informed consent are required; the present synthetic data involve no human participants. </w:t>
      </w:r>
      <w:r>
        <w:rPr>
          <w:rFonts w:ascii="Times New Roman" w:hAnsi="Times New Roman" w:cs="Times New Roman" w:eastAsia="Times New Roman"/>
          <w:b/>
          <w:bCs/>
          <w:sz w:val="24"/>
          <w:szCs w:val="24"/>
          <w:lang w:val="en-US" w:bidi="fa-IR"/>
        </w:rPr>
        <w:t xml:space="preserve">Funding / conflicts of interest.</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AI-assistance disclosure.</w:t>
      </w:r>
      <w:r>
        <w:rPr>
          <w:rFonts w:ascii="Times New Roman" w:hAnsi="Times New Roman" w:cs="Times New Roman" w:eastAsia="Times New Roman"/>
          <w:sz w:val="24"/>
          <w:szCs w:val="24"/>
          <w:lang w:val="en-US" w:bidi="fa-IR"/>
        </w:rPr>
        <w:t xml:space="preserve"> AI tools were used to draft code and text; the authors are responsible for the content and must verify all references and DOIs against Crossref before submission.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References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(2000). Trading is hazardous to your wealth: The common stock investment performance of individual investors. </w:t>
      </w:r>
      <w:r>
        <w:rPr>
          <w:rFonts w:ascii="Times New Roman" w:hAnsi="Times New Roman" w:cs="Times New Roman" w:eastAsia="Times New Roman"/>
          <w:i/>
          <w:iCs/>
          <w:sz w:val="22"/>
          <w:szCs w:val="22"/>
          <w:lang w:val="en-US" w:bidi="fa-IR"/>
        </w:rPr>
        <w:t xml:space="preserve">The Journal of Finance, 55</w:t>
      </w:r>
      <w:r>
        <w:rPr>
          <w:rFonts w:ascii="Times New Roman" w:hAnsi="Times New Roman" w:cs="Times New Roman" w:eastAsia="Times New Roman"/>
          <w:sz w:val="22"/>
          <w:szCs w:val="22"/>
          <w:lang w:val="en-US" w:bidi="fa-IR"/>
        </w:rPr>
        <w:t xml:space="preserve">(2), 773–806. https://doi.org/10.1111/0022-1082.00226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https://doi.org/10.1037/0022-3514.92.5.938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https://doi.org/10.1093/rfs/hhz014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https://doi.org/10.1016/j.obhdp.2007.05.002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https://doi.org/10.1007/s10713-007-0003-3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https://doi.org/10.1145/3571730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https://doi.org/10.1145/3313831.3376727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Lopez-Lira, A., &amp; Tang, Y. (2023). Can ChatGPT forecast stock price movements? Return predictability and large language models. </w:t>
      </w:r>
      <w:r>
        <w:rPr>
          <w:rFonts w:ascii="Times New Roman" w:hAnsi="Times New Roman" w:cs="Times New Roman" w:eastAsia="Times New Roman"/>
          <w:i/>
          <w:iCs/>
          <w:sz w:val="22"/>
          <w:szCs w:val="22"/>
          <w:lang w:val="en-US" w:bidi="fa-IR"/>
        </w:rPr>
        <w:t xml:space="preserve">SSRN Working Paper</w:t>
      </w:r>
      <w:r>
        <w:rPr>
          <w:rFonts w:ascii="Times New Roman" w:hAnsi="Times New Roman" w:cs="Times New Roman" w:eastAsia="Times New Roman"/>
          <w:sz w:val="22"/>
          <w:szCs w:val="22"/>
          <w:lang w:val="en-US" w:bidi="fa-IR"/>
        </w:rPr>
        <w:t xml:space="preserve">. https://doi.org/10.2139/ssrn.4412788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Messeri, L., &amp; Crockett, M. J. (2024). Artificial intelligence and illusions of understanding in scientific research. </w:t>
      </w:r>
      <w:r>
        <w:rPr>
          <w:rFonts w:ascii="Times New Roman" w:hAnsi="Times New Roman" w:cs="Times New Roman" w:eastAsia="Times New Roman"/>
          <w:i/>
          <w:iCs/>
          <w:sz w:val="22"/>
          <w:szCs w:val="22"/>
          <w:lang w:val="en-US" w:bidi="fa-IR"/>
        </w:rPr>
        <w:t xml:space="preserve">Nature, 627</w:t>
      </w:r>
      <w:r>
        <w:rPr>
          <w:rFonts w:ascii="Times New Roman" w:hAnsi="Times New Roman" w:cs="Times New Roman" w:eastAsia="Times New Roman"/>
          <w:sz w:val="22"/>
          <w:szCs w:val="22"/>
          <w:lang w:val="en-US" w:bidi="fa-IR"/>
        </w:rPr>
        <w:t xml:space="preserve">(8002), 49–58. https://doi.org/10.1038/s41586-024-07146-0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https://doi.org/10.1016/j.jfineco.2011.03.006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https://doi.org/10.1080/0144929X.2022.2072768</w:t>
      </w:r>
    </w:p>
    <w:p>
      <w:r>
        <w:br w:type="page"/>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A. Instrument, origin of each scale and standardized loadings</w:t>
      </w:r>
    </w:p>
    <w:p>
      <w:pPr>
        <w:spacing w:before="0" w:after="80" w:line="276" w:lineRule="auto"/>
        <w:jc w:val="both"/>
      </w:pPr>
      <w:r>
        <w:rPr>
          <w:rFonts w:ascii="Times New Roman" w:hAnsi="Times New Roman" w:cs="Times New Roman" w:eastAsia="Times New Roman"/>
          <w:sz w:val="24"/>
          <w:szCs w:val="24"/>
          <w:lang w:val="en-US" w:bidi="fa-IR"/>
        </w:rPr>
        <w:t xml:space="preserve">Origin: </w:t>
      </w:r>
      <w:r>
        <w:rPr>
          <w:rFonts w:ascii="Times New Roman" w:hAnsi="Times New Roman" w:cs="Times New Roman" w:eastAsia="Times New Roman"/>
          <w:b/>
          <w:bCs/>
          <w:sz w:val="24"/>
          <w:szCs w:val="24"/>
          <w:lang w:val="en-US" w:bidi="fa-IR"/>
        </w:rPr>
        <w:t xml:space="preserve">R-B</w:t>
      </w:r>
      <w:r>
        <w:rPr>
          <w:rFonts w:ascii="Times New Roman" w:hAnsi="Times New Roman" w:cs="Times New Roman" w:eastAsia="Times New Roman"/>
          <w:sz w:val="24"/>
          <w:szCs w:val="24"/>
          <w:lang w:val="en-US" w:bidi="fa-IR"/>
        </w:rPr>
        <w:t xml:space="preserve"> = research-based (adapted); </w:t>
      </w:r>
      <w:r>
        <w:rPr>
          <w:rFonts w:ascii="Times New Roman" w:hAnsi="Times New Roman" w:cs="Times New Roman" w:eastAsia="Times New Roman"/>
          <w:b/>
          <w:bCs/>
          <w:sz w:val="24"/>
          <w:szCs w:val="24"/>
          <w:lang w:val="en-US" w:bidi="fa-IR"/>
        </w:rPr>
        <w:t xml:space="preserve">R-M</w:t>
      </w:r>
      <w:r>
        <w:rPr>
          <w:rFonts w:ascii="Times New Roman" w:hAnsi="Times New Roman" w:cs="Times New Roman" w:eastAsia="Times New Roman"/>
          <w:sz w:val="24"/>
          <w:szCs w:val="24"/>
          <w:lang w:val="en-US" w:bidi="fa-IR"/>
        </w:rPr>
        <w:t xml:space="preserve"> = researcher-made, theory-derived; </w:t>
      </w:r>
      <w:r>
        <w:rPr>
          <w:rFonts w:ascii="Times New Roman" w:hAnsi="Times New Roman" w:cs="Times New Roman" w:eastAsia="Times New Roman"/>
          <w:b/>
          <w:bCs/>
          <w:sz w:val="24"/>
          <w:szCs w:val="24"/>
          <w:lang w:val="en-US" w:bidi="fa-IR"/>
        </w:rPr>
        <w:t xml:space="preserve">Mixed</w:t>
      </w:r>
      <w:r>
        <w:rPr>
          <w:rFonts w:ascii="Times New Roman" w:hAnsi="Times New Roman" w:cs="Times New Roman" w:eastAsia="Times New Roman"/>
          <w:sz w:val="24"/>
          <w:szCs w:val="24"/>
          <w:lang w:val="en-US" w:bidi="fa-IR"/>
        </w:rPr>
        <w:t xml:space="preserve"> = both. Loadings are from the measurement model (Table 2 of the replication files). The full questionnaire with all references per variable, scoring and a Persian version are provided separately.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Generative-AI use for investing (GUI) – origin: R-M; sources: Venkatesh</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use generative-AI tools (e.g., ChatGPT, Gemini, Copilot, DeepSeek) to analyse stocks or other investment options.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Generative AI supplies a substantial share of the information I need for my investment decisions.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Before buying or selling a stock I usually ask a generative-AI tool for its view.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Using generative AI has become part of my routine investment analysis.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Objective financial/accounting knowledge test (8 items, scored 0/1) (FK) – origin: Mixed; sources: Lusardi, Van Rooij</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Your deposit earns 20% per year and inflation is 35% per year. After one year, the purchasing power of the deposit will: (a) increase (b) decrease* (c) stay the same (d)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'Buying the shares of a single company is usually less risky than buying a diversified fund.' True / False* /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Share price 2,000 and earnings per share 200. The P/E ratio is: (a) 0.1 (b) 10* (c) 20 (d) 400,000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Net income 500 bn and 500 m shares outstanding. EPS is: (a) 1 (b) 100 (c) 1,000* (d) 10,000 (currency units)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'Accounting profit always equals operating cash flow.' True / False* </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FK6</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unqualified audit opinion guarantees the firm's future profitability.'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FK7</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investment with a higher expected return usually carries higher risk.'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FK8</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100 m invested at a fixed 10% p.a. grows after two years to: (a) 110 (b) 120 (c) 121* (d) 100</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Calibration gap (overestimation): predicted minus actual test score (CG) – origin: R-B; sources: Kruger, Moore, Ehrlinger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How many of the 8 questions above do you think you answered correctly? (0–8)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C2</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Compared with 100 other active investors, what is your rank in financial knowledge? (1 = lowest, 100 = highest)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Perceived competence with AI (the 'illusion' facet) (PCA) – origin: R-M; sources: Moore, Barber, Grinblatt, Glaser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the help of AI, my analysis of the stock market is better than that of most other investors.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am confident that my price-trend forecasts will turn out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feel I understand financial statements better than before.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no longer need much help from a financial professional.</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0.64</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Uncritical reliance on AI output (automation-bias tendency) (UR) – origin: R-M; sources: Parasuraman, Goddard, Skitka, Lee, Jian, Dietvorst, Logg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usually accept an AI answer without checking it again.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If the AI's view differs from my own analysis, I tend to trust the AI.</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Because AI summarises for me, I read financial statements directly less often.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find fluent, confident AI answers more correct than hesitant ones.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Verification behaviour (calibrated reliance) (VER) – origin: R-M; sources: Lee, Hoff, Pennycook, Ji</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compare numbers and claims from AI with official filings or financial statements.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0.77</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confirm AI answers with at least one independent source.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ask the tool for its sources and actually check them.</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redo important calculations myself.</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AI literacy (AIL) – origin: R-B; sources: Wang, Ng, Long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that generative AI can produce wrong but convincing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these tools are trained on dated data and may be unaware of current market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phrase a question so that I get a more accurate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evaluate the quality of an AI tool's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AI may be biased or use incomplete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AIL6</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when I should not rely on AI for a financial decision.</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Investment decision quality (IDQ) – origin: Mixed; sources: Parker, Bruine de Bruin</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investment decisions are usually based on documented analysis.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am satisfied with the outcome of my investment decisions over the past year.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portfolio return over the past year matched my expectations.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decisions are aligned with my long-term financial goals.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IDQ5</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rarely regret my trading decisions.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Vignette task: acceptance of incorrect AI advice (behavioural criterion) (VIG) – origin: R-M; sources: Dietvorst, Logg, D'Acunto</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'Firm A has price 1,000 and EPS 200, so P/E = 20 — it is cheap.' (incorrect: P/E = 5)</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'High accounting profit is not necessarily strong cash flow; check operating cash flow too.'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'An unqualified audit opinion means the share will rise over the next six months.' (incorrect)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'Diversification reduces firm-specific risk but cannot remove systematic risk.' (correct)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Competence Illusion or Calibrated Reliance? Generative-AI Use, Overconfidence and Decision Quality among Individual Investors</dc:title>
  <dc:language>en-US</dc:language>
</cp:coreProperties>
</file>