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160" w:line="276" w:lineRule="auto"/>
        <w:jc w:val="center"/>
      </w:pPr>
      <w:r>
        <w:rPr>
          <w:rFonts w:ascii="Times New Roman" w:hAnsi="Times New Roman" w:cs="Times New Roman" w:eastAsia="Times New Roman"/>
          <w:b/>
          <w:bCs/>
          <w:sz w:val="32"/>
          <w:szCs w:val="32"/>
          <w:lang w:val="en-US" w:bidi="fa-IR"/>
        </w:rPr>
        <w:t xml:space="preserve">Questionnaire for Paper 3: Generative-AI Use, Competence Illusion and Investment Decision Quality</w:t>
      </w:r>
    </w:p>
    <w:p>
      <w:pPr>
        <w:spacing w:before="0" w:after="80" w:line="276" w:lineRule="auto"/>
        <w:jc w:val="both"/>
      </w:pPr>
      <w:r>
        <w:rPr>
          <w:rFonts w:ascii="Times New Roman" w:hAnsi="Times New Roman" w:cs="Times New Roman" w:eastAsia="Times New Roman"/>
          <w:b/>
          <w:bCs/>
          <w:sz w:val="24"/>
          <w:szCs w:val="24"/>
          <w:lang w:val="en-US" w:bidi="fa-IR"/>
        </w:rPr>
        <w:t xml:space="preserve">Status.</w:t>
      </w:r>
      <w:r>
        <w:rPr>
          <w:rFonts w:ascii="Times New Roman" w:hAnsi="Times New Roman" w:cs="Times New Roman" w:eastAsia="Times New Roman"/>
          <w:sz w:val="24"/>
          <w:szCs w:val="24"/>
          <w:lang w:val="en-US" w:bidi="fa-IR"/>
        </w:rPr>
        <w:t xml:space="preserve"> Draft instrument for a planned survey of individual investors. None of the multi-item scales below is a published, validated instrument in this exact form. Each variable is classified as </w:t>
      </w:r>
      <w:r>
        <w:rPr>
          <w:rFonts w:ascii="Times New Roman" w:hAnsi="Times New Roman" w:cs="Times New Roman" w:eastAsia="Times New Roman"/>
          <w:i/>
          <w:iCs/>
          <w:sz w:val="24"/>
          <w:szCs w:val="24"/>
          <w:lang w:val="en-US" w:bidi="fa-IR"/>
        </w:rPr>
        <w:t xml:space="preserve">research-based (adapted)</w:t>
      </w:r>
      <w:r>
        <w:rPr>
          <w:rFonts w:ascii="Times New Roman" w:hAnsi="Times New Roman" w:cs="Times New Roman" w:eastAsia="Times New Roman"/>
          <w:sz w:val="24"/>
          <w:szCs w:val="24"/>
          <w:lang w:val="en-US" w:bidi="fa-IR"/>
        </w:rPr>
        <w:t xml:space="preserve">, </w:t>
      </w:r>
      <w:r>
        <w:rPr>
          <w:rFonts w:ascii="Times New Roman" w:hAnsi="Times New Roman" w:cs="Times New Roman" w:eastAsia="Times New Roman"/>
          <w:i/>
          <w:iCs/>
          <w:sz w:val="24"/>
          <w:szCs w:val="24"/>
          <w:lang w:val="en-US" w:bidi="fa-IR"/>
        </w:rPr>
        <w:t xml:space="preserve">researcher-made (theory-derived)</w:t>
      </w:r>
      <w:r>
        <w:rPr>
          <w:rFonts w:ascii="Times New Roman" w:hAnsi="Times New Roman" w:cs="Times New Roman" w:eastAsia="Times New Roman"/>
          <w:sz w:val="24"/>
          <w:szCs w:val="24"/>
          <w:lang w:val="en-US" w:bidi="fa-IR"/>
        </w:rPr>
        <w:t xml:space="preserve"> or </w:t>
      </w:r>
      <w:r>
        <w:rPr>
          <w:rFonts w:ascii="Times New Roman" w:hAnsi="Times New Roman" w:cs="Times New Roman" w:eastAsia="Times New Roman"/>
          <w:i/>
          <w:iCs/>
          <w:sz w:val="24"/>
          <w:szCs w:val="24"/>
          <w:lang w:val="en-US" w:bidi="fa-IR"/>
        </w:rPr>
        <w:t xml:space="preserve">mixed</w:t>
      </w:r>
      <w:r>
        <w:rPr>
          <w:rFonts w:ascii="Times New Roman" w:hAnsi="Times New Roman" w:cs="Times New Roman" w:eastAsia="Times New Roman"/>
          <w:sz w:val="24"/>
          <w:szCs w:val="24"/>
          <w:lang w:val="en-US" w:bidi="fa-IR"/>
        </w:rPr>
        <w:t xml:space="preserve">; the reference list for each variable gives the sources of the construct definition and (where applicable) of the item wording. Before real data collection, run the validation protocol in Section 3. Check every DOI in Crossref before citing.</w:t>
      </w:r>
    </w:p>
    <w:p>
      <w:pPr>
        <w:keepNext/>
        <w:spacing w:before="200" w:after="80" w:line="276" w:lineRule="auto"/>
        <w:jc w:val="left"/>
      </w:pPr>
      <w:r>
        <w:rPr>
          <w:rFonts w:ascii="Times New Roman" w:hAnsi="Times New Roman" w:cs="Times New Roman" w:eastAsia="Times New Roman"/>
          <w:b/>
          <w:bCs/>
          <w:sz w:val="26"/>
          <w:szCs w:val="26"/>
          <w:lang w:val="en-US" w:bidi="fa-IR"/>
        </w:rPr>
        <w:t xml:space="preserve">1. Overview: origin of each scale</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1. Variables, origin classification and principal references</w:t>
      </w:r>
    </w:p>
    <w:tbl>
      <w:tblPr>
        <w:tblW w:w="9300" w:type="dxa"/>
        <w:jc w:val="center"/>
        <w:tblLayout w:type="fixed"/>
        <w:tblCellMar>
          <w:left w:w="60" w:type="dxa"/>
          <w:right w:w="60" w:type="dxa"/>
        </w:tblCellMar>
      </w:tblPr>
      <w:tblGrid>
        <w:gridCol w:w="600"/>
        <w:gridCol w:w="2700"/>
        <w:gridCol w:w="600"/>
        <w:gridCol w:w="2000"/>
        <w:gridCol w:w="3400"/>
      </w:tblGrid>
      <w:tr>
        <w:trPr>
          <w:tblHeader/>
        </w:trPr>
        <w:tc>
          <w:tcPr>
            <w:tcW w:w="6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27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Construct</w:t>
            </w:r>
          </w:p>
        </w:tc>
        <w:tc>
          <w:tcPr>
            <w:tcW w:w="6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Items</w:t>
            </w:r>
          </w:p>
        </w:tc>
        <w:tc>
          <w:tcPr>
            <w:tcW w:w="20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Origin</w:t>
            </w:r>
          </w:p>
        </w:tc>
        <w:tc>
          <w:tcPr>
            <w:tcW w:w="34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References</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GUI</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Generative-AI use for investing</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4</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Researcher-made (theory-derived)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Venkatesh (2012)</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Objective financial/accounting knowledge test (8 items, scored 0/1)</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8</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Mixed: adapted + researcher-made</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Lusardi (2014); Van Rooij (2011)</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CG</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Calibration gap (overestimation): predicted minus actual test score</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2</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Research-based (adapted)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Kruger (1999); Moore (2008); Ehrlinger (2008)</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PCA</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Perceived competence with AI (the 'illusion' facet)</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4</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Researcher-made (theory-derived)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Moore (2008); Barber (2001); Grinblatt (2009); Glaser (2007)</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UR</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Uncritical reliance on AI output (automation-bias tendency)</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4</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Researcher-made (theory-derived)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Parasuraman (2010); Goddard (2012); Skitka (1999); Lee (2004); Jian (2000); Dietvorst (2015); Logg (2019)</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VER</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Verification behaviour (calibrated reliance)</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4</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Researcher-made (theory-derived)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Lee (2004); Hoff (2015); Pennycook (2019); Ji (2023)</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AI literacy</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6</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Research-based (adapted)</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Wang (2023); Ng (2021); Long (2020)</w:t>
            </w:r>
          </w:p>
        </w:tc>
      </w:tr>
      <w:tr>
        <w:trPr>
          <w:cantSplit/>
        </w:trPr>
        <w:tc>
          <w:tcPr>
            <w:tcW w:w="6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w:t>
            </w:r>
          </w:p>
        </w:tc>
        <w:tc>
          <w:tcPr>
            <w:tcW w:w="27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Investment decision quality</w:t>
            </w:r>
          </w:p>
        </w:tc>
        <w:tc>
          <w:tcPr>
            <w:tcW w:w="6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5</w:t>
            </w:r>
          </w:p>
        </w:tc>
        <w:tc>
          <w:tcPr>
            <w:tcW w:w="20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Mixed: adapted + researcher-made</w:t>
            </w:r>
          </w:p>
        </w:tc>
        <w:tc>
          <w:tcPr>
            <w:tcW w:w="34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Parker (2005); Bruine de Bruin (2007)</w:t>
            </w:r>
          </w:p>
        </w:tc>
      </w:tr>
      <w:tr>
        <w:trPr>
          <w:cantSplit/>
        </w:trPr>
        <w:tc>
          <w:tcPr>
            <w:tcW w:w="6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VIG</w:t>
            </w:r>
          </w:p>
        </w:tc>
        <w:tc>
          <w:tcPr>
            <w:tcW w:w="27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Vignette task: acceptance of incorrect AI advice (behavioural criterion)</w:t>
            </w:r>
          </w:p>
        </w:tc>
        <w:tc>
          <w:tcPr>
            <w:tcW w:w="6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4</w:t>
            </w:r>
          </w:p>
        </w:tc>
        <w:tc>
          <w:tcPr>
            <w:tcW w:w="20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Researcher-made (theory-derived)</w:t>
            </w:r>
          </w:p>
        </w:tc>
        <w:tc>
          <w:tcPr>
            <w:tcW w:w="34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Dietvorst (2015); Logg (2019); D'Acunto (2019)</w:t>
            </w:r>
          </w:p>
        </w:tc>
      </w:tr>
    </w:tbl>
    <w:p>
      <w:pPr>
        <w:spacing w:before="0" w:after="100" w:line="276" w:lineRule="auto"/>
        <w:ind w:firstLine="425"/>
        <w:jc w:val="both"/>
      </w:pPr>
    </w:p>
    <w:p>
      <w:pPr>
        <w:spacing w:before="0" w:after="80" w:line="276" w:lineRule="auto"/>
        <w:jc w:val="both"/>
      </w:pPr>
      <w:r>
        <w:rPr>
          <w:rFonts w:ascii="Times New Roman" w:hAnsi="Times New Roman" w:cs="Times New Roman" w:eastAsia="Times New Roman"/>
          <w:sz w:val="24"/>
          <w:szCs w:val="24"/>
          <w:lang w:val="en-US" w:bidi="fa-IR"/>
        </w:rPr>
        <w:t xml:space="preserve">Reading guide. </w:t>
      </w:r>
      <w:r>
        <w:rPr>
          <w:rFonts w:ascii="Times New Roman" w:hAnsi="Times New Roman" w:cs="Times New Roman" w:eastAsia="Times New Roman"/>
          <w:i/>
          <w:iCs/>
          <w:sz w:val="24"/>
          <w:szCs w:val="24"/>
          <w:lang w:val="en-US" w:bidi="fa-IR"/>
        </w:rPr>
        <w:t xml:space="preserve">Research-based</w:t>
      </w:r>
      <w:r>
        <w:rPr>
          <w:rFonts w:ascii="Times New Roman" w:hAnsi="Times New Roman" w:cs="Times New Roman" w:eastAsia="Times New Roman"/>
          <w:sz w:val="24"/>
          <w:szCs w:val="24"/>
          <w:lang w:val="en-US" w:bidi="fa-IR"/>
        </w:rPr>
        <w:t xml:space="preserve"> = the construct and its item logic come from a published instrument or an established measurement method and were adapted (translated, re-worded, shortened) without changing the construct. </w:t>
      </w:r>
      <w:r>
        <w:rPr>
          <w:rFonts w:ascii="Times New Roman" w:hAnsi="Times New Roman" w:cs="Times New Roman" w:eastAsia="Times New Roman"/>
          <w:i/>
          <w:iCs/>
          <w:sz w:val="24"/>
          <w:szCs w:val="24"/>
          <w:lang w:val="en-US" w:bidi="fa-IR"/>
        </w:rPr>
        <w:t xml:space="preserve">Researcher-made</w:t>
      </w:r>
      <w:r>
        <w:rPr>
          <w:rFonts w:ascii="Times New Roman" w:hAnsi="Times New Roman" w:cs="Times New Roman" w:eastAsia="Times New Roman"/>
          <w:sz w:val="24"/>
          <w:szCs w:val="24"/>
          <w:lang w:val="en-US" w:bidi="fa-IR"/>
        </w:rPr>
        <w:t xml:space="preserve"> = no published scale fits the construct; items were written by the authors from theory and require full validation. All Likert items are 5-point; higher scores mean more of the construct. Latent variables are never summed or averaged: every item is attached to its own latent variable in the SEM.</w:t>
      </w:r>
    </w:p>
    <w:p>
      <w:pPr>
        <w:keepNext/>
        <w:spacing w:before="200" w:after="80" w:line="276" w:lineRule="auto"/>
        <w:jc w:val="left"/>
      </w:pPr>
      <w:r>
        <w:rPr>
          <w:rFonts w:ascii="Times New Roman" w:hAnsi="Times New Roman" w:cs="Times New Roman" w:eastAsia="Times New Roman"/>
          <w:b/>
          <w:bCs/>
          <w:sz w:val="26"/>
          <w:szCs w:val="26"/>
          <w:lang w:val="en-US" w:bidi="fa-IR"/>
        </w:rPr>
        <w:t xml:space="preserve">2. Instrument by variable</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2.1 Generative-AI use for investing (GUI)</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Researcher-made (theory-derived).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never … 5 = always.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Exogenous latent (reflective).</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No validated scale exists for investor use of generative AI. Items were written by the authors; only the frequency/intensity format follows the use-behaviour logic of UTAUT2 (Venkatesh et al., 2012). Status: researcher-made, to be validated (CVR/CVI, pilot, EFA/CFA).</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2.1. Items of GUI</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GUI1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use generative-AI tools (e.g., ChatGPT, Gemini, Copilot, DeepSeek) to analyse stocks or other investment options.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GUI2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Generative AI supplies a substantial share of the information I need for my investment decisions.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GUI3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Before buying or selling a stock I usually ask a generative-AI tool for its view.</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GUI4</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Using generative AI has become part of my routine investment analysis.</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Venkatesh, V., Thong, J. Y. L., &amp; Xu, X. (2012). Consumer acceptance and use of information technology: Extending the unified theory of acceptance and use of technology. </w:t>
      </w:r>
      <w:r>
        <w:rPr>
          <w:rFonts w:ascii="Times New Roman" w:hAnsi="Times New Roman" w:cs="Times New Roman" w:eastAsia="Times New Roman"/>
          <w:i/>
          <w:iCs/>
          <w:sz w:val="22"/>
          <w:szCs w:val="22"/>
          <w:lang w:val="en-US" w:bidi="fa-IR"/>
        </w:rPr>
        <w:t xml:space="preserve">MIS Quarterly, 36</w:t>
      </w:r>
      <w:r>
        <w:rPr>
          <w:rFonts w:ascii="Times New Roman" w:hAnsi="Times New Roman" w:cs="Times New Roman" w:eastAsia="Times New Roman"/>
          <w:sz w:val="22"/>
          <w:szCs w:val="22"/>
          <w:lang w:val="en-US" w:bidi="fa-IR"/>
        </w:rPr>
        <w:t xml:space="preserve">(1), 157–178. https://doi.org/10.2307/41410412</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2.2 Objective financial/accounting knowledge test (8 items, scored 0/1) (FK)</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Mixed: adapted + researcher-made.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Multiple choice / true–false–don't know; correct = 1.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Latent 'knowledge' (KR-20) – the moderator is modelled through the standardized test score.</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FK1, FK2, FK7, FK8 follow the logic of the 'Big Three' / OECD-style questions (inflation, risk diversification, compounding) of Lusardi &amp; Mitchell (2014) and Van Rooij et al. (2011), rewritten with local numbers; FK3–FK6 (P/E, EPS, cash-flow vs. profit, audit opinion) are researcher-made accounting items. Status: partly research-based, partly researcher-made.</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2.2. Items of FK</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Your deposit earns 20% per year and inflation is 35% per year. After one year, the purchasing power of the deposit will: (a) increase (b) decrease* (c) stay the same (d) don't know</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'Buying the shares of a single company is usually less risky than buying a diversified fund.' True / False* / Don't know</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Share price 2,000 and earnings per share 200. The P/E ratio is: (a) 0.1 (b) 10* (c) 20 (d) 400,000</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FK4</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Net income 500 bn and 500 m shares outstanding. EPS is: (a) 1 (b) 100 (c) 1,000* (d) 10,000 (currency units)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FK5</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'Accounting profit always equals operating cash flow.' True / False* </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FK6</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'An unqualified audit opinion guarantees the firm's future profitability.' True / False*</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FK7</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'An investment with a higher expected return usually carries higher risk.' True* / False</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FK8</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100 m invested at a fixed 10% p.a. grows after two years to: (a) 110 (b) 120 (c) 121* (d) 100</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Lusardi, A., &amp; Mitchell, O. S. (2014). The economic importance of financial literacy: Theory and evidence. </w:t>
      </w:r>
      <w:r>
        <w:rPr>
          <w:rFonts w:ascii="Times New Roman" w:hAnsi="Times New Roman" w:cs="Times New Roman" w:eastAsia="Times New Roman"/>
          <w:i/>
          <w:iCs/>
          <w:sz w:val="22"/>
          <w:szCs w:val="22"/>
          <w:lang w:val="en-US" w:bidi="fa-IR"/>
        </w:rPr>
        <w:t xml:space="preserve">Journal of Economic Literature, 52</w:t>
      </w:r>
      <w:r>
        <w:rPr>
          <w:rFonts w:ascii="Times New Roman" w:hAnsi="Times New Roman" w:cs="Times New Roman" w:eastAsia="Times New Roman"/>
          <w:sz w:val="22"/>
          <w:szCs w:val="22"/>
          <w:lang w:val="en-US" w:bidi="fa-IR"/>
        </w:rPr>
        <w:t xml:space="preserve">(1), 5–44. https://doi.org/10.1257/jel.52.1.5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Van Rooij, M., Lusardi, A., &amp; Alessie, R. (2011). Financial literacy and stock market participation. </w:t>
      </w:r>
      <w:r>
        <w:rPr>
          <w:rFonts w:ascii="Times New Roman" w:hAnsi="Times New Roman" w:cs="Times New Roman" w:eastAsia="Times New Roman"/>
          <w:i/>
          <w:iCs/>
          <w:sz w:val="22"/>
          <w:szCs w:val="22"/>
          <w:lang w:val="en-US" w:bidi="fa-IR"/>
        </w:rPr>
        <w:t xml:space="preserve">Journal of Financial Economics, 101</w:t>
      </w:r>
      <w:r>
        <w:rPr>
          <w:rFonts w:ascii="Times New Roman" w:hAnsi="Times New Roman" w:cs="Times New Roman" w:eastAsia="Times New Roman"/>
          <w:sz w:val="22"/>
          <w:szCs w:val="22"/>
          <w:lang w:val="en-US" w:bidi="fa-IR"/>
        </w:rPr>
        <w:t xml:space="preserve">(2), 449–472. https://doi.org/10.1016/j.jfineco.2011.03.006</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2.3 Calibration gap (overestimation): predicted minus actual test score (CG)</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Research-based (adapted).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C1: 0–8 integer; C2: rank 1–100.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Behavioural/performance-based indicator (not a Likert scale).</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Method-based: the calibration/over-placement logic of Kruger &amp; Dunning (1999) and Moore &amp; Healy (2008) is applied directly (CG = C1 − actual score; CP = C2 − actual rank). The questions themselves are generic. Status: research-based method.</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2.3. Items of CG</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C1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How many of the 8 questions above do you think you answered correctly? (0–8)</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C2</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Compared with 100 other active investors, what is your rank in financial knowledge? (1 = lowest, 100 = highest)</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Kruger, J., &amp; Dunning, D. (1999). Unskilled and unaware of it: How difficulties in recognizing one's own incompetence lead to inflated self-assessments. </w:t>
      </w:r>
      <w:r>
        <w:rPr>
          <w:rFonts w:ascii="Times New Roman" w:hAnsi="Times New Roman" w:cs="Times New Roman" w:eastAsia="Times New Roman"/>
          <w:i/>
          <w:iCs/>
          <w:sz w:val="22"/>
          <w:szCs w:val="22"/>
          <w:lang w:val="en-US" w:bidi="fa-IR"/>
        </w:rPr>
        <w:t xml:space="preserve">Journal of Personality and Social Psychology, 77</w:t>
      </w:r>
      <w:r>
        <w:rPr>
          <w:rFonts w:ascii="Times New Roman" w:hAnsi="Times New Roman" w:cs="Times New Roman" w:eastAsia="Times New Roman"/>
          <w:sz w:val="22"/>
          <w:szCs w:val="22"/>
          <w:lang w:val="en-US" w:bidi="fa-IR"/>
        </w:rPr>
        <w:t xml:space="preserve">(6), 1121–1134. https://doi.org/10.1037/0022-3514.77.6.1121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Moore, D. A., &amp; Healy, P. J. (2008). The trouble with overconfidence. </w:t>
      </w:r>
      <w:r>
        <w:rPr>
          <w:rFonts w:ascii="Times New Roman" w:hAnsi="Times New Roman" w:cs="Times New Roman" w:eastAsia="Times New Roman"/>
          <w:i/>
          <w:iCs/>
          <w:sz w:val="22"/>
          <w:szCs w:val="22"/>
          <w:lang w:val="en-US" w:bidi="fa-IR"/>
        </w:rPr>
        <w:t xml:space="preserve">Psychological Review, 115</w:t>
      </w:r>
      <w:r>
        <w:rPr>
          <w:rFonts w:ascii="Times New Roman" w:hAnsi="Times New Roman" w:cs="Times New Roman" w:eastAsia="Times New Roman"/>
          <w:sz w:val="22"/>
          <w:szCs w:val="22"/>
          <w:lang w:val="en-US" w:bidi="fa-IR"/>
        </w:rPr>
        <w:t xml:space="preserve">(2), 502–517. https://doi.org/10.1037/0033-295X.115.2.502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Ehrlinger, J., Johnson, K., Banner, M., Dunning, D., &amp; Kruger, J. (2008). Why the unskilled are unaware: Further explorations of (absent) self-insight among the incompetent. </w:t>
      </w:r>
      <w:r>
        <w:rPr>
          <w:rFonts w:ascii="Times New Roman" w:hAnsi="Times New Roman" w:cs="Times New Roman" w:eastAsia="Times New Roman"/>
          <w:i/>
          <w:iCs/>
          <w:sz w:val="22"/>
          <w:szCs w:val="22"/>
          <w:lang w:val="en-US" w:bidi="fa-IR"/>
        </w:rPr>
        <w:t xml:space="preserve">Organizational Behavior and Human Decision Processes, 105</w:t>
      </w:r>
      <w:r>
        <w:rPr>
          <w:rFonts w:ascii="Times New Roman" w:hAnsi="Times New Roman" w:cs="Times New Roman" w:eastAsia="Times New Roman"/>
          <w:sz w:val="22"/>
          <w:szCs w:val="22"/>
          <w:lang w:val="en-US" w:bidi="fa-IR"/>
        </w:rPr>
        <w:t xml:space="preserve">(1), 98–121. https://doi.org/10.1016/j.obhdp.2007.05.002</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2.4 Perceived competence with AI (the 'illusion' facet) (PCA)</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Researcher-made (theory-derived).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strongly disagree … 5 = strongly agree.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Mediator (reflective latent).</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Overconfidence/perceived-ability constructs are established (Barber &amp; Odean, 2001; Glaser &amp; Weber, 2007; Grinblatt &amp; Keloharju, 2009), but no scale targets AI-assisted competence; the four items are new wordings of better-than-average, forecast-confidence and self-sufficiency facets. Status: researcher-made, theory-derived.</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2.4. Items of PCA</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PCA1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With the help of AI, my analysis of the stock market is better than that of most other investors.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PCA2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With AI, I am confident that my price-trend forecasts will turn out correct.</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PCA3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With AI, I feel I understand financial statements better than before.</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PCA4</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With AI, I no longer need much help from a financial professional.</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Moore, D. A., &amp; Healy, P. J. (2008). The trouble with overconfidence. </w:t>
      </w:r>
      <w:r>
        <w:rPr>
          <w:rFonts w:ascii="Times New Roman" w:hAnsi="Times New Roman" w:cs="Times New Roman" w:eastAsia="Times New Roman"/>
          <w:i/>
          <w:iCs/>
          <w:sz w:val="22"/>
          <w:szCs w:val="22"/>
          <w:lang w:val="en-US" w:bidi="fa-IR"/>
        </w:rPr>
        <w:t xml:space="preserve">Psychological Review, 115</w:t>
      </w:r>
      <w:r>
        <w:rPr>
          <w:rFonts w:ascii="Times New Roman" w:hAnsi="Times New Roman" w:cs="Times New Roman" w:eastAsia="Times New Roman"/>
          <w:sz w:val="22"/>
          <w:szCs w:val="22"/>
          <w:lang w:val="en-US" w:bidi="fa-IR"/>
        </w:rPr>
        <w:t xml:space="preserve">(2), 502–517. https://doi.org/10.1037/0033-295X.115.2.502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Barber, B. M., &amp; Odean, T. (2001). Boys will be boys: Gender, overconfidence, and common stock investment. </w:t>
      </w:r>
      <w:r>
        <w:rPr>
          <w:rFonts w:ascii="Times New Roman" w:hAnsi="Times New Roman" w:cs="Times New Roman" w:eastAsia="Times New Roman"/>
          <w:i/>
          <w:iCs/>
          <w:sz w:val="22"/>
          <w:szCs w:val="22"/>
          <w:lang w:val="en-US" w:bidi="fa-IR"/>
        </w:rPr>
        <w:t xml:space="preserve">The Quarterly Journal of Economics, 116</w:t>
      </w:r>
      <w:r>
        <w:rPr>
          <w:rFonts w:ascii="Times New Roman" w:hAnsi="Times New Roman" w:cs="Times New Roman" w:eastAsia="Times New Roman"/>
          <w:sz w:val="22"/>
          <w:szCs w:val="22"/>
          <w:lang w:val="en-US" w:bidi="fa-IR"/>
        </w:rPr>
        <w:t xml:space="preserve">(1), 261–292. https://doi.org/10.1162/003355301556400</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Grinblatt, M., &amp; Keloharju, M. (2009). Sensation seeking, overconfidence, and trading activity. </w:t>
      </w:r>
      <w:r>
        <w:rPr>
          <w:rFonts w:ascii="Times New Roman" w:hAnsi="Times New Roman" w:cs="Times New Roman" w:eastAsia="Times New Roman"/>
          <w:i/>
          <w:iCs/>
          <w:sz w:val="22"/>
          <w:szCs w:val="22"/>
          <w:lang w:val="en-US" w:bidi="fa-IR"/>
        </w:rPr>
        <w:t xml:space="preserve">The Journal of Finance, 64</w:t>
      </w:r>
      <w:r>
        <w:rPr>
          <w:rFonts w:ascii="Times New Roman" w:hAnsi="Times New Roman" w:cs="Times New Roman" w:eastAsia="Times New Roman"/>
          <w:sz w:val="22"/>
          <w:szCs w:val="22"/>
          <w:lang w:val="en-US" w:bidi="fa-IR"/>
        </w:rPr>
        <w:t xml:space="preserve">(2), 549–578. https://doi.org/10.1111/j.1540-6261.2009.01443.x</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Glaser, M., &amp; Weber, M. (2007). Overconfidence and trading volume. </w:t>
      </w:r>
      <w:r>
        <w:rPr>
          <w:rFonts w:ascii="Times New Roman" w:hAnsi="Times New Roman" w:cs="Times New Roman" w:eastAsia="Times New Roman"/>
          <w:i/>
          <w:iCs/>
          <w:sz w:val="22"/>
          <w:szCs w:val="22"/>
          <w:lang w:val="en-US" w:bidi="fa-IR"/>
        </w:rPr>
        <w:t xml:space="preserve">The Geneva Risk and Insurance Review, 32</w:t>
      </w:r>
      <w:r>
        <w:rPr>
          <w:rFonts w:ascii="Times New Roman" w:hAnsi="Times New Roman" w:cs="Times New Roman" w:eastAsia="Times New Roman"/>
          <w:sz w:val="22"/>
          <w:szCs w:val="22"/>
          <w:lang w:val="en-US" w:bidi="fa-IR"/>
        </w:rPr>
        <w:t xml:space="preserve">(1), 1–36. https://doi.org/10.1007/s10713-007-0003-3</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2.5 Uncritical reliance on AI output (automation-bias tendency) (UR)</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Researcher-made (theory-derived).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strongly disagree … 5 = strongly agree.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Mediator (reflective latent).</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Automation bias/complacency is defined by Parasuraman &amp; Manzey (2010), Goddard et al. (2012) and Skitka et al. (1999); the trust-scale tradition (Jian et al., 2000) offers wording ideas only. Items are original, investment-specific. Status: researcher-made, theory-derived.</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2.5. Items of UR</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UR1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usually accept an AI answer without checking it again.</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UR2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If the AI's view differs from my own analysis, I tend to trust the AI.</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UR3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Because AI summarises for me, I read financial statements directly less often.</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UR4</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find fluent, confident AI answers more correct than hesitant ones.</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Parasuraman, R., &amp; Manzey, D. H. (2010). Complacency and bias in human use of automation: An attentional integration. </w:t>
      </w:r>
      <w:r>
        <w:rPr>
          <w:rFonts w:ascii="Times New Roman" w:hAnsi="Times New Roman" w:cs="Times New Roman" w:eastAsia="Times New Roman"/>
          <w:i/>
          <w:iCs/>
          <w:sz w:val="22"/>
          <w:szCs w:val="22"/>
          <w:lang w:val="en-US" w:bidi="fa-IR"/>
        </w:rPr>
        <w:t xml:space="preserve">Human Factors, 52</w:t>
      </w:r>
      <w:r>
        <w:rPr>
          <w:rFonts w:ascii="Times New Roman" w:hAnsi="Times New Roman" w:cs="Times New Roman" w:eastAsia="Times New Roman"/>
          <w:sz w:val="22"/>
          <w:szCs w:val="22"/>
          <w:lang w:val="en-US" w:bidi="fa-IR"/>
        </w:rPr>
        <w:t xml:space="preserve">(3), 381–410. https://doi.org/10.1177/0018720810376055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Goddard, K., Roudsari, A., &amp; Wyatt, J. C. (2012). Automation bias: A systematic review of frequency, effect mediators, and mitigators. </w:t>
      </w:r>
      <w:r>
        <w:rPr>
          <w:rFonts w:ascii="Times New Roman" w:hAnsi="Times New Roman" w:cs="Times New Roman" w:eastAsia="Times New Roman"/>
          <w:i/>
          <w:iCs/>
          <w:sz w:val="22"/>
          <w:szCs w:val="22"/>
          <w:lang w:val="en-US" w:bidi="fa-IR"/>
        </w:rPr>
        <w:t xml:space="preserve">Journal of the American Medical Informatics Association, 19</w:t>
      </w:r>
      <w:r>
        <w:rPr>
          <w:rFonts w:ascii="Times New Roman" w:hAnsi="Times New Roman" w:cs="Times New Roman" w:eastAsia="Times New Roman"/>
          <w:sz w:val="22"/>
          <w:szCs w:val="22"/>
          <w:lang w:val="en-US" w:bidi="fa-IR"/>
        </w:rPr>
        <w:t xml:space="preserve">(1), 121–127. https://doi.org/10.1136/amiajnl-2011-000089</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Skitka, L. J., Mosier, K. L., &amp; Burdick, M. (1999). Does automation bias decision-making? </w:t>
      </w:r>
      <w:r>
        <w:rPr>
          <w:rFonts w:ascii="Times New Roman" w:hAnsi="Times New Roman" w:cs="Times New Roman" w:eastAsia="Times New Roman"/>
          <w:i/>
          <w:iCs/>
          <w:sz w:val="22"/>
          <w:szCs w:val="22"/>
          <w:lang w:val="en-US" w:bidi="fa-IR"/>
        </w:rPr>
        <w:t xml:space="preserve">International Journal of Human-Computer Studies, 51</w:t>
      </w:r>
      <w:r>
        <w:rPr>
          <w:rFonts w:ascii="Times New Roman" w:hAnsi="Times New Roman" w:cs="Times New Roman" w:eastAsia="Times New Roman"/>
          <w:sz w:val="22"/>
          <w:szCs w:val="22"/>
          <w:lang w:val="en-US" w:bidi="fa-IR"/>
        </w:rPr>
        <w:t xml:space="preserve">(5), 991–1006. https://doi.org/10.1006/ijhc.1999.0252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Lee, J. D., &amp; See, K. A. (2004). Trust in automation: Designing for appropriate reliance. </w:t>
      </w:r>
      <w:r>
        <w:rPr>
          <w:rFonts w:ascii="Times New Roman" w:hAnsi="Times New Roman" w:cs="Times New Roman" w:eastAsia="Times New Roman"/>
          <w:i/>
          <w:iCs/>
          <w:sz w:val="22"/>
          <w:szCs w:val="22"/>
          <w:lang w:val="en-US" w:bidi="fa-IR"/>
        </w:rPr>
        <w:t xml:space="preserve">Human Factors, 46</w:t>
      </w:r>
      <w:r>
        <w:rPr>
          <w:rFonts w:ascii="Times New Roman" w:hAnsi="Times New Roman" w:cs="Times New Roman" w:eastAsia="Times New Roman"/>
          <w:sz w:val="22"/>
          <w:szCs w:val="22"/>
          <w:lang w:val="en-US" w:bidi="fa-IR"/>
        </w:rPr>
        <w:t xml:space="preserve">(1), 50–80. https://doi.org/10.1518/hfes.46.1.50_30392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Jian, J.-Y., Bisantz, A. M., &amp; Drury, C. G. (2000). Foundations for an empirically determined scale of trust in automated systems. </w:t>
      </w:r>
      <w:r>
        <w:rPr>
          <w:rFonts w:ascii="Times New Roman" w:hAnsi="Times New Roman" w:cs="Times New Roman" w:eastAsia="Times New Roman"/>
          <w:i/>
          <w:iCs/>
          <w:sz w:val="22"/>
          <w:szCs w:val="22"/>
          <w:lang w:val="en-US" w:bidi="fa-IR"/>
        </w:rPr>
        <w:t xml:space="preserve">International Journal of Cognitive Ergonomics, 4</w:t>
      </w:r>
      <w:r>
        <w:rPr>
          <w:rFonts w:ascii="Times New Roman" w:hAnsi="Times New Roman" w:cs="Times New Roman" w:eastAsia="Times New Roman"/>
          <w:sz w:val="22"/>
          <w:szCs w:val="22"/>
          <w:lang w:val="en-US" w:bidi="fa-IR"/>
        </w:rPr>
        <w:t xml:space="preserve">(1), 53–71. https://doi.org/10.1207/S15327566IJCE0401_04</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Dietvorst, B. J., Simmons, J. P., &amp; Massey, C. (2015). Algorithm aversion: People erroneously avoid algorithms after seeing them err. </w:t>
      </w:r>
      <w:r>
        <w:rPr>
          <w:rFonts w:ascii="Times New Roman" w:hAnsi="Times New Roman" w:cs="Times New Roman" w:eastAsia="Times New Roman"/>
          <w:i/>
          <w:iCs/>
          <w:sz w:val="22"/>
          <w:szCs w:val="22"/>
          <w:lang w:val="en-US" w:bidi="fa-IR"/>
        </w:rPr>
        <w:t xml:space="preserve">Journal of Experimental Psychology: General, 144</w:t>
      </w:r>
      <w:r>
        <w:rPr>
          <w:rFonts w:ascii="Times New Roman" w:hAnsi="Times New Roman" w:cs="Times New Roman" w:eastAsia="Times New Roman"/>
          <w:sz w:val="22"/>
          <w:szCs w:val="22"/>
          <w:lang w:val="en-US" w:bidi="fa-IR"/>
        </w:rPr>
        <w:t xml:space="preserve">(1), 114–126. https://doi.org/10.1037/xge0000033</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Logg, J. M., Minson, J. A., &amp; Moore, D. A. (2019). Algorithm appreciation: People prefer algorithmic to human judgment. </w:t>
      </w:r>
      <w:r>
        <w:rPr>
          <w:rFonts w:ascii="Times New Roman" w:hAnsi="Times New Roman" w:cs="Times New Roman" w:eastAsia="Times New Roman"/>
          <w:i/>
          <w:iCs/>
          <w:sz w:val="22"/>
          <w:szCs w:val="22"/>
          <w:lang w:val="en-US" w:bidi="fa-IR"/>
        </w:rPr>
        <w:t xml:space="preserve">Organizational Behavior and Human Decision Processes, 151</w:t>
      </w:r>
      <w:r>
        <w:rPr>
          <w:rFonts w:ascii="Times New Roman" w:hAnsi="Times New Roman" w:cs="Times New Roman" w:eastAsia="Times New Roman"/>
          <w:sz w:val="22"/>
          <w:szCs w:val="22"/>
          <w:lang w:val="en-US" w:bidi="fa-IR"/>
        </w:rPr>
        <w:t xml:space="preserve">, 90–103. https://doi.org/10.1016/j.obhdp.2018.12.005</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2.6 Verification behaviour (calibrated reliance) (VER)</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Researcher-made (theory-derived).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never … 5 = always.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Mediator (reflective latent).</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Verification as the behavioural counterpart of appropriate (calibrated) reliance follows Lee &amp; See (2004) and Hoff &amp; Bashir (2015); the need for it follows from hallucination evidence (Ji et al., 2023). Items are original. Status: researcher-made, theory-derived.</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2.6. Items of VER</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VER1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compare numbers and claims from AI with official filings or financial statements.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VER2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confirm AI answers with at least one independent source.</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VER3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ask the tool for its sources and actually check them.</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VER4</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redo important calculations myself.</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Lee, J. D., &amp; See, K. A. (2004). Trust in automation: Designing for appropriate reliance. </w:t>
      </w:r>
      <w:r>
        <w:rPr>
          <w:rFonts w:ascii="Times New Roman" w:hAnsi="Times New Roman" w:cs="Times New Roman" w:eastAsia="Times New Roman"/>
          <w:i/>
          <w:iCs/>
          <w:sz w:val="22"/>
          <w:szCs w:val="22"/>
          <w:lang w:val="en-US" w:bidi="fa-IR"/>
        </w:rPr>
        <w:t xml:space="preserve">Human Factors, 46</w:t>
      </w:r>
      <w:r>
        <w:rPr>
          <w:rFonts w:ascii="Times New Roman" w:hAnsi="Times New Roman" w:cs="Times New Roman" w:eastAsia="Times New Roman"/>
          <w:sz w:val="22"/>
          <w:szCs w:val="22"/>
          <w:lang w:val="en-US" w:bidi="fa-IR"/>
        </w:rPr>
        <w:t xml:space="preserve">(1), 50–80. https://doi.org/10.1518/hfes.46.1.50_30392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Hoff, K. A., &amp; Bashir, M. (2015). Trust in automation: Integrating empirical evidence on factors that influence trust. </w:t>
      </w:r>
      <w:r>
        <w:rPr>
          <w:rFonts w:ascii="Times New Roman" w:hAnsi="Times New Roman" w:cs="Times New Roman" w:eastAsia="Times New Roman"/>
          <w:i/>
          <w:iCs/>
          <w:sz w:val="22"/>
          <w:szCs w:val="22"/>
          <w:lang w:val="en-US" w:bidi="fa-IR"/>
        </w:rPr>
        <w:t xml:space="preserve">Human Factors, 57</w:t>
      </w:r>
      <w:r>
        <w:rPr>
          <w:rFonts w:ascii="Times New Roman" w:hAnsi="Times New Roman" w:cs="Times New Roman" w:eastAsia="Times New Roman"/>
          <w:sz w:val="22"/>
          <w:szCs w:val="22"/>
          <w:lang w:val="en-US" w:bidi="fa-IR"/>
        </w:rPr>
        <w:t xml:space="preserve">(3), 407–434. https://doi.org/10.1177/0018720814547570</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Pennycook, G., &amp; Rand, D. G. (2019). Lazy, not biased: Susceptibility to partisan fake news is better explained by lack of reasoning than by motivated reasoning. </w:t>
      </w:r>
      <w:r>
        <w:rPr>
          <w:rFonts w:ascii="Times New Roman" w:hAnsi="Times New Roman" w:cs="Times New Roman" w:eastAsia="Times New Roman"/>
          <w:i/>
          <w:iCs/>
          <w:sz w:val="22"/>
          <w:szCs w:val="22"/>
          <w:lang w:val="en-US" w:bidi="fa-IR"/>
        </w:rPr>
        <w:t xml:space="preserve">Cognition, 188</w:t>
      </w:r>
      <w:r>
        <w:rPr>
          <w:rFonts w:ascii="Times New Roman" w:hAnsi="Times New Roman" w:cs="Times New Roman" w:eastAsia="Times New Roman"/>
          <w:sz w:val="22"/>
          <w:szCs w:val="22"/>
          <w:lang w:val="en-US" w:bidi="fa-IR"/>
        </w:rPr>
        <w:t xml:space="preserve">, 39–50. https://doi.org/10.1016/j.cognition.2018.06.011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Ji, Z., Lee, N., Frieske, R., Yu, T., Su, D., Xu, Y., Ishii, E., Bang, Y. J., Madotto, A., &amp; Fung, P. (2023). Survey of hallucination in natural language generation. </w:t>
      </w:r>
      <w:r>
        <w:rPr>
          <w:rFonts w:ascii="Times New Roman" w:hAnsi="Times New Roman" w:cs="Times New Roman" w:eastAsia="Times New Roman"/>
          <w:i/>
          <w:iCs/>
          <w:sz w:val="22"/>
          <w:szCs w:val="22"/>
          <w:lang w:val="en-US" w:bidi="fa-IR"/>
        </w:rPr>
        <w:t xml:space="preserve">ACM Computing Surveys, 55</w:t>
      </w:r>
      <w:r>
        <w:rPr>
          <w:rFonts w:ascii="Times New Roman" w:hAnsi="Times New Roman" w:cs="Times New Roman" w:eastAsia="Times New Roman"/>
          <w:sz w:val="22"/>
          <w:szCs w:val="22"/>
          <w:lang w:val="en-US" w:bidi="fa-IR"/>
        </w:rPr>
        <w:t xml:space="preserve">(12), Article 248. https://doi.org/10.1145/3571730</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2.7 AI literacy (AIL)</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Research-based (adapted).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strongly disagree … 5 = strongly agree.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Moderator (reflective latent).</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Competency domains (awareness, use, evaluation, ethics/limits) follow Wang et al. (2023), Ng et al. (2021) and Long &amp; Magerko (2020); items are paraphrased and re-contextualised to investing, so the original validation does not transfer automatically. Status: research-based (adapted); re-validate in the target population.</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2.7. Items of AIL</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know that generative AI can produce wrong but convincing information.</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know these tools are trained on dated data and may be unaware of current market information.</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can phrase a question so that I get a more accurate answer.</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AIL4</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can evaluate the quality of an AI tool's answer.</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AIL5</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know AI may be biased or use incomplete information.</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AIL6</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know when I should not rely on AI for a financial decision.</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Wang, B., Rau, P.-L. P., &amp; Yuan, T. (2023). Measuring user competence in using artificial intelligence: Validity and reliability of artificial intelligence literacy scale. </w:t>
      </w:r>
      <w:r>
        <w:rPr>
          <w:rFonts w:ascii="Times New Roman" w:hAnsi="Times New Roman" w:cs="Times New Roman" w:eastAsia="Times New Roman"/>
          <w:i/>
          <w:iCs/>
          <w:sz w:val="22"/>
          <w:szCs w:val="22"/>
          <w:lang w:val="en-US" w:bidi="fa-IR"/>
        </w:rPr>
        <w:t xml:space="preserve">Behaviour &amp; Information Technology, 42</w:t>
      </w:r>
      <w:r>
        <w:rPr>
          <w:rFonts w:ascii="Times New Roman" w:hAnsi="Times New Roman" w:cs="Times New Roman" w:eastAsia="Times New Roman"/>
          <w:sz w:val="22"/>
          <w:szCs w:val="22"/>
          <w:lang w:val="en-US" w:bidi="fa-IR"/>
        </w:rPr>
        <w:t xml:space="preserve">(9), 1324–1337. https://doi.org/10.1080/0144929X.2022.2072768</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Ng, D. T. K., Leung, J. K. L., Chu, S. K. W., &amp; Qiao, M. S. (2021). Conceptualizing AI literacy: An exploratory review. </w:t>
      </w:r>
      <w:r>
        <w:rPr>
          <w:rFonts w:ascii="Times New Roman" w:hAnsi="Times New Roman" w:cs="Times New Roman" w:eastAsia="Times New Roman"/>
          <w:i/>
          <w:iCs/>
          <w:sz w:val="22"/>
          <w:szCs w:val="22"/>
          <w:lang w:val="en-US" w:bidi="fa-IR"/>
        </w:rPr>
        <w:t xml:space="preserve">Computers and Education: Artificial Intelligence, 2</w:t>
      </w:r>
      <w:r>
        <w:rPr>
          <w:rFonts w:ascii="Times New Roman" w:hAnsi="Times New Roman" w:cs="Times New Roman" w:eastAsia="Times New Roman"/>
          <w:sz w:val="22"/>
          <w:szCs w:val="22"/>
          <w:lang w:val="en-US" w:bidi="fa-IR"/>
        </w:rPr>
        <w:t xml:space="preserve">, 100041. https://doi.org/10.1016/j.caeai.2021.100041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Long, D., &amp; Magerko, B. (2020). What is AI literacy? Competencies and design considerations. </w:t>
      </w:r>
      <w:r>
        <w:rPr>
          <w:rFonts w:ascii="Times New Roman" w:hAnsi="Times New Roman" w:cs="Times New Roman" w:eastAsia="Times New Roman"/>
          <w:i/>
          <w:iCs/>
          <w:sz w:val="22"/>
          <w:szCs w:val="22"/>
          <w:lang w:val="en-US" w:bidi="fa-IR"/>
        </w:rPr>
        <w:t xml:space="preserve">Proceedings of the 2020 CHI Conference on Human Factors in Computing Systems</w:t>
      </w:r>
      <w:r>
        <w:rPr>
          <w:rFonts w:ascii="Times New Roman" w:hAnsi="Times New Roman" w:cs="Times New Roman" w:eastAsia="Times New Roman"/>
          <w:sz w:val="22"/>
          <w:szCs w:val="22"/>
          <w:lang w:val="en-US" w:bidi="fa-IR"/>
        </w:rPr>
        <w:t xml:space="preserve"> (pp. 1–16). ACM. https://doi.org/10.1145/3313831.3376727</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2.8 Investment decision quality (IDQ)</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Mixed: adapted + researcher-made.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1 = strongly disagree … 5 = strongly agree.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Outcome (reflective latent).</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Decision competence is conceptualised after Parker &amp; Fischhoff (2005) and Bruine de Bruin et al. (2007), whose instrument measures general decision skills with tasks, not self-report; the five self-report items on process, outcome, goal-fit and regret were written by the authors. Status: researcher-made, theory-derived (shared with Papers 1–2).</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2.8. Items of IDQ</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My investment decisions are usually based on documented analysis.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am satisfied with the outcome of my investment decisions over the past year.</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My portfolio return over the past year matched my expectations.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IDQ4</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My decisions are aligned with my long-term financial goals.</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IDQ5</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I rarely regret my trading decisions.</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Parker, A. M., &amp; Fischhoff, B. (2005). Decision-making competence: External validation through an individual-differences approach. </w:t>
      </w:r>
      <w:r>
        <w:rPr>
          <w:rFonts w:ascii="Times New Roman" w:hAnsi="Times New Roman" w:cs="Times New Roman" w:eastAsia="Times New Roman"/>
          <w:i/>
          <w:iCs/>
          <w:sz w:val="22"/>
          <w:szCs w:val="22"/>
          <w:lang w:val="en-US" w:bidi="fa-IR"/>
        </w:rPr>
        <w:t xml:space="preserve">Journal of Behavioral Decision Making, 18</w:t>
      </w:r>
      <w:r>
        <w:rPr>
          <w:rFonts w:ascii="Times New Roman" w:hAnsi="Times New Roman" w:cs="Times New Roman" w:eastAsia="Times New Roman"/>
          <w:sz w:val="22"/>
          <w:szCs w:val="22"/>
          <w:lang w:val="en-US" w:bidi="fa-IR"/>
        </w:rPr>
        <w:t xml:space="preserve">(1), 1–27. https://doi.org/10.1002/bdm.481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Bruine de Bruin, W., Parker, A. M., &amp; Fischhoff, B. (2007). Individual differences in adult decision-making competence. </w:t>
      </w:r>
      <w:r>
        <w:rPr>
          <w:rFonts w:ascii="Times New Roman" w:hAnsi="Times New Roman" w:cs="Times New Roman" w:eastAsia="Times New Roman"/>
          <w:i/>
          <w:iCs/>
          <w:sz w:val="22"/>
          <w:szCs w:val="22"/>
          <w:lang w:val="en-US" w:bidi="fa-IR"/>
        </w:rPr>
        <w:t xml:space="preserve">Journal of Personality and Social Psychology, 92</w:t>
      </w:r>
      <w:r>
        <w:rPr>
          <w:rFonts w:ascii="Times New Roman" w:hAnsi="Times New Roman" w:cs="Times New Roman" w:eastAsia="Times New Roman"/>
          <w:sz w:val="22"/>
          <w:szCs w:val="22"/>
          <w:lang w:val="en-US" w:bidi="fa-IR"/>
        </w:rPr>
        <w:t xml:space="preserve">(5), 938–956. https://doi.org/10.1037/0022-3514.92.5.938</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2.9 Vignette task: acceptance of incorrect AI advice (behavioural criterion) (VIG)</w:t>
      </w:r>
    </w:p>
    <w:p>
      <w:pPr>
        <w:spacing w:before="0" w:after="80" w:line="276" w:lineRule="auto"/>
        <w:jc w:val="both"/>
      </w:pPr>
      <w:r>
        <w:rPr>
          <w:rFonts w:ascii="Times New Roman" w:hAnsi="Times New Roman" w:cs="Times New Roman" w:eastAsia="Times New Roman"/>
          <w:b/>
          <w:bCs/>
          <w:sz w:val="24"/>
          <w:szCs w:val="24"/>
          <w:lang w:val="en-US" w:bidi="fa-IR"/>
        </w:rPr>
        <w:t xml:space="preserve">Origin:</w:t>
      </w:r>
      <w:r>
        <w:rPr>
          <w:rFonts w:ascii="Times New Roman" w:hAnsi="Times New Roman" w:cs="Times New Roman" w:eastAsia="Times New Roman"/>
          <w:sz w:val="24"/>
          <w:szCs w:val="24"/>
          <w:lang w:val="en-US" w:bidi="fa-IR"/>
        </w:rPr>
        <w:t xml:space="preserve"> Researcher-made (theory-derived).  </w:t>
      </w:r>
      <w:r>
        <w:rPr>
          <w:rFonts w:ascii="Times New Roman" w:hAnsi="Times New Roman" w:cs="Times New Roman" w:eastAsia="Times New Roman"/>
          <w:b/>
          <w:bCs/>
          <w:sz w:val="24"/>
          <w:szCs w:val="24"/>
          <w:lang w:val="en-US" w:bidi="fa-IR"/>
        </w:rPr>
        <w:t xml:space="preserve">Response format:</w:t>
      </w:r>
      <w:r>
        <w:rPr>
          <w:rFonts w:ascii="Times New Roman" w:hAnsi="Times New Roman" w:cs="Times New Roman" w:eastAsia="Times New Roman"/>
          <w:sz w:val="24"/>
          <w:szCs w:val="24"/>
          <w:lang w:val="en-US" w:bidi="fa-IR"/>
        </w:rPr>
        <w:t xml:space="preserve"> Accept / verify first / reject.  </w:t>
      </w:r>
      <w:r>
        <w:rPr>
          <w:rFonts w:ascii="Times New Roman" w:hAnsi="Times New Roman" w:cs="Times New Roman" w:eastAsia="Times New Roman"/>
          <w:b/>
          <w:bCs/>
          <w:sz w:val="24"/>
          <w:szCs w:val="24"/>
          <w:lang w:val="en-US" w:bidi="fa-IR"/>
        </w:rPr>
        <w:t xml:space="preserve">Role in the model:</w:t>
      </w:r>
      <w:r>
        <w:rPr>
          <w:rFonts w:ascii="Times New Roman" w:hAnsi="Times New Roman" w:cs="Times New Roman" w:eastAsia="Times New Roman"/>
          <w:sz w:val="24"/>
          <w:szCs w:val="24"/>
          <w:lang w:val="en-US" w:bidi="fa-IR"/>
        </w:rPr>
        <w:t xml:space="preserve"> Criterion measure (VIGERR = number of wrong AI answers accepted, 0–2).</w:t>
      </w:r>
    </w:p>
    <w:p>
      <w:pPr>
        <w:spacing w:before="0" w:after="80" w:line="276" w:lineRule="auto"/>
        <w:jc w:val="both"/>
      </w:pPr>
      <w:r>
        <w:rPr>
          <w:rFonts w:ascii="Times New Roman" w:hAnsi="Times New Roman" w:cs="Times New Roman" w:eastAsia="Times New Roman"/>
          <w:b/>
          <w:bCs/>
          <w:sz w:val="24"/>
          <w:szCs w:val="24"/>
          <w:lang w:val="en-US" w:bidi="fa-IR"/>
        </w:rPr>
        <w:t xml:space="preserve">Basis and status.</w:t>
      </w:r>
      <w:r>
        <w:rPr>
          <w:rFonts w:ascii="Times New Roman" w:hAnsi="Times New Roman" w:cs="Times New Roman" w:eastAsia="Times New Roman"/>
          <w:sz w:val="24"/>
          <w:szCs w:val="24"/>
          <w:lang w:val="en-US" w:bidi="fa-IR"/>
        </w:rPr>
        <w:t xml:space="preserve"> Researcher-made vignettes with a known answer key; design logic follows the advice-taking literature (Dietvorst et al., 2015; Logg et al., 2019). Status: researcher-made.</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2.9. Items of VIG</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AI says: 'Firm A has price 1,000 and EPS 200, so P/E = 20 — it is cheap.' (incorrect: P/E = 5)</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AI says: 'High accounting profit is not necessarily strong cash flow; check operating cash flow too.' (correct)</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AI says: 'An unqualified audit opinion means the share will rise over the next six months.' (incorrect)</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V4</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AI says: 'Diversification reduces firm-specific risk but cannot remove systematic risk.' (correct)</w:t>
            </w:r>
          </w:p>
        </w:tc>
      </w:tr>
    </w:tbl>
    <w:p>
      <w:pPr>
        <w:spacing w:before="0" w:after="100" w:line="276" w:lineRule="auto"/>
        <w:ind w:firstLine="425"/>
        <w:jc w:val="both"/>
      </w:pPr>
    </w:p>
    <w:p>
      <w:pPr>
        <w:spacing w:before="0" w:after="30" w:line="276" w:lineRule="auto"/>
        <w:jc w:val="both"/>
      </w:pPr>
      <w:r>
        <w:rPr>
          <w:rFonts w:ascii="Times New Roman" w:hAnsi="Times New Roman" w:cs="Times New Roman" w:eastAsia="Times New Roman"/>
          <w:b/>
          <w:bCs/>
          <w:sz w:val="24"/>
          <w:szCs w:val="24"/>
          <w:lang w:val="en-US" w:bidi="fa-IR"/>
        </w:rPr>
        <w:t xml:space="preserve">References for this variable</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Dietvorst, B. J., Simmons, J. P., &amp; Massey, C. (2015). Algorithm aversion: People erroneously avoid algorithms after seeing them err. </w:t>
      </w:r>
      <w:r>
        <w:rPr>
          <w:rFonts w:ascii="Times New Roman" w:hAnsi="Times New Roman" w:cs="Times New Roman" w:eastAsia="Times New Roman"/>
          <w:i/>
          <w:iCs/>
          <w:sz w:val="22"/>
          <w:szCs w:val="22"/>
          <w:lang w:val="en-US" w:bidi="fa-IR"/>
        </w:rPr>
        <w:t xml:space="preserve">Journal of Experimental Psychology: General, 144</w:t>
      </w:r>
      <w:r>
        <w:rPr>
          <w:rFonts w:ascii="Times New Roman" w:hAnsi="Times New Roman" w:cs="Times New Roman" w:eastAsia="Times New Roman"/>
          <w:sz w:val="22"/>
          <w:szCs w:val="22"/>
          <w:lang w:val="en-US" w:bidi="fa-IR"/>
        </w:rPr>
        <w:t xml:space="preserve">(1), 114–126. https://doi.org/10.1037/xge0000033</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Logg, J. M., Minson, J. A., &amp; Moore, D. A. (2019). Algorithm appreciation: People prefer algorithmic to human judgment. </w:t>
      </w:r>
      <w:r>
        <w:rPr>
          <w:rFonts w:ascii="Times New Roman" w:hAnsi="Times New Roman" w:cs="Times New Roman" w:eastAsia="Times New Roman"/>
          <w:i/>
          <w:iCs/>
          <w:sz w:val="22"/>
          <w:szCs w:val="22"/>
          <w:lang w:val="en-US" w:bidi="fa-IR"/>
        </w:rPr>
        <w:t xml:space="preserve">Organizational Behavior and Human Decision Processes, 151</w:t>
      </w:r>
      <w:r>
        <w:rPr>
          <w:rFonts w:ascii="Times New Roman" w:hAnsi="Times New Roman" w:cs="Times New Roman" w:eastAsia="Times New Roman"/>
          <w:sz w:val="22"/>
          <w:szCs w:val="22"/>
          <w:lang w:val="en-US" w:bidi="fa-IR"/>
        </w:rPr>
        <w:t xml:space="preserve">, 90–103. https://doi.org/10.1016/j.obhdp.2018.12.005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D'Acunto, F., Prabhala, N., &amp; Rossi, A. G. (2019). The promises and pitfalls of robo-advising. </w:t>
      </w:r>
      <w:r>
        <w:rPr>
          <w:rFonts w:ascii="Times New Roman" w:hAnsi="Times New Roman" w:cs="Times New Roman" w:eastAsia="Times New Roman"/>
          <w:i/>
          <w:iCs/>
          <w:sz w:val="22"/>
          <w:szCs w:val="22"/>
          <w:lang w:val="en-US" w:bidi="fa-IR"/>
        </w:rPr>
        <w:t xml:space="preserve">The Review of Financial Studies, 32</w:t>
      </w:r>
      <w:r>
        <w:rPr>
          <w:rFonts w:ascii="Times New Roman" w:hAnsi="Times New Roman" w:cs="Times New Roman" w:eastAsia="Times New Roman"/>
          <w:sz w:val="22"/>
          <w:szCs w:val="22"/>
          <w:lang w:val="en-US" w:bidi="fa-IR"/>
        </w:rPr>
        <w:t xml:space="preserve">(5), 1983–2020. https://doi.org/10.1093/rfs/hhz014</w:t>
      </w:r>
    </w:p>
    <w:p>
      <w:pPr>
        <w:keepNext/>
        <w:spacing w:before="140" w:after="60" w:line="276" w:lineRule="auto"/>
        <w:jc w:val="left"/>
      </w:pPr>
      <w:r>
        <w:rPr>
          <w:rFonts w:ascii="Times New Roman" w:hAnsi="Times New Roman" w:cs="Times New Roman" w:eastAsia="Times New Roman"/>
          <w:b/>
          <w:bCs/>
          <w:sz w:val="24"/>
          <w:szCs w:val="24"/>
          <w:lang w:val="en-US" w:bidi="fa-IR"/>
        </w:rPr>
        <w:t xml:space="preserve">2.10 Demographics and descriptive questions</w:t>
      </w:r>
    </w:p>
    <w:p>
      <w:pPr>
        <w:keepNext/>
        <w:spacing w:before="140" w:after="60" w:line="276" w:lineRule="auto"/>
        <w:jc w:val="left"/>
      </w:pPr>
      <w:r>
        <w:rPr>
          <w:rFonts w:ascii="Times New Roman" w:hAnsi="Times New Roman" w:cs="Times New Roman" w:eastAsia="Times New Roman"/>
          <w:b/>
          <w:bCs/>
          <w:sz w:val="22"/>
          <w:szCs w:val="22"/>
          <w:lang w:val="en-US" w:bidi="fa-IR"/>
        </w:rPr>
        <w:t xml:space="preserve">Table 2.10. Demographic items</w:t>
      </w:r>
    </w:p>
    <w:tbl>
      <w:tblPr>
        <w:tblW w:w="9300" w:type="dxa"/>
        <w:jc w:val="center"/>
        <w:tblLayout w:type="fixed"/>
        <w:tblCellMar>
          <w:left w:w="60" w:type="dxa"/>
          <w:right w:w="60" w:type="dxa"/>
        </w:tblCellMar>
      </w:tblPr>
      <w:tblGrid>
        <w:gridCol w:w="800"/>
        <w:gridCol w:w="8500"/>
      </w:tblGrid>
      <w:tr>
        <w:trPr>
          <w:tblHeader/>
        </w:trPr>
        <w:tc>
          <w:tcPr>
            <w:tcW w:w="800" w:type="dxa"/>
            <w:tcBorders>
              <w:top w:val="single" w:sz="8" w:space="0" w:color="000000"/>
              <w:bottom w:val="single" w:sz="8" w:space="0" w:color="000000"/>
            </w:tcBorders>
            <w:vAlign w:val="center"/>
          </w:tcPr>
          <w:p>
            <w:pPr>
              <w:spacing w:before="30" w:after="30" w:line="240" w:lineRule="auto"/>
              <w:jc w:val="left"/>
            </w:pPr>
            <w:r>
              <w:rPr>
                <w:rFonts w:ascii="Times New Roman" w:hAnsi="Times New Roman" w:cs="Times New Roman" w:eastAsia="Times New Roman"/>
                <w:b/>
                <w:bCs/>
                <w:sz w:val="20"/>
                <w:szCs w:val="20"/>
                <w:lang w:val="en-US" w:bidi="fa-IR"/>
              </w:rPr>
              <w:t xml:space="preserve">Code</w:t>
            </w:r>
          </w:p>
        </w:tc>
        <w:tc>
          <w:tcPr>
            <w:tcW w:w="8500" w:type="dxa"/>
            <w:tcBorders>
              <w:top w:val="single" w:sz="8" w:space="0" w:color="000000"/>
              <w:bottom w:val="single" w:sz="8" w:space="0" w:color="000000"/>
            </w:tcBorders>
            <w:vAlign w:val="center"/>
          </w:tcPr>
          <w:p>
            <w:pPr>
              <w:spacing w:before="30" w:after="30" w:line="240" w:lineRule="auto"/>
              <w:jc w:val="center"/>
            </w:pPr>
            <w:r>
              <w:rPr>
                <w:rFonts w:ascii="Times New Roman" w:hAnsi="Times New Roman" w:cs="Times New Roman" w:eastAsia="Times New Roman"/>
                <w:b/>
                <w:bCs/>
                <w:sz w:val="20"/>
                <w:szCs w:val="20"/>
                <w:lang w:val="en-US" w:bidi="fa-IR"/>
              </w:rPr>
              <w:t xml:space="preserve">Item</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D1</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Gender</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D2</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Age (years)</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D3</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Education (diploma / bachelor / master / doctorate)</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D4</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Years of stock-trading experience</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D5</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Approximate portfolio value</w:t>
            </w:r>
          </w:p>
        </w:tc>
      </w:tr>
      <w:tr>
        <w:trPr>
          <w:cantSplit/>
        </w:trPr>
        <w:tc>
          <w:tcPr>
            <w:tcW w:w="800" w:type="dxa"/>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D6</w:t>
            </w:r>
          </w:p>
        </w:tc>
        <w:tc>
          <w:tcPr>
            <w:tcW w:w="8500" w:type="dxa"/>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Frequency of generative-AI use for investing (never … daily)</w:t>
            </w:r>
          </w:p>
        </w:tc>
      </w:tr>
      <w:tr>
        <w:trPr>
          <w:cantSplit/>
        </w:trPr>
        <w:tc>
          <w:tcPr>
            <w:tcW w:w="800" w:type="dxa"/>
            <w:tcBorders>
              <w:bottom w:val="single" w:sz="8" w:space="0" w:color="000000"/>
            </w:tcBorders>
            <w:vAlign w:val="center"/>
          </w:tcPr>
          <w:p>
            <w:pPr>
              <w:spacing w:before="30" w:after="30" w:line="240" w:lineRule="auto"/>
              <w:jc w:val="left"/>
            </w:pPr>
            <w:r>
              <w:rPr>
                <w:rFonts w:ascii="Times New Roman" w:hAnsi="Times New Roman" w:cs="Times New Roman" w:eastAsia="Times New Roman"/>
                <w:sz w:val="20"/>
                <w:szCs w:val="20"/>
                <w:lang w:val="en-US" w:bidi="fa-IR"/>
              </w:rPr>
              <w:t xml:space="preserve">D7</w:t>
            </w:r>
          </w:p>
        </w:tc>
        <w:tc>
          <w:tcPr>
            <w:tcW w:w="8500" w:type="dxa"/>
            <w:tcBorders>
              <w:bottom w:val="single" w:sz="8" w:space="0" w:color="000000"/>
            </w:tcBorders>
            <w:vAlign w:val="center"/>
          </w:tcPr>
          <w:p>
            <w:pPr>
              <w:spacing w:before="30" w:after="30" w:line="240" w:lineRule="auto"/>
              <w:jc w:val="center"/>
            </w:pPr>
            <w:r>
              <w:rPr>
                <w:rFonts w:ascii="Times New Roman" w:hAnsi="Times New Roman" w:cs="Times New Roman" w:eastAsia="Times New Roman"/>
                <w:sz w:val="20"/>
                <w:szCs w:val="20"/>
                <w:lang w:val="en-US" w:bidi="fa-IR"/>
              </w:rPr>
              <w:t xml:space="preserve">Main uses (multiple choice): explaining concepts, summarising news, reading filings, fundamental analysis, technical analysis, buy/sell suggestions, calculations</w:t>
            </w:r>
          </w:p>
        </w:tc>
      </w:tr>
    </w:tbl>
    <w:p>
      <w:pPr>
        <w:spacing w:before="0" w:after="100" w:line="276" w:lineRule="auto"/>
        <w:ind w:firstLine="425"/>
        <w:jc w:val="both"/>
      </w:pPr>
    </w:p>
    <w:p>
      <w:pPr>
        <w:keepNext/>
        <w:spacing w:before="200" w:after="80" w:line="276" w:lineRule="auto"/>
        <w:jc w:val="left"/>
      </w:pPr>
      <w:r>
        <w:rPr>
          <w:rFonts w:ascii="Times New Roman" w:hAnsi="Times New Roman" w:cs="Times New Roman" w:eastAsia="Times New Roman"/>
          <w:b/>
          <w:bCs/>
          <w:sz w:val="26"/>
          <w:szCs w:val="26"/>
          <w:lang w:val="en-US" w:bidi="fa-IR"/>
        </w:rPr>
        <w:t xml:space="preserve">3. Validation protocol before real data collection</w:t>
      </w:r>
    </w:p>
    <w:p>
      <w:pPr>
        <w:spacing w:before="0" w:after="80" w:line="276" w:lineRule="auto"/>
        <w:jc w:val="both"/>
      </w:pPr>
      <w:r>
        <w:rPr>
          <w:rFonts w:ascii="Times New Roman" w:hAnsi="Times New Roman" w:cs="Times New Roman" w:eastAsia="Times New Roman"/>
          <w:b/>
          <w:bCs/>
          <w:sz w:val="24"/>
          <w:szCs w:val="24"/>
          <w:lang w:val="en-US" w:bidi="fa-IR"/>
        </w:rPr>
        <w:t xml:space="preserve">Content validity.</w:t>
      </w:r>
      <w:r>
        <w:rPr>
          <w:rFonts w:ascii="Times New Roman" w:hAnsi="Times New Roman" w:cs="Times New Roman" w:eastAsia="Times New Roman"/>
          <w:sz w:val="24"/>
          <w:szCs w:val="24"/>
          <w:lang w:val="en-US" w:bidi="fa-IR"/>
        </w:rPr>
        <w:t xml:space="preserve"> Panel of 10–12 experts (behavioural finance, accounting, AI/HCI, psychometrics): Lawshe's CVR (minimum 0.62 for 10 experts), item-level and scale-level CVI (I-CVI ≥ 0.78; S-CVI/Ave ≥ 0.90) (Lawshe, 1975; Polit &amp; Beck, 2006).</w:t>
      </w:r>
    </w:p>
    <w:p>
      <w:pPr>
        <w:spacing w:before="0" w:after="80" w:line="276" w:lineRule="auto"/>
        <w:jc w:val="both"/>
      </w:pPr>
      <w:r>
        <w:rPr>
          <w:rFonts w:ascii="Times New Roman" w:hAnsi="Times New Roman" w:cs="Times New Roman" w:eastAsia="Times New Roman"/>
          <w:b/>
          <w:bCs/>
          <w:sz w:val="24"/>
          <w:szCs w:val="24"/>
          <w:lang w:val="en-US" w:bidi="fa-IR"/>
        </w:rPr>
        <w:t xml:space="preserve">Translation.</w:t>
      </w:r>
      <w:r>
        <w:rPr>
          <w:rFonts w:ascii="Times New Roman" w:hAnsi="Times New Roman" w:cs="Times New Roman" w:eastAsia="Times New Roman"/>
          <w:sz w:val="24"/>
          <w:szCs w:val="24"/>
          <w:lang w:val="en-US" w:bidi="fa-IR"/>
        </w:rPr>
        <w:t xml:space="preserve"> For items written in Persian and reported in English (or vice versa): forward–backward translation and reconciliation (Brislin, 1970).</w:t>
      </w:r>
    </w:p>
    <w:p>
      <w:pPr>
        <w:spacing w:before="0" w:after="80" w:line="276" w:lineRule="auto"/>
        <w:jc w:val="both"/>
      </w:pPr>
      <w:r>
        <w:rPr>
          <w:rFonts w:ascii="Times New Roman" w:hAnsi="Times New Roman" w:cs="Times New Roman" w:eastAsia="Times New Roman"/>
          <w:b/>
          <w:bCs/>
          <w:sz w:val="24"/>
          <w:szCs w:val="24"/>
          <w:lang w:val="en-US" w:bidi="fa-IR"/>
        </w:rPr>
        <w:t xml:space="preserve">Cognitive pretest and pilot.</w:t>
      </w:r>
      <w:r>
        <w:rPr>
          <w:rFonts w:ascii="Times New Roman" w:hAnsi="Times New Roman" w:cs="Times New Roman" w:eastAsia="Times New Roman"/>
          <w:sz w:val="24"/>
          <w:szCs w:val="24"/>
          <w:lang w:val="en-US" w:bidi="fa-IR"/>
        </w:rPr>
        <w:t xml:space="preserve"> 8–10 cognitive interviews, then a pilot of 60–100 investors: item distributions, corrected item–total correlations, α/ω, EFA with parallel analysis; item difficulty and discrimination (KR-20, point-biserial) for the knowledge test (Boateng et al., 2018).</w:t>
      </w:r>
    </w:p>
    <w:p>
      <w:pPr>
        <w:spacing w:before="0" w:after="80" w:line="276" w:lineRule="auto"/>
        <w:jc w:val="both"/>
      </w:pPr>
      <w:r>
        <w:rPr>
          <w:rFonts w:ascii="Times New Roman" w:hAnsi="Times New Roman" w:cs="Times New Roman" w:eastAsia="Times New Roman"/>
          <w:b/>
          <w:bCs/>
          <w:sz w:val="24"/>
          <w:szCs w:val="24"/>
          <w:lang w:val="en-US" w:bidi="fa-IR"/>
        </w:rPr>
        <w:t xml:space="preserve">Main study.</w:t>
      </w:r>
      <w:r>
        <w:rPr>
          <w:rFonts w:ascii="Times New Roman" w:hAnsi="Times New Roman" w:cs="Times New Roman" w:eastAsia="Times New Roman"/>
          <w:sz w:val="24"/>
          <w:szCs w:val="24"/>
          <w:lang w:val="en-US" w:bidi="fa-IR"/>
        </w:rPr>
        <w:t xml:space="preserve"> CFA of the full measurement model with fit judged jointly (CFI/TLI, RMSEA, SRMR; Hu &amp; Bentler, 1999), CR/AVE (Fornell &amp; Larcker, 1981), HTMT &lt; 0.85 (Henseler et al., 2015), common-method checks (Podsakoff et al., 2003). Collect the knowledge test and the predicted score in the same session, with the predictions made </w:t>
      </w:r>
      <w:r>
        <w:rPr>
          <w:rFonts w:ascii="Times New Roman" w:hAnsi="Times New Roman" w:cs="Times New Roman" w:eastAsia="Times New Roman"/>
          <w:i/>
          <w:iCs/>
          <w:sz w:val="24"/>
          <w:szCs w:val="24"/>
          <w:lang w:val="en-US" w:bidi="fa-IR"/>
        </w:rPr>
        <w:t xml:space="preserve">before</w:t>
      </w:r>
      <w:r>
        <w:rPr>
          <w:rFonts w:ascii="Times New Roman" w:hAnsi="Times New Roman" w:cs="Times New Roman" w:eastAsia="Times New Roman"/>
          <w:sz w:val="24"/>
          <w:szCs w:val="24"/>
          <w:lang w:val="en-US" w:bidi="fa-IR"/>
        </w:rPr>
        <w:t xml:space="preserve"> feedback.</w:t>
      </w:r>
    </w:p>
    <w:p>
      <w:pPr>
        <w:spacing w:before="0" w:after="80" w:line="276" w:lineRule="auto"/>
        <w:jc w:val="both"/>
      </w:pPr>
      <w:r>
        <w:rPr>
          <w:rFonts w:ascii="Times New Roman" w:hAnsi="Times New Roman" w:cs="Times New Roman" w:eastAsia="Times New Roman"/>
          <w:b/>
          <w:bCs/>
          <w:sz w:val="24"/>
          <w:szCs w:val="24"/>
          <w:lang w:val="en-US" w:bidi="fa-IR"/>
        </w:rPr>
        <w:t xml:space="preserve">Procedural remedies.</w:t>
      </w:r>
      <w:r>
        <w:rPr>
          <w:rFonts w:ascii="Times New Roman" w:hAnsi="Times New Roman" w:cs="Times New Roman" w:eastAsia="Times New Roman"/>
          <w:sz w:val="24"/>
          <w:szCs w:val="24"/>
          <w:lang w:val="en-US" w:bidi="fa-IR"/>
        </w:rPr>
        <w:t xml:space="preserve"> Place the objective test before the attitude scales; randomise item order within blocks; do not offer feedback on the test score until the end; include attention checks; record device and completion time.</w:t>
      </w:r>
    </w:p>
    <w:p>
      <w:pPr>
        <w:keepNext/>
        <w:spacing w:before="200" w:after="80" w:line="276" w:lineRule="auto"/>
        <w:jc w:val="left"/>
      </w:pPr>
      <w:r>
        <w:rPr>
          <w:rFonts w:ascii="Times New Roman" w:hAnsi="Times New Roman" w:cs="Times New Roman" w:eastAsia="Times New Roman"/>
          <w:b/>
          <w:bCs/>
          <w:sz w:val="26"/>
          <w:szCs w:val="26"/>
          <w:lang w:val="en-US" w:bidi="fa-IR"/>
        </w:rPr>
        <w:t xml:space="preserve">4. Scoring</w:t>
      </w:r>
    </w:p>
    <w:p>
      <w:pPr>
        <w:spacing w:before="0" w:after="80" w:line="276" w:lineRule="auto"/>
        <w:jc w:val="both"/>
      </w:pPr>
      <w:r>
        <w:rPr>
          <w:rFonts w:ascii="Times New Roman" w:hAnsi="Times New Roman" w:cs="Times New Roman" w:eastAsia="Times New Roman"/>
          <w:sz w:val="24"/>
          <w:szCs w:val="24"/>
          <w:lang w:val="en-US" w:bidi="fa-IR"/>
        </w:rPr>
        <w:t xml:space="preserve">Latent constructs (GUI, PCA, UR, VER, AIL, IDQ): no composite scores are computed; each item is a manifest indicator of its latent variable. Descriptive means are reported only for reference.</w:t>
      </w:r>
    </w:p>
    <w:p>
      <w:pPr>
        <w:spacing w:before="0" w:after="80" w:line="276" w:lineRule="auto"/>
        <w:jc w:val="both"/>
      </w:pPr>
      <w:r>
        <w:rPr>
          <w:rFonts w:ascii="Times New Roman" w:hAnsi="Times New Roman" w:cs="Times New Roman" w:eastAsia="Times New Roman"/>
          <w:sz w:val="24"/>
          <w:szCs w:val="24"/>
          <w:lang w:val="en-US" w:bidi="fa-IR"/>
        </w:rPr>
        <w:t xml:space="preserve">Knowledge test: sum of correct answers (0–8) for the calibration gap; standardized (z) score FKz is the observed moderator in the SEM. KR-20 is reported.</w:t>
      </w:r>
    </w:p>
    <w:p>
      <w:pPr>
        <w:spacing w:before="0" w:after="80" w:line="276" w:lineRule="auto"/>
        <w:jc w:val="both"/>
      </w:pPr>
      <w:r>
        <w:rPr>
          <w:rFonts w:ascii="Times New Roman" w:hAnsi="Times New Roman" w:cs="Times New Roman" w:eastAsia="Times New Roman"/>
          <w:sz w:val="24"/>
          <w:szCs w:val="24"/>
          <w:lang w:val="en-US" w:bidi="fa-IR"/>
        </w:rPr>
        <w:t xml:space="preserve">Calibration gap: CG = C1 − test score (positive = overestimation); over-placement CP = C2 − actual percentile rank. In the SEM, CG is standardized (CGz) and modelled as a second 'illusion' mediator beside PCA.</w:t>
      </w:r>
    </w:p>
    <w:p>
      <w:pPr>
        <w:spacing w:before="0" w:after="80" w:line="276" w:lineRule="auto"/>
        <w:jc w:val="both"/>
      </w:pPr>
      <w:r>
        <w:rPr>
          <w:rFonts w:ascii="Times New Roman" w:hAnsi="Times New Roman" w:cs="Times New Roman" w:eastAsia="Times New Roman"/>
          <w:sz w:val="24"/>
          <w:szCs w:val="24"/>
          <w:lang w:val="en-US" w:bidi="fa-IR"/>
        </w:rPr>
        <w:t xml:space="preserve">Vignette error score VIGERR = number of incorrect AI statements (V1, V3) that the respondent accepts (0–2); verification behaviour can be scored from 'verify first' answers (0–4).</w:t>
      </w:r>
    </w:p>
    <w:p>
      <w:pPr>
        <w:keepNext/>
        <w:spacing w:before="200" w:after="80" w:line="276" w:lineRule="auto"/>
        <w:jc w:val="left"/>
      </w:pPr>
      <w:r>
        <w:rPr>
          <w:rFonts w:ascii="Times New Roman" w:hAnsi="Times New Roman" w:cs="Times New Roman" w:eastAsia="Times New Roman"/>
          <w:b/>
          <w:bCs/>
          <w:sz w:val="26"/>
          <w:szCs w:val="26"/>
          <w:lang w:val="en-US" w:bidi="fa-IR"/>
        </w:rPr>
        <w:t xml:space="preserve">5. All references used in this document</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Barber, B. M., &amp; Odean, T. (2001). Boys will be boys: Gender, overconfidence, and common stock investment. </w:t>
      </w:r>
      <w:r>
        <w:rPr>
          <w:rFonts w:ascii="Times New Roman" w:hAnsi="Times New Roman" w:cs="Times New Roman" w:eastAsia="Times New Roman"/>
          <w:i/>
          <w:iCs/>
          <w:sz w:val="22"/>
          <w:szCs w:val="22"/>
          <w:lang w:val="en-US" w:bidi="fa-IR"/>
        </w:rPr>
        <w:t xml:space="preserve">The Quarterly Journal of Economics, 116</w:t>
      </w:r>
      <w:r>
        <w:rPr>
          <w:rFonts w:ascii="Times New Roman" w:hAnsi="Times New Roman" w:cs="Times New Roman" w:eastAsia="Times New Roman"/>
          <w:sz w:val="22"/>
          <w:szCs w:val="22"/>
          <w:lang w:val="en-US" w:bidi="fa-IR"/>
        </w:rPr>
        <w:t xml:space="preserve">(1), 261–292. https://doi.org/10.1162/003355301556400</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Boateng, G. O., Neilands, T. B., Frongillo, E. A., Melgar-Quiñonez, H. R., &amp; Young, S. L. (2018). Best practices for developing and validating scales for health, social, and behavioral research: A primer. </w:t>
      </w:r>
      <w:r>
        <w:rPr>
          <w:rFonts w:ascii="Times New Roman" w:hAnsi="Times New Roman" w:cs="Times New Roman" w:eastAsia="Times New Roman"/>
          <w:i/>
          <w:iCs/>
          <w:sz w:val="22"/>
          <w:szCs w:val="22"/>
          <w:lang w:val="en-US" w:bidi="fa-IR"/>
        </w:rPr>
        <w:t xml:space="preserve">Frontiers in Public Health, 6</w:t>
      </w:r>
      <w:r>
        <w:rPr>
          <w:rFonts w:ascii="Times New Roman" w:hAnsi="Times New Roman" w:cs="Times New Roman" w:eastAsia="Times New Roman"/>
          <w:sz w:val="22"/>
          <w:szCs w:val="22"/>
          <w:lang w:val="en-US" w:bidi="fa-IR"/>
        </w:rPr>
        <w:t xml:space="preserve">, Article 149. https://doi.org/10.3389/fpubh.2018.00149</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Brislin, R. W. (1970). Back-translation for cross-cultural research. </w:t>
      </w:r>
      <w:r>
        <w:rPr>
          <w:rFonts w:ascii="Times New Roman" w:hAnsi="Times New Roman" w:cs="Times New Roman" w:eastAsia="Times New Roman"/>
          <w:i/>
          <w:iCs/>
          <w:sz w:val="22"/>
          <w:szCs w:val="22"/>
          <w:lang w:val="en-US" w:bidi="fa-IR"/>
        </w:rPr>
        <w:t xml:space="preserve">Journal of Cross-Cultural Psychology, 1</w:t>
      </w:r>
      <w:r>
        <w:rPr>
          <w:rFonts w:ascii="Times New Roman" w:hAnsi="Times New Roman" w:cs="Times New Roman" w:eastAsia="Times New Roman"/>
          <w:sz w:val="22"/>
          <w:szCs w:val="22"/>
          <w:lang w:val="en-US" w:bidi="fa-IR"/>
        </w:rPr>
        <w:t xml:space="preserve">(3), 185–216. https://doi.org/10.1177/135910457000100301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Bruine de Bruin, W., Parker, A. M., &amp; Fischhoff, B. (2007). Individual differences in adult decision-making competence. </w:t>
      </w:r>
      <w:r>
        <w:rPr>
          <w:rFonts w:ascii="Times New Roman" w:hAnsi="Times New Roman" w:cs="Times New Roman" w:eastAsia="Times New Roman"/>
          <w:i/>
          <w:iCs/>
          <w:sz w:val="22"/>
          <w:szCs w:val="22"/>
          <w:lang w:val="en-US" w:bidi="fa-IR"/>
        </w:rPr>
        <w:t xml:space="preserve">Journal of Personality and Social Psychology, 92</w:t>
      </w:r>
      <w:r>
        <w:rPr>
          <w:rFonts w:ascii="Times New Roman" w:hAnsi="Times New Roman" w:cs="Times New Roman" w:eastAsia="Times New Roman"/>
          <w:sz w:val="22"/>
          <w:szCs w:val="22"/>
          <w:lang w:val="en-US" w:bidi="fa-IR"/>
        </w:rPr>
        <w:t xml:space="preserve">(5), 938–956. https://doi.org/10.1037/0022-3514.92.5.938</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D'Acunto, F., Prabhala, N., &amp; Rossi, A. G. (2019). The promises and pitfalls of robo-advising. </w:t>
      </w:r>
      <w:r>
        <w:rPr>
          <w:rFonts w:ascii="Times New Roman" w:hAnsi="Times New Roman" w:cs="Times New Roman" w:eastAsia="Times New Roman"/>
          <w:i/>
          <w:iCs/>
          <w:sz w:val="22"/>
          <w:szCs w:val="22"/>
          <w:lang w:val="en-US" w:bidi="fa-IR"/>
        </w:rPr>
        <w:t xml:space="preserve">The Review of Financial Studies, 32</w:t>
      </w:r>
      <w:r>
        <w:rPr>
          <w:rFonts w:ascii="Times New Roman" w:hAnsi="Times New Roman" w:cs="Times New Roman" w:eastAsia="Times New Roman"/>
          <w:sz w:val="22"/>
          <w:szCs w:val="22"/>
          <w:lang w:val="en-US" w:bidi="fa-IR"/>
        </w:rPr>
        <w:t xml:space="preserve">(5), 1983–2020. https://doi.org/10.1093/rfs/hhz014</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Dietvorst, B. J., Simmons, J. P., &amp; Massey, C. (2015). Algorithm aversion: People erroneously avoid algorithms after seeing them err. </w:t>
      </w:r>
      <w:r>
        <w:rPr>
          <w:rFonts w:ascii="Times New Roman" w:hAnsi="Times New Roman" w:cs="Times New Roman" w:eastAsia="Times New Roman"/>
          <w:i/>
          <w:iCs/>
          <w:sz w:val="22"/>
          <w:szCs w:val="22"/>
          <w:lang w:val="en-US" w:bidi="fa-IR"/>
        </w:rPr>
        <w:t xml:space="preserve">Journal of Experimental Psychology: General, 144</w:t>
      </w:r>
      <w:r>
        <w:rPr>
          <w:rFonts w:ascii="Times New Roman" w:hAnsi="Times New Roman" w:cs="Times New Roman" w:eastAsia="Times New Roman"/>
          <w:sz w:val="22"/>
          <w:szCs w:val="22"/>
          <w:lang w:val="en-US" w:bidi="fa-IR"/>
        </w:rPr>
        <w:t xml:space="preserve">(1), 114–126. https://doi.org/10.1037/xge0000033</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Ehrlinger, J., Johnson, K., Banner, M., Dunning, D., &amp; Kruger, J. (2008). Why the unskilled are unaware: Further explorations of (absent) self-insight among the incompetent. </w:t>
      </w:r>
      <w:r>
        <w:rPr>
          <w:rFonts w:ascii="Times New Roman" w:hAnsi="Times New Roman" w:cs="Times New Roman" w:eastAsia="Times New Roman"/>
          <w:i/>
          <w:iCs/>
          <w:sz w:val="22"/>
          <w:szCs w:val="22"/>
          <w:lang w:val="en-US" w:bidi="fa-IR"/>
        </w:rPr>
        <w:t xml:space="preserve">Organizational Behavior and Human Decision Processes, 105</w:t>
      </w:r>
      <w:r>
        <w:rPr>
          <w:rFonts w:ascii="Times New Roman" w:hAnsi="Times New Roman" w:cs="Times New Roman" w:eastAsia="Times New Roman"/>
          <w:sz w:val="22"/>
          <w:szCs w:val="22"/>
          <w:lang w:val="en-US" w:bidi="fa-IR"/>
        </w:rPr>
        <w:t xml:space="preserve">(1), 98–121. https://doi.org/10.1016/j.obhdp.2007.05.002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Glaser, M., &amp; Weber, M. (2007). Overconfidence and trading volume. </w:t>
      </w:r>
      <w:r>
        <w:rPr>
          <w:rFonts w:ascii="Times New Roman" w:hAnsi="Times New Roman" w:cs="Times New Roman" w:eastAsia="Times New Roman"/>
          <w:i/>
          <w:iCs/>
          <w:sz w:val="22"/>
          <w:szCs w:val="22"/>
          <w:lang w:val="en-US" w:bidi="fa-IR"/>
        </w:rPr>
        <w:t xml:space="preserve">The Geneva Risk and Insurance Review, 32</w:t>
      </w:r>
      <w:r>
        <w:rPr>
          <w:rFonts w:ascii="Times New Roman" w:hAnsi="Times New Roman" w:cs="Times New Roman" w:eastAsia="Times New Roman"/>
          <w:sz w:val="22"/>
          <w:szCs w:val="22"/>
          <w:lang w:val="en-US" w:bidi="fa-IR"/>
        </w:rPr>
        <w:t xml:space="preserve">(1), 1–36. https://doi.org/10.1007/s10713-007-0003-3</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Goddard, K., Roudsari, A., &amp; Wyatt, J. C. (2012). Automation bias: A systematic review of frequency, effect mediators, and mitigators. </w:t>
      </w:r>
      <w:r>
        <w:rPr>
          <w:rFonts w:ascii="Times New Roman" w:hAnsi="Times New Roman" w:cs="Times New Roman" w:eastAsia="Times New Roman"/>
          <w:i/>
          <w:iCs/>
          <w:sz w:val="22"/>
          <w:szCs w:val="22"/>
          <w:lang w:val="en-US" w:bidi="fa-IR"/>
        </w:rPr>
        <w:t xml:space="preserve">Journal of the American Medical Informatics Association, 19</w:t>
      </w:r>
      <w:r>
        <w:rPr>
          <w:rFonts w:ascii="Times New Roman" w:hAnsi="Times New Roman" w:cs="Times New Roman" w:eastAsia="Times New Roman"/>
          <w:sz w:val="22"/>
          <w:szCs w:val="22"/>
          <w:lang w:val="en-US" w:bidi="fa-IR"/>
        </w:rPr>
        <w:t xml:space="preserve">(1), 121–127. https://doi.org/10.1136/amiajnl-2011-000089</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Grinblatt, M., &amp; Keloharju, M. (2009). Sensation seeking, overconfidence, and trading activity. </w:t>
      </w:r>
      <w:r>
        <w:rPr>
          <w:rFonts w:ascii="Times New Roman" w:hAnsi="Times New Roman" w:cs="Times New Roman" w:eastAsia="Times New Roman"/>
          <w:i/>
          <w:iCs/>
          <w:sz w:val="22"/>
          <w:szCs w:val="22"/>
          <w:lang w:val="en-US" w:bidi="fa-IR"/>
        </w:rPr>
        <w:t xml:space="preserve">The Journal of Finance, 64</w:t>
      </w:r>
      <w:r>
        <w:rPr>
          <w:rFonts w:ascii="Times New Roman" w:hAnsi="Times New Roman" w:cs="Times New Roman" w:eastAsia="Times New Roman"/>
          <w:sz w:val="22"/>
          <w:szCs w:val="22"/>
          <w:lang w:val="en-US" w:bidi="fa-IR"/>
        </w:rPr>
        <w:t xml:space="preserve">(2), 549–578. https://doi.org/10.1111/j.1540-6261.2009.01443.x</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Hoff, K. A., &amp; Bashir, M. (2015). Trust in automation: Integrating empirical evidence on factors that influence trust. </w:t>
      </w:r>
      <w:r>
        <w:rPr>
          <w:rFonts w:ascii="Times New Roman" w:hAnsi="Times New Roman" w:cs="Times New Roman" w:eastAsia="Times New Roman"/>
          <w:i/>
          <w:iCs/>
          <w:sz w:val="22"/>
          <w:szCs w:val="22"/>
          <w:lang w:val="en-US" w:bidi="fa-IR"/>
        </w:rPr>
        <w:t xml:space="preserve">Human Factors, 57</w:t>
      </w:r>
      <w:r>
        <w:rPr>
          <w:rFonts w:ascii="Times New Roman" w:hAnsi="Times New Roman" w:cs="Times New Roman" w:eastAsia="Times New Roman"/>
          <w:sz w:val="22"/>
          <w:szCs w:val="22"/>
          <w:lang w:val="en-US" w:bidi="fa-IR"/>
        </w:rPr>
        <w:t xml:space="preserve">(3), 407–434. https://doi.org/10.1177/0018720814547570</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Ji, Z., Lee, N., Frieske, R., Yu, T., Su, D., Xu, Y., Ishii, E., Bang, Y. J., Madotto, A., &amp; Fung, P. (2023). Survey of hallucination in natural language generation. </w:t>
      </w:r>
      <w:r>
        <w:rPr>
          <w:rFonts w:ascii="Times New Roman" w:hAnsi="Times New Roman" w:cs="Times New Roman" w:eastAsia="Times New Roman"/>
          <w:i/>
          <w:iCs/>
          <w:sz w:val="22"/>
          <w:szCs w:val="22"/>
          <w:lang w:val="en-US" w:bidi="fa-IR"/>
        </w:rPr>
        <w:t xml:space="preserve">ACM Computing Surveys, 55</w:t>
      </w:r>
      <w:r>
        <w:rPr>
          <w:rFonts w:ascii="Times New Roman" w:hAnsi="Times New Roman" w:cs="Times New Roman" w:eastAsia="Times New Roman"/>
          <w:sz w:val="22"/>
          <w:szCs w:val="22"/>
          <w:lang w:val="en-US" w:bidi="fa-IR"/>
        </w:rPr>
        <w:t xml:space="preserve">(12), Article 248. https://doi.org/10.1145/3571730</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Jian, J.-Y., Bisantz, A. M., &amp; Drury, C. G. (2000). Foundations for an empirically determined scale of trust in automated systems. </w:t>
      </w:r>
      <w:r>
        <w:rPr>
          <w:rFonts w:ascii="Times New Roman" w:hAnsi="Times New Roman" w:cs="Times New Roman" w:eastAsia="Times New Roman"/>
          <w:i/>
          <w:iCs/>
          <w:sz w:val="22"/>
          <w:szCs w:val="22"/>
          <w:lang w:val="en-US" w:bidi="fa-IR"/>
        </w:rPr>
        <w:t xml:space="preserve">International Journal of Cognitive Ergonomics, 4</w:t>
      </w:r>
      <w:r>
        <w:rPr>
          <w:rFonts w:ascii="Times New Roman" w:hAnsi="Times New Roman" w:cs="Times New Roman" w:eastAsia="Times New Roman"/>
          <w:sz w:val="22"/>
          <w:szCs w:val="22"/>
          <w:lang w:val="en-US" w:bidi="fa-IR"/>
        </w:rPr>
        <w:t xml:space="preserve">(1), 53–71. https://doi.org/10.1207/S15327566IJCE0401_04</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Kruger, J., &amp; Dunning, D. (1999). Unskilled and unaware of it: How difficulties in recognizing one's own incompetence lead to inflated self-assessments. </w:t>
      </w:r>
      <w:r>
        <w:rPr>
          <w:rFonts w:ascii="Times New Roman" w:hAnsi="Times New Roman" w:cs="Times New Roman" w:eastAsia="Times New Roman"/>
          <w:i/>
          <w:iCs/>
          <w:sz w:val="22"/>
          <w:szCs w:val="22"/>
          <w:lang w:val="en-US" w:bidi="fa-IR"/>
        </w:rPr>
        <w:t xml:space="preserve">Journal of Personality and Social Psychology, 77</w:t>
      </w:r>
      <w:r>
        <w:rPr>
          <w:rFonts w:ascii="Times New Roman" w:hAnsi="Times New Roman" w:cs="Times New Roman" w:eastAsia="Times New Roman"/>
          <w:sz w:val="22"/>
          <w:szCs w:val="22"/>
          <w:lang w:val="en-US" w:bidi="fa-IR"/>
        </w:rPr>
        <w:t xml:space="preserve">(6), 1121–1134. https://doi.org/10.1037/0022-3514.77.6.1121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Lawshe, C. H. (1975). A quantitative approach to content validity. </w:t>
      </w:r>
      <w:r>
        <w:rPr>
          <w:rFonts w:ascii="Times New Roman" w:hAnsi="Times New Roman" w:cs="Times New Roman" w:eastAsia="Times New Roman"/>
          <w:i/>
          <w:iCs/>
          <w:sz w:val="22"/>
          <w:szCs w:val="22"/>
          <w:lang w:val="en-US" w:bidi="fa-IR"/>
        </w:rPr>
        <w:t xml:space="preserve">Personnel Psychology, 28</w:t>
      </w:r>
      <w:r>
        <w:rPr>
          <w:rFonts w:ascii="Times New Roman" w:hAnsi="Times New Roman" w:cs="Times New Roman" w:eastAsia="Times New Roman"/>
          <w:sz w:val="22"/>
          <w:szCs w:val="22"/>
          <w:lang w:val="en-US" w:bidi="fa-IR"/>
        </w:rPr>
        <w:t xml:space="preserve">(4), 563–575. https://doi.org/10.1111/j.1744-6570.1975.tb01393.x</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Lee, J. D., &amp; See, K. A. (2004). Trust in automation: Designing for appropriate reliance. </w:t>
      </w:r>
      <w:r>
        <w:rPr>
          <w:rFonts w:ascii="Times New Roman" w:hAnsi="Times New Roman" w:cs="Times New Roman" w:eastAsia="Times New Roman"/>
          <w:i/>
          <w:iCs/>
          <w:sz w:val="22"/>
          <w:szCs w:val="22"/>
          <w:lang w:val="en-US" w:bidi="fa-IR"/>
        </w:rPr>
        <w:t xml:space="preserve">Human Factors, 46</w:t>
      </w:r>
      <w:r>
        <w:rPr>
          <w:rFonts w:ascii="Times New Roman" w:hAnsi="Times New Roman" w:cs="Times New Roman" w:eastAsia="Times New Roman"/>
          <w:sz w:val="22"/>
          <w:szCs w:val="22"/>
          <w:lang w:val="en-US" w:bidi="fa-IR"/>
        </w:rPr>
        <w:t xml:space="preserve">(1), 50–80. https://doi.org/10.1518/hfes.46.1.50_30392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Logg, J. M., Minson, J. A., &amp; Moore, D. A. (2019). Algorithm appreciation: People prefer algorithmic to human judgment. </w:t>
      </w:r>
      <w:r>
        <w:rPr>
          <w:rFonts w:ascii="Times New Roman" w:hAnsi="Times New Roman" w:cs="Times New Roman" w:eastAsia="Times New Roman"/>
          <w:i/>
          <w:iCs/>
          <w:sz w:val="22"/>
          <w:szCs w:val="22"/>
          <w:lang w:val="en-US" w:bidi="fa-IR"/>
        </w:rPr>
        <w:t xml:space="preserve">Organizational Behavior and Human Decision Processes, 151</w:t>
      </w:r>
      <w:r>
        <w:rPr>
          <w:rFonts w:ascii="Times New Roman" w:hAnsi="Times New Roman" w:cs="Times New Roman" w:eastAsia="Times New Roman"/>
          <w:sz w:val="22"/>
          <w:szCs w:val="22"/>
          <w:lang w:val="en-US" w:bidi="fa-IR"/>
        </w:rPr>
        <w:t xml:space="preserve">, 90–103. https://doi.org/10.1016/j.obhdp.2018.12.005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Long, D., &amp; Magerko, B. (2020). What is AI literacy? Competencies and design considerations. </w:t>
      </w:r>
      <w:r>
        <w:rPr>
          <w:rFonts w:ascii="Times New Roman" w:hAnsi="Times New Roman" w:cs="Times New Roman" w:eastAsia="Times New Roman"/>
          <w:i/>
          <w:iCs/>
          <w:sz w:val="22"/>
          <w:szCs w:val="22"/>
          <w:lang w:val="en-US" w:bidi="fa-IR"/>
        </w:rPr>
        <w:t xml:space="preserve">Proceedings of the 2020 CHI Conference on Human Factors in Computing Systems</w:t>
      </w:r>
      <w:r>
        <w:rPr>
          <w:rFonts w:ascii="Times New Roman" w:hAnsi="Times New Roman" w:cs="Times New Roman" w:eastAsia="Times New Roman"/>
          <w:sz w:val="22"/>
          <w:szCs w:val="22"/>
          <w:lang w:val="en-US" w:bidi="fa-IR"/>
        </w:rPr>
        <w:t xml:space="preserve"> (pp. 1–16). ACM. https://doi.org/10.1145/3313831.3376727</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Lusardi, A., &amp; Mitchell, O. S. (2014). The economic importance of financial literacy: Theory and evidence. </w:t>
      </w:r>
      <w:r>
        <w:rPr>
          <w:rFonts w:ascii="Times New Roman" w:hAnsi="Times New Roman" w:cs="Times New Roman" w:eastAsia="Times New Roman"/>
          <w:i/>
          <w:iCs/>
          <w:sz w:val="22"/>
          <w:szCs w:val="22"/>
          <w:lang w:val="en-US" w:bidi="fa-IR"/>
        </w:rPr>
        <w:t xml:space="preserve">Journal of Economic Literature, 52</w:t>
      </w:r>
      <w:r>
        <w:rPr>
          <w:rFonts w:ascii="Times New Roman" w:hAnsi="Times New Roman" w:cs="Times New Roman" w:eastAsia="Times New Roman"/>
          <w:sz w:val="22"/>
          <w:szCs w:val="22"/>
          <w:lang w:val="en-US" w:bidi="fa-IR"/>
        </w:rPr>
        <w:t xml:space="preserve">(1), 5–44. https://doi.org/10.1257/jel.52.1.5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Moore, D. A., &amp; Healy, P. J. (2008). The trouble with overconfidence. </w:t>
      </w:r>
      <w:r>
        <w:rPr>
          <w:rFonts w:ascii="Times New Roman" w:hAnsi="Times New Roman" w:cs="Times New Roman" w:eastAsia="Times New Roman"/>
          <w:i/>
          <w:iCs/>
          <w:sz w:val="22"/>
          <w:szCs w:val="22"/>
          <w:lang w:val="en-US" w:bidi="fa-IR"/>
        </w:rPr>
        <w:t xml:space="preserve">Psychological Review, 115</w:t>
      </w:r>
      <w:r>
        <w:rPr>
          <w:rFonts w:ascii="Times New Roman" w:hAnsi="Times New Roman" w:cs="Times New Roman" w:eastAsia="Times New Roman"/>
          <w:sz w:val="22"/>
          <w:szCs w:val="22"/>
          <w:lang w:val="en-US" w:bidi="fa-IR"/>
        </w:rPr>
        <w:t xml:space="preserve">(2), 502–517. https://doi.org/10.1037/0033-295X.115.2.502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Ng, D. T. K., Leung, J. K. L., Chu, S. K. W., &amp; Qiao, M. S. (2021). Conceptualizing AI literacy: An exploratory review. </w:t>
      </w:r>
      <w:r>
        <w:rPr>
          <w:rFonts w:ascii="Times New Roman" w:hAnsi="Times New Roman" w:cs="Times New Roman" w:eastAsia="Times New Roman"/>
          <w:i/>
          <w:iCs/>
          <w:sz w:val="22"/>
          <w:szCs w:val="22"/>
          <w:lang w:val="en-US" w:bidi="fa-IR"/>
        </w:rPr>
        <w:t xml:space="preserve">Computers and Education: Artificial Intelligence, 2</w:t>
      </w:r>
      <w:r>
        <w:rPr>
          <w:rFonts w:ascii="Times New Roman" w:hAnsi="Times New Roman" w:cs="Times New Roman" w:eastAsia="Times New Roman"/>
          <w:sz w:val="22"/>
          <w:szCs w:val="22"/>
          <w:lang w:val="en-US" w:bidi="fa-IR"/>
        </w:rPr>
        <w:t xml:space="preserve">, 100041. https://doi.org/10.1016/j.caeai.2021.100041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Parasuraman, R., &amp; Manzey, D. H. (2010). Complacency and bias in human use of automation: An attentional integration. </w:t>
      </w:r>
      <w:r>
        <w:rPr>
          <w:rFonts w:ascii="Times New Roman" w:hAnsi="Times New Roman" w:cs="Times New Roman" w:eastAsia="Times New Roman"/>
          <w:i/>
          <w:iCs/>
          <w:sz w:val="22"/>
          <w:szCs w:val="22"/>
          <w:lang w:val="en-US" w:bidi="fa-IR"/>
        </w:rPr>
        <w:t xml:space="preserve">Human Factors, 52</w:t>
      </w:r>
      <w:r>
        <w:rPr>
          <w:rFonts w:ascii="Times New Roman" w:hAnsi="Times New Roman" w:cs="Times New Roman" w:eastAsia="Times New Roman"/>
          <w:sz w:val="22"/>
          <w:szCs w:val="22"/>
          <w:lang w:val="en-US" w:bidi="fa-IR"/>
        </w:rPr>
        <w:t xml:space="preserve">(3), 381–410. https://doi.org/10.1177/0018720810376055</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Parker, A. M., &amp; Fischhoff, B. (2005). Decision-making competence: External validation through an individual-differences approach. </w:t>
      </w:r>
      <w:r>
        <w:rPr>
          <w:rFonts w:ascii="Times New Roman" w:hAnsi="Times New Roman" w:cs="Times New Roman" w:eastAsia="Times New Roman"/>
          <w:i/>
          <w:iCs/>
          <w:sz w:val="22"/>
          <w:szCs w:val="22"/>
          <w:lang w:val="en-US" w:bidi="fa-IR"/>
        </w:rPr>
        <w:t xml:space="preserve">Journal of Behavioral Decision Making, 18</w:t>
      </w:r>
      <w:r>
        <w:rPr>
          <w:rFonts w:ascii="Times New Roman" w:hAnsi="Times New Roman" w:cs="Times New Roman" w:eastAsia="Times New Roman"/>
          <w:sz w:val="22"/>
          <w:szCs w:val="22"/>
          <w:lang w:val="en-US" w:bidi="fa-IR"/>
        </w:rPr>
        <w:t xml:space="preserve">(1), 1–27. https://doi.org/10.1002/bdm.481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Pennycook, G., &amp; Rand, D. G. (2019). Lazy, not biased: Susceptibility to partisan fake news is better explained by lack of reasoning than by motivated reasoning. </w:t>
      </w:r>
      <w:r>
        <w:rPr>
          <w:rFonts w:ascii="Times New Roman" w:hAnsi="Times New Roman" w:cs="Times New Roman" w:eastAsia="Times New Roman"/>
          <w:i/>
          <w:iCs/>
          <w:sz w:val="22"/>
          <w:szCs w:val="22"/>
          <w:lang w:val="en-US" w:bidi="fa-IR"/>
        </w:rPr>
        <w:t xml:space="preserve">Cognition, 188</w:t>
      </w:r>
      <w:r>
        <w:rPr>
          <w:rFonts w:ascii="Times New Roman" w:hAnsi="Times New Roman" w:cs="Times New Roman" w:eastAsia="Times New Roman"/>
          <w:sz w:val="22"/>
          <w:szCs w:val="22"/>
          <w:lang w:val="en-US" w:bidi="fa-IR"/>
        </w:rPr>
        <w:t xml:space="preserve">, 39–50. https://doi.org/10.1016/j.cognition.2018.06.011</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Podsakoff, P. M., MacKenzie, S. B., Lee, J.-Y., &amp; Podsakoff, N. P. (2003). Common method biases in behavioral research: A critical review of the literature and recommended remedies. </w:t>
      </w:r>
      <w:r>
        <w:rPr>
          <w:rFonts w:ascii="Times New Roman" w:hAnsi="Times New Roman" w:cs="Times New Roman" w:eastAsia="Times New Roman"/>
          <w:i/>
          <w:iCs/>
          <w:sz w:val="22"/>
          <w:szCs w:val="22"/>
          <w:lang w:val="en-US" w:bidi="fa-IR"/>
        </w:rPr>
        <w:t xml:space="preserve">Journal of Applied Psychology, 88</w:t>
      </w:r>
      <w:r>
        <w:rPr>
          <w:rFonts w:ascii="Times New Roman" w:hAnsi="Times New Roman" w:cs="Times New Roman" w:eastAsia="Times New Roman"/>
          <w:sz w:val="22"/>
          <w:szCs w:val="22"/>
          <w:lang w:val="en-US" w:bidi="fa-IR"/>
        </w:rPr>
        <w:t xml:space="preserve">(5), 879–903. https://doi.org/10.1037/0021-9010.88.5.879</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Polit, D. F., &amp; Beck, C. T. (2006). The content validity index: Are you sure you know what's being reported? Critique and recommendations. </w:t>
      </w:r>
      <w:r>
        <w:rPr>
          <w:rFonts w:ascii="Times New Roman" w:hAnsi="Times New Roman" w:cs="Times New Roman" w:eastAsia="Times New Roman"/>
          <w:i/>
          <w:iCs/>
          <w:sz w:val="22"/>
          <w:szCs w:val="22"/>
          <w:lang w:val="en-US" w:bidi="fa-IR"/>
        </w:rPr>
        <w:t xml:space="preserve">Research in Nursing &amp; Health, 29</w:t>
      </w:r>
      <w:r>
        <w:rPr>
          <w:rFonts w:ascii="Times New Roman" w:hAnsi="Times New Roman" w:cs="Times New Roman" w:eastAsia="Times New Roman"/>
          <w:sz w:val="22"/>
          <w:szCs w:val="22"/>
          <w:lang w:val="en-US" w:bidi="fa-IR"/>
        </w:rPr>
        <w:t xml:space="preserve">(5), 489–497. https://doi.org/10.1002/nur.20147</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Skitka, L. J., Mosier, K. L., &amp; Burdick, M. (1999). Does automation bias decision-making? </w:t>
      </w:r>
      <w:r>
        <w:rPr>
          <w:rFonts w:ascii="Times New Roman" w:hAnsi="Times New Roman" w:cs="Times New Roman" w:eastAsia="Times New Roman"/>
          <w:i/>
          <w:iCs/>
          <w:sz w:val="22"/>
          <w:szCs w:val="22"/>
          <w:lang w:val="en-US" w:bidi="fa-IR"/>
        </w:rPr>
        <w:t xml:space="preserve">International Journal of Human-Computer Studies, 51</w:t>
      </w:r>
      <w:r>
        <w:rPr>
          <w:rFonts w:ascii="Times New Roman" w:hAnsi="Times New Roman" w:cs="Times New Roman" w:eastAsia="Times New Roman"/>
          <w:sz w:val="22"/>
          <w:szCs w:val="22"/>
          <w:lang w:val="en-US" w:bidi="fa-IR"/>
        </w:rPr>
        <w:t xml:space="preserve">(5), 991–1006. https://doi.org/10.1006/ijhc.1999.0252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Van Rooij, M., Lusardi, A., &amp; Alessie, R. (2011). Financial literacy and stock market participation. </w:t>
      </w:r>
      <w:r>
        <w:rPr>
          <w:rFonts w:ascii="Times New Roman" w:hAnsi="Times New Roman" w:cs="Times New Roman" w:eastAsia="Times New Roman"/>
          <w:i/>
          <w:iCs/>
          <w:sz w:val="22"/>
          <w:szCs w:val="22"/>
          <w:lang w:val="en-US" w:bidi="fa-IR"/>
        </w:rPr>
        <w:t xml:space="preserve">Journal of Financial Economics, 101</w:t>
      </w:r>
      <w:r>
        <w:rPr>
          <w:rFonts w:ascii="Times New Roman" w:hAnsi="Times New Roman" w:cs="Times New Roman" w:eastAsia="Times New Roman"/>
          <w:sz w:val="22"/>
          <w:szCs w:val="22"/>
          <w:lang w:val="en-US" w:bidi="fa-IR"/>
        </w:rPr>
        <w:t xml:space="preserve">(2), 449–472. https://doi.org/10.1016/j.jfineco.2011.03.006</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Venkatesh, V., Thong, J. Y. L., &amp; Xu, X. (2012). Consumer acceptance and use of information technology: Extending the unified theory of acceptance and use of technology. </w:t>
      </w:r>
      <w:r>
        <w:rPr>
          <w:rFonts w:ascii="Times New Roman" w:hAnsi="Times New Roman" w:cs="Times New Roman" w:eastAsia="Times New Roman"/>
          <w:i/>
          <w:iCs/>
          <w:sz w:val="22"/>
          <w:szCs w:val="22"/>
          <w:lang w:val="en-US" w:bidi="fa-IR"/>
        </w:rPr>
        <w:t xml:space="preserve">MIS Quarterly, 36</w:t>
      </w:r>
      <w:r>
        <w:rPr>
          <w:rFonts w:ascii="Times New Roman" w:hAnsi="Times New Roman" w:cs="Times New Roman" w:eastAsia="Times New Roman"/>
          <w:sz w:val="22"/>
          <w:szCs w:val="22"/>
          <w:lang w:val="en-US" w:bidi="fa-IR"/>
        </w:rPr>
        <w:t xml:space="preserve">(1), 157–178. https://doi.org/10.2307/41410412</w:t>
      </w:r>
    </w:p>
    <w:p>
      <w:pPr>
        <w:spacing w:before="0" w:after="60" w:line="240" w:lineRule="auto"/>
        <w:ind w:left="567" w:hanging="567"/>
        <w:jc w:val="left"/>
      </w:pPr>
      <w:r>
        <w:rPr>
          <w:rFonts w:ascii="Times New Roman" w:hAnsi="Times New Roman" w:cs="Times New Roman" w:eastAsia="Times New Roman"/>
          <w:sz w:val="22"/>
          <w:szCs w:val="22"/>
          <w:lang w:val="en-US" w:bidi="fa-IR"/>
        </w:rPr>
        <w:t xml:space="preserve">Wang, B., Rau, P.-L. P., &amp; Yuan, T. (2023). Measuring user competence in using artificial intelligence: Validity and reliability of artificial intelligence literacy scale. </w:t>
      </w:r>
      <w:r>
        <w:rPr>
          <w:rFonts w:ascii="Times New Roman" w:hAnsi="Times New Roman" w:cs="Times New Roman" w:eastAsia="Times New Roman"/>
          <w:i/>
          <w:iCs/>
          <w:sz w:val="22"/>
          <w:szCs w:val="22"/>
          <w:lang w:val="en-US" w:bidi="fa-IR"/>
        </w:rPr>
        <w:t xml:space="preserve">Behaviour &amp; Information Technology, 42</w:t>
      </w:r>
      <w:r>
        <w:rPr>
          <w:rFonts w:ascii="Times New Roman" w:hAnsi="Times New Roman" w:cs="Times New Roman" w:eastAsia="Times New Roman"/>
          <w:sz w:val="22"/>
          <w:szCs w:val="22"/>
          <w:lang w:val="en-US" w:bidi="fa-IR"/>
        </w:rPr>
        <w:t xml:space="preserve">(9), 1324–1337. https://doi.org/10.1080/0144929X.2022.2072768</w:t>
      </w:r>
    </w:p>
    <w:sectPr>
      <w:footerReference w:type="default" r:id="rIdFooter"/>
      <w:pgSz w:w="11906" w:h="16838"/>
      <w:pgMar w:top="1417" w:right="1417" w:bottom="1417" w:left="1417" w:header="708" w:footer="708"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sz w:val="20"/>
      </w:rP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settings.xml><?xml version="1.0" encoding="utf-8"?>
<w:settings xmlns:w="http://schemas.openxmlformats.org/wordprocessingml/2006/main">
  <w:view w:val="print"/>
  <w:zoom w:percent="100"/>
  <w:defaultTabStop w:val="720"/>
  <w:characterSpacingControl w:val="doNotCompress"/>
  <w:footnotePr>
    <w:footnote w:id="-1"/>
    <w:footnote w:id="0"/>
  </w:footnotePr>
  <w:themeFontLang w:val="en-US" w:bidi="fa-IR"/>
</w:settings>
</file>

<file path=word/styles.xml><?xml version="1.0" encoding="utf-8"?>
<w:styles xmlns:w="http://schemas.openxmlformats.org/wordprocessingml/2006/main">
  <w:docDefaults>
    <w:rPrDefault>
      <w:rPr>
        <w:rFonts w:ascii="Times New Roman" w:hAnsi="Times New Roman" w:cs="Times New Roman"/>
        <w:sz w:val="24"/>
        <w:szCs w:val="24"/>
        <w:lang w:val="en-US" w:bidi="fa-IR"/>
      </w:rPr>
    </w:rPrDefault>
    <w:pPrDefault>
      <w:pPr/>
    </w:pPrDefault>
  </w:docDefaults>
  <w:style w:type="paragraph" w:default="1" w:styleId="Normal">
    <w:name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Se" Type="http://schemas.openxmlformats.org/officeDocument/2006/relationships/settings" Target="settings.xml"/><Relationship Id="rIdFn" Type="http://schemas.openxmlformats.org/officeDocument/2006/relationships/footnotes" Target="footnotes.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Paper 3 Questionnaire (EN)</dc:title>
  <dc:language>en-US</dc:language>
</cp:coreProperties>
</file>