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160" w:line="276" w:lineRule="auto"/>
        <w:jc w:val="center"/>
      </w:pPr>
      <w:r>
        <w:rPr>
          <w:rFonts w:ascii="Times New Roman" w:hAnsi="Times New Roman" w:cs="Times New Roman" w:eastAsia="Times New Roman"/>
          <w:b/>
          <w:bCs/>
          <w:sz w:val="32"/>
          <w:szCs w:val="32"/>
          <w:lang w:val="en-US" w:bidi="fa-IR"/>
        </w:rPr>
        <w:t xml:space="preserve">Form or Substance? Institutional Pressures and Accountability in Public-Sector Financial Reforms</w:t>
      </w:r>
    </w:p>
    <w:p>
      <w:pPr>
        <w:spacing w:before="0" w:after="100" w:line="276" w:lineRule="auto"/>
        <w:jc w:val="center"/>
      </w:pPr>
      <w:r>
        <w:rPr>
          <w:rFonts w:ascii="Times New Roman" w:hAnsi="Times New Roman" w:cs="Times New Roman" w:eastAsia="Times New Roman"/>
          <w:b/>
          <w:bCs/>
          <w:sz w:val="26"/>
          <w:szCs w:val="26"/>
          <w:lang w:val="en-US" w:bidi="fa-IR"/>
        </w:rPr>
        <w:t xml:space="preserve">Extended Abstract</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Background and problem</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Performance-based budgeting and accrual accounting have been promoted in many countries through legislation and standards, yet evidence points to a gap between formal adoption and real use. Iranian studies likewise report partial implementation and legal, structural and technological obstacles. Institutional theory suggests that organisations adopt structures to gain legitimacy even when those structures are decoupled from day-to-day technical activity. The problem addressed here is how institutional pressures push executive agencies towards substantive implementation or symbolic compliance, and what each response means for financial accountability.</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Objectives and research questions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study tests a model in which three institutional pressures (coercive, normative, mimetic) shape two organisational responses (substantive implementation, symbolic compliance); these affect the perceived usefulness of reported information and, through it, financial accountability, while financial information-system maturity conditions two paths. Questions: What does each pressure do to each response? How does usefulness of information link the responses to accountability? What role does system maturity play?</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Theoretical framework</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framework integrates institutional isomorphism, decoupling and ceremonial adoption, the literature on performance-information use, the accountability framework of information, justification and consequences, and the information-systems success model. The core argument is that institutional pressure is not a single cause with a single effect: coercion makes behaviour visible and may encourage both real implementation and display; professional norms internalise implementation; imitation breeds templates. Information usefulness is the bridge from implementation to accountability, and a mature system with auditable trails raises the cost of ceremonial behaviour. Thirteen hypotheses were derived.</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Method</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study is applied and survey-based. A 34-item questionnaire (eight constructs, five-point Likert) was administered to 336 financial managers, comptrollers, budget experts and accountants of executive agencies. Analysis used covariance-based structural equation modelling with fully latent variables (no item sums or means), latent interactions built from matched-pair product indicators, a 2,000-draw bootstrap for indirect and conditional indirect effects, and comparison of five competing models. Robustness was assessed with DWLS estimation, residual-centred indicators, a respecified model, outlier trimming and an experienced-respondent subsample.</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Findings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measurement model fitted well (CFI = 0.990; RMSEA = 0.017; composite reliability 0.81–0.87; maximum HTMT = 0.52). Coercive pressure raised both substantive implementation (β = 0.32) and symbolic compliance (β = 0.38); normative pressure strengthened the former (β = 0.37) and weakened the latter (β = -0.22); mimetic pressure raised symbolic compliance (β = 0.33) without a significant effect on substantive implementation. Substantive implementation increased usefulness (β = 0.35) and accountability (β = 0.28); symbolic compliance reduced both (β = -0.22; -0.17); usefulness improved accountability (β = 0.36). System maturity strengthened the usefulness effect of substantive implementation (β = 0.16) and weakened the link between coercive pressure and symbolic compliance (β = -0.25). The total indirect effect of normative pressure was positive (estimate = 0.21, 95% CI [0.13, 0.30]), whereas that of coercive pressure was small (0.03) because its constructive and ceremonial routes largely offset each other. Adding direct paths from pressures to accountability did not improve fit, supporting full mediation. Results were stable across all robustness checks.</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Conclusions and implications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effect of financial reforms depends less on the intensity of legal mandates than on the type of organisational response and the information infrastructure that makes it visible and usable. Strengthening professional norms, monitoring the use rather than the submission of reports, investing in integrated, real-time and auditable systems, and avoiding template imitation without localisation are the main recommendations. The study extends institutional analysis from adoption versus non-adoption to the quality of adoption.</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Limitations and future research</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cross-sectional, self-reported design, the newness of some scales and possible differences across agency types limit inference. Objective data (budget variance, performance-audit results), longitudinal and multi-source designs and cross-group measurement invariance are recommended.</w:t>
      </w:r>
    </w:p>
    <w:p>
      <w:pPr>
        <w:spacing w:before="80" w:after="80" w:line="276" w:lineRule="auto"/>
        <w:jc w:val="both"/>
      </w:pPr>
      <w:r>
        <w:rPr>
          <w:rFonts w:ascii="Times New Roman" w:hAnsi="Times New Roman" w:cs="Times New Roman" w:eastAsia="Times New Roman"/>
          <w:b/>
          <w:bCs/>
          <w:sz w:val="24"/>
          <w:szCs w:val="24"/>
          <w:lang w:val="en-US" w:bidi="fa-IR"/>
        </w:rPr>
        <w:t xml:space="preserve">Keywords:</w:t>
      </w:r>
      <w:r>
        <w:rPr>
          <w:rFonts w:ascii="Times New Roman" w:hAnsi="Times New Roman" w:cs="Times New Roman" w:eastAsia="Times New Roman"/>
          <w:sz w:val="24"/>
          <w:szCs w:val="24"/>
          <w:lang w:val="en-US" w:bidi="fa-IR"/>
        </w:rPr>
        <w:t xml:space="preserve"> Financial accountability; information system maturity; institutional pressures; substantive implementation; symbolic compliance</w:t>
      </w:r>
    </w:p>
    <w:sectPr>
      <w:footerReference w:type="default" r:id="rIdFooter"/>
      <w:pgSz w:w="11906" w:h="16838"/>
      <w:pgMar w:top="1417" w:right="1417" w:bottom="1417" w:left="1417"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view w:val="print"/>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Times New Roman"/>
        <w:sz w:val="24"/>
        <w:szCs w:val="24"/>
        <w:lang w:val="en-US" w:bidi="fa-IR"/>
      </w:rPr>
    </w:rPrDefault>
    <w:pPrDefault>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Extended Abstract</dc:title>
  <dc:language>en-US</dc:language>
</cp:coreProperties>
</file>