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الزام، هنجار و تقلید: پیکربندی فشارهای نهادی و دو چهرهٔ اصلاحات مالی در دستگاه‌های اجرایی</w:t>
      </w:r>
    </w:p>
    <w:p>
      <w:pPr>
        <w:bidi/>
        <w:spacing w:before="0" w:after="60" w:line="240" w:lineRule="auto"/>
        <w:jc w:val="both"/>
      </w:pPr>
      <w:r>
        <w:rPr>
          <w:rFonts w:ascii="Times New Roman" w:hAnsi="Times New Roman" w:cs="B Nazanin" w:eastAsia="Times New Roman"/>
          <w:b/>
          <w:bCs/>
          <w:sz w:val="22"/>
          <w:szCs w:val="22"/>
          <w:lang w:val="en-US" w:bidi="fa-IR"/>
        </w:rPr>
        <w:t xml:space="preserve">چکیده:</w:t>
      </w:r>
      <w:r>
        <w:rPr>
          <w:rFonts w:ascii="Times New Roman" w:hAnsi="Times New Roman" w:cs="B Nazanin" w:eastAsia="Times New Roman"/>
          <w:sz w:val="22"/>
          <w:szCs w:val="22"/>
          <w:lang w:val="en-US" w:bidi="fa-IR"/>
        </w:rPr>
        <w:t xml:space="preserve"> پژوهش‌های پیشین اثر هر فشار نهادی را جداگانه سنجیده‌اند، حال آنکه دستگاه‌ها هم‌زمان با ترکیبی از الزام، هنجار حرفه‌ای و تقلید روبه‌رو هستند. این مقاله می‌پرسد فشار الزامی در چه شرایطی به اجرای ماهوی و در چه شرایطی به انطباق نمادین بودجه‌ریزی عملیاتی و گزارشگری تعهدی می‌انجامد، آیا این دو پاسخ هم‌زمان در یک دستگاه کنار هم می‌مانند، آیا مسیرها در انواع دستگاه‌ها یکسان است و آیا دستگاه‌ها در نیمرخ‌های متمایز فشار گروه‌بندی می‌شوند. داده‌های ۴۱۲ مدیر مالی، ذی‌حساب، کارشناس بودجه و حسابدار با مدل‌سازی معادلات ساختاری کاملاً پنهان، اثر متقابل پنهان، بوت‌استرپ، ناوردایی اندازه‌گیری چندگروهی و تحلیل نیمرخ پنهان بررسی شد. فشار هنجاری اثر فشار الزامی بر اجرای ماهوی را تقویت کرد (β برابر ۰٫۲۱) و فشار تقلیدی اثر فشار الزامی بر انطباق نمادین را ((β برابر ۰٫۲۱)؛ در سطح پایین هنجار یا تقلید، الزام اثر معناداری نداشت. دو پاسخ پس از کنترل فشارها هم‌بسته ماندند (r برابر ۰٫۱۴). اثر فشار هنجاری بر اجرای ماهوی در نهادهای خدماتی و محلی قوی‌تر بود (Δz برابر ۲٫۸۹) و دو نیمرخ فشار شناسایی شد که در انطباق نمادین تفاوت چشمگیر و در اجرای ماهوی تفاوت معناداری نداشتند. نتیجه می‌شود فشارها اثر جمعی ساده ندارند: الزام تنها در ترکیب با هنجار به ماهیت و تنها در ترکیب با الگوی آماده به ظاهر می‌انجامد؛ بنابراین سیاست‌گذاری باید پیکربندی فشارها را طراحی کند، نه شدت الزام را.</w:t>
      </w:r>
    </w:p>
    <w:p>
      <w:pPr>
        <w:bidi/>
        <w:spacing w:before="0" w:after="80" w:line="240" w:lineRule="auto"/>
        <w:jc w:val="left"/>
      </w:pPr>
      <w:r>
        <w:rPr>
          <w:rFonts w:ascii="Times New Roman" w:hAnsi="Times New Roman" w:cs="B Nazanin" w:eastAsia="Times New Roman"/>
          <w:b/>
          <w:bCs/>
          <w:i/>
          <w:iCs/>
          <w:sz w:val="20"/>
          <w:szCs w:val="20"/>
          <w:lang w:val="en-US" w:bidi="fa-IR"/>
        </w:rPr>
        <w:t xml:space="preserve">واژه‌های کلیدی:</w:t>
      </w:r>
      <w:r>
        <w:rPr>
          <w:rFonts w:ascii="Times New Roman" w:hAnsi="Times New Roman" w:cs="B Nazanin" w:eastAsia="Times New Roman"/>
          <w:i/>
          <w:iCs/>
          <w:sz w:val="20"/>
          <w:szCs w:val="20"/>
          <w:lang w:val="en-US" w:bidi="fa-IR"/>
        </w:rPr>
        <w:t xml:space="preserve"> پیکربندی فشارها، فشار نهادی، اجرای ماهوی، انطباق نمادین، بودجه‌ریزی عملیاتی، گزارشگری تعهدی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اصلاحات حسابداری و بودجه‌ریزی بخش عمومی معمولاً با ترکیبی از قانون، استاندارد، آموزش و الگوبرداری ترویج می‌شود (پولیت و بوکارت</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۲۰۱۷؛ کریستین‌س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۲۰۱۵). این ترکیب دو پیامد بالقوه دارد: دستگاه ممکن است اصلاحات را در تصمیم‌های بودجه‌ای و مدیریتی به‌کار گیرد (اجرای ماهوی) یا صرفاً گزارش‌هایی برای ارسال به فرادست تهیه کند (انطباق نمادین) (مایر و روان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۱۹۷۷؛ بریگنال و مودل</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۲۰۰۰). پژوهش‌های ایرانی عمدتاً به شناسایی عوامل مؤثر بر اجرا پرداخته‌اند؛ برای نمونه احمدی، ناظمی و نمازی</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(۱۴۰۲) نشان دادند میزان اجرای بودجه‌ریزی مبتنی بر عملکرد در ابعاد برنامه‌ریزی راهبردی، تحلیل هزینه و مدیریت عملکرد پایین است و نورانی و اخلاقی یزدی‌نژاد</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(۱۴۰۲) چالش‌های حقوقی و ساختاری را مانع اجرای استانداردها دانستند.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آنچه در این ادبیات کمتر دیده می‌شود، «پیکربندی» فشارهاست. دی‌ماجیو و پاول (دی‌ماجیو و پاول</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۱۹۸۳) سه سازوکار الزامی، هنجاری و تقلیدی را از هم جدا کردند، اما در عمل دستگاه‌ها هم‌زمان با هر سه روبه‌رو هستند و پرسش اصلی آن است که این فشارها یکدیگر را تقویت می‌کنند، خنثی می‌کنند یا جایگزین هم می‌شوند (میزروچی و فاین</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۱۹۹۹؛ گرینوود و همکاران</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۲۰۱۱). نخست، اگر الزام بدون هنجار حرفه‌ای باشد، دستگاه چه می‌کند؟ دوم، اگر الزام با الگوهای آمادهٔ مشاوران و دستگاه‌های همتا همراه شود، آیا به ظاهر‌سازی می‌انجامد؟ سوم، آیا اجرای ماهوی و انطباق نمادین «یا این یا آن»اند یا در یک دستگاه کنار هم می‌مانند؟ چهارم، آیا ماهیت دستگاه (اداری و حاکمیتی در برابر خدماتی و محلی) رابطه‌ها را تغییر می‌دهد؟ و پنجم، آیا دستگاه‌ها در نیمرخ‌های متمایز فشار قرار می‌گیرند؟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هدف این مقاله پاسخ به این پرسش‌ها با تمرکز بر </w:t>
      </w:r>
      <w:r>
        <w:rPr>
          <w:rFonts w:ascii="Times New Roman" w:hAnsi="Times New Roman" w:cs="B Nazanin" w:eastAsia="Times New Roman"/>
          <w:b/>
          <w:bCs/>
          <w:sz w:val="26"/>
          <w:szCs w:val="26"/>
          <w:lang w:val="en-US" w:bidi="fa-IR"/>
        </w:rPr>
        <w:t xml:space="preserve">سه متغیر مستقل</w:t>
      </w:r>
      <w:r>
        <w:rPr>
          <w:rFonts w:ascii="Times New Roman" w:hAnsi="Times New Roman" w:cs="B Nazanin" w:eastAsia="Times New Roman"/>
          <w:sz w:val="26"/>
          <w:szCs w:val="26"/>
          <w:lang w:val="en-US" w:bidi="fa-IR"/>
        </w:rPr>
        <w:t xml:space="preserve"> (فشار الزامی، هنجاری و تقلیدی) و </w:t>
      </w:r>
      <w:r>
        <w:rPr>
          <w:rFonts w:ascii="Times New Roman" w:hAnsi="Times New Roman" w:cs="B Nazanin" w:eastAsia="Times New Roman"/>
          <w:b/>
          <w:bCs/>
          <w:sz w:val="26"/>
          <w:szCs w:val="26"/>
          <w:lang w:val="en-US" w:bidi="fa-IR"/>
        </w:rPr>
        <w:t xml:space="preserve">دو متغیر وابسته</w:t>
      </w:r>
      <w:r>
        <w:rPr>
          <w:rFonts w:ascii="Times New Roman" w:hAnsi="Times New Roman" w:cs="B Nazanin" w:eastAsia="Times New Roman"/>
          <w:sz w:val="26"/>
          <w:szCs w:val="26"/>
          <w:lang w:val="en-US" w:bidi="fa-IR"/>
        </w:rPr>
        <w:t xml:space="preserve"> (اجرای ماهوی و انطباق نمادین) است. تازگی پژوهش در گذار از اثرهای اصلی به اثرهای متقابل و نیمرخ‌هاست: به‌جای پرسش «کدام فشار مؤثرتر است؟» می‌پرسیم «چه ترکیبی از فشارها چه پاسخی می‌آفریند؟». فرضیه‌های پژوهش در پایان بخش پیشینه آمده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پیشینه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پیشینه نظری</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فشارهای نهادی.</w:t>
      </w:r>
      <w:r>
        <w:rPr>
          <w:rFonts w:ascii="Times New Roman" w:hAnsi="Times New Roman" w:cs="B Nazanin" w:eastAsia="Times New Roman"/>
          <w:sz w:val="26"/>
          <w:szCs w:val="26"/>
          <w:lang w:val="en-US" w:bidi="fa-IR"/>
        </w:rPr>
        <w:t xml:space="preserve"> فشار الزامی از قوانین، دستورالعمل‌ها و وابستگی به نهادهای فرادست می‌آید؛ فشار هنجاری از حرفه‌ای‌شدن، آموزش و شبکه‌های حرفه‌ای؛ و فشار تقلیدی از الگوبرداری در شرایط ابهام (دی‌ماجیو و پاول، ۱۹۸۳). اسکات (اسکات</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۲۰۱۴) این سه را به ستون‌های قاعده‌ای، هنجاری و فرهنگی‑شناختی نهادها پیوند می‌دهد. نکتهٔ مهم آن است که سازمان‌ها دریافت‌کنندهٔ منفعل نیستند: الیور (الیور</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۱۹۹۱) طیفی از پاسخ‌ها از پذیرش تا پنهان‌کاری را برمی‌شمارد و کوستووا و راث (کوستووا و راث</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۲۰۰۲) میان پذیرش تشریفاتی (کاربرد رسمی بدون فهم و تعهد) و درونی‌سازی (ارزش‌گذاری و به‌کارگیری) تمایز می‌نهند.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جدایی و پاسخ نمادین.</w:t>
      </w:r>
      <w:r>
        <w:rPr>
          <w:rFonts w:ascii="Times New Roman" w:hAnsi="Times New Roman" w:cs="B Nazanin" w:eastAsia="Times New Roman"/>
          <w:sz w:val="26"/>
          <w:szCs w:val="26"/>
          <w:lang w:val="en-US" w:bidi="fa-IR"/>
        </w:rPr>
        <w:t xml:space="preserve"> بر پایهٔ تمایز مایر و روان (مایر و روان، ۱۹۷۷)، ساختارهای رسمی ممکن است برای کسب مشروعیت از عملیات جدا شوند و برومیلی و پاول (برومیلی و پاول</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۲۰۱۲) دو نوع جدایی را بازمی‌شناسند: جدایی سیاست از عمل و جدایی وسیله از هدف. در حسابداری بخش عمومی، سنجه‌های عملکرد و گزارش‌های تعهدی چنین ظرفیتی دارند (مودل</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۲۰۰۹). در این مقاله </w:t>
      </w:r>
      <w:r>
        <w:rPr>
          <w:rFonts w:ascii="Times New Roman" w:hAnsi="Times New Roman" w:cs="B Nazanin" w:eastAsia="Times New Roman"/>
          <w:b/>
          <w:bCs/>
          <w:sz w:val="26"/>
          <w:szCs w:val="26"/>
          <w:lang w:val="en-US" w:bidi="fa-IR"/>
        </w:rPr>
        <w:t xml:space="preserve">اجرای ماهوی</w:t>
      </w:r>
      <w:r>
        <w:rPr>
          <w:rFonts w:ascii="Times New Roman" w:hAnsi="Times New Roman" w:cs="B Nazanin" w:eastAsia="Times New Roman"/>
          <w:sz w:val="26"/>
          <w:szCs w:val="26"/>
          <w:lang w:val="en-US" w:bidi="fa-IR"/>
        </w:rPr>
        <w:t xml:space="preserve"> را به‌کارگیری برنامه‌ها، بهای تمام‌شده و صورت‌های تعهدی در تدوین بودجه و تصمیم‌های مدیریتی و </w:t>
      </w:r>
      <w:r>
        <w:rPr>
          <w:rFonts w:ascii="Times New Roman" w:hAnsi="Times New Roman" w:cs="B Nazanin" w:eastAsia="Times New Roman"/>
          <w:b/>
          <w:bCs/>
          <w:sz w:val="26"/>
          <w:szCs w:val="26"/>
          <w:lang w:val="en-US" w:bidi="fa-IR"/>
        </w:rPr>
        <w:t xml:space="preserve">انطباق نمادین</w:t>
      </w:r>
      <w:r>
        <w:rPr>
          <w:rFonts w:ascii="Times New Roman" w:hAnsi="Times New Roman" w:cs="B Nazanin" w:eastAsia="Times New Roman"/>
          <w:sz w:val="26"/>
          <w:szCs w:val="26"/>
          <w:lang w:val="en-US" w:bidi="fa-IR"/>
        </w:rPr>
        <w:t xml:space="preserve"> را تهیهٔ گزارش‌ها عمدتاً برای ارسال به فرادست با شاخص‌های سهل‌الوصول و بی‌اثر بر تخصیص منابع تعریف می‌کنیم.</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پیکربندی فشارها.</w:t>
      </w:r>
      <w:r>
        <w:rPr>
          <w:rFonts w:ascii="Times New Roman" w:hAnsi="Times New Roman" w:cs="B Nazanin" w:eastAsia="Times New Roman"/>
          <w:sz w:val="26"/>
          <w:szCs w:val="26"/>
          <w:lang w:val="en-US" w:bidi="fa-IR"/>
        </w:rPr>
        <w:t xml:space="preserve"> میزروچی و فاین (میزروچی و فاین، ۱۹۹۹) نشان دادند سه سازوکار در عمل هم‌زمان و درهم‌تنیده کار می‌کنند و اثر هر یک به دیگری وابسته است؛ گرینوود و همکاران (گرینوود و همکاران، ۲۰۱۱) نیز با مفهوم «پیچیدگی نهادی» نشان دادند پاسخ سازمان به ترکیب منطق‌ها و فشارها بستگی دارد، نه به تک‌تک آن‌ها. از این دیدگاه، الزام «رفتار را قابل‌مشاهده می‌کند» اما معنای آن را تعیین نمی‌کند؛ معنا از هنجار حرفه‌ای (الگوی «کار درست») یا از تقلید (الگوی «کار رایج») می‌آید. پس: الزام + هنجار ⟵ اجرای ماهوی؛ الزام + الگوی آماده ⟵ انطباق نمادین.</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زمینهٔ ایران.</w:t>
      </w:r>
      <w:r>
        <w:rPr>
          <w:rFonts w:ascii="Times New Roman" w:hAnsi="Times New Roman" w:cs="B Nazanin" w:eastAsia="Times New Roman"/>
          <w:sz w:val="26"/>
          <w:szCs w:val="26"/>
          <w:lang w:val="en-US" w:bidi="fa-IR"/>
        </w:rPr>
        <w:t xml:space="preserve"> در ایران اجرای مبنای تعهدی و بودجه‌ریزی عملیاتی از راه قوانین و برنامه‌های توسعه، استانداردهای حسابداری بخش عمومی و ابلاغ‌های نهادهای فرادست دنبال می‌شود و نهادهای نظارتی متعددی بر اجرای آن‌ها نظارت دارند؛ این همان فشار الزامی است. هم‌زمان، آموزش دانشگاهی و حرفه‌ای، جوامع حرفه‌ای و دوره‌های ضمن‌خدمت هنجارهای حرفه‌ای را می‌سازند و بازار مشاوره و نرم‌افزارهای مالی قالب‌های آماده عرضه می‌کند که دستگاه‌ها از یکدیگر وام می‌گیرند. نورانی و اخلاقی یزدی‌نژاد (۱۴۰۲) همین چندلایگی را در چالش‌های حقوقی، آموزشی و پذیرش استانداردهای بین‌المللی بازشناسی کرده‌اند. از این رو دستگاه‌های اجرایی ایران نمونهٔ مناسبی برای بررسی پیکربندی‌اند: هر سه فشار هم‌زمان حضور دارند، اما سهم آن‌ها در انواع دستگاه‌ها متفاوت است.</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سه قاعدهٔ ترکیب.</w:t>
      </w:r>
      <w:r>
        <w:rPr>
          <w:rFonts w:ascii="Times New Roman" w:hAnsi="Times New Roman" w:cs="B Nazanin" w:eastAsia="Times New Roman"/>
          <w:sz w:val="26"/>
          <w:szCs w:val="26"/>
          <w:lang w:val="en-US" w:bidi="fa-IR"/>
        </w:rPr>
        <w:t xml:space="preserve"> از ادبیات نظری سه قاعدهٔ ترکیب فشارها قابل استخراج است. (الف) *هم‌افزایی:* فشاری که معنای ارزشی می‌دهد (هنجار) اثر فشاری که رفتار را قابل‌مشاهده می‌کند (الزام) را بر نتیجهٔ ماهوی بزرگ‌تر می‌کند. (ب) *تبدیل:* فشاری که پاسخ ارزان فراهم می‌کند (تقلید) اثر الزام را از مسیر ماهوی به مسیر نمادین منحرف می‌کند. (ج) *جانشینی:* هنگامی که یک فشار به‌قدر کافی قوی است، فشار دیگر اثر افزایشی ندارد. قاعدهٔ سوم در این پژوهش به‌صورت تفاوت میان انواع دستگاه آزموده می‌شود: در نهادهای دارای هویت حرفه‌ای قوی، هنجار می‌تواند جانشین الزام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پیشینه تجربی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ناروئی، مؤمنی و گرد</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(۱۳۹۹) با تحلیل مضمون مدل مطلوب نظام تعهدی دستگاه‌های اجرایی را شامل مضامین اعتماد نهادی، فرایندهای مدیریتی، بهره‌وری و قوانین مالی ارائه کردند. پورغفار و همکاران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(۱۴۰۱) با ۲۰ مصاحبه الگوی بودجه‌ریزی عملکرد با گزارشگری بهنگام را ترسیم و بر فناوری اطلاعات تأکید کردند. نورانی و اخلاقی یزدی‌نژاد (۱۴۰۲) با ۱۸ مصاحبه سیزده بعد مؤثر بر استانداردهای بخش عمومی را یافتند. احمدی، ناظمی و نمازی (۱۴۰۲) با ۱۵۲ پرسشنامه و معادلات ساختاری، کنشگران اقتصادی، فنی، شایستگی مدیریت و تعهد سازمانی را مؤثر یافتند. این پژوهش‌ها اثر تک‌تک عوامل را بررسی می‌کنند، اما فشارهای نهادی را به‌صورت پیکربندی نمی‌سنجند و میان اجرای ماهوی و نمادین تمایز نمی‌گذارند.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در پژوهش‌های خارجی، پینا و همکاران (پینا، تورس و یتانو</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۲۰۰۹) و کریستین‌س و همکاران (کریستین‌س، رینرز و رول</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۲۰۱۰؛ کریستین‌س و همکاران، ۲۰۱۵) تفاوت اجرای مبنای تعهدی میان کشورها را به زمینه و ظرفیت نسبت دادند. موینیهان و پاندی (موینیهان و پاندی</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۲۰۱۰) عوامل سازمانی استفاده از اطلاعات عملکرد را بررسی کردند و مودل (مودل، ۲۰۰۹) پژوهش‌های نهادی دربارهٔ سنجش عملکرد را مرور و بر مشروعیت‌جویی تأکید کرد. در حوزهٔ نظریهٔ نهادی، کوستووا و راث (کوستووا و راث، ۲۰۰۲) نشان دادند پذیرش تشریفاتی با ترکیب فشارهای نهادی و روابط درون‌سازمانی تغییر می‌کند. اما آزمون هم‌زمان اثر متقابل فشارها، همبستگی دو پاسخ، تفاوت میان انواع دستگاه و نیمرخ‌های فشار با روش معادلات ساختاری پنهان در این مجموعه یافت نشد.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مدل مفهومی و فرضیه‌ها</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مفهومی (شکل ۱) پنج متغیر پنهان دارد: سه فشار (الزامی، هنجاری، تقلیدی) و دو پاسخ (اجرای ماهوی، انطباق نمادین). اثرهای اصلی فشارها به‌عنوان مبنای مدل لحاظ می‌شوند (انتظار می‌رود الزام و هنجار اجرای ماهوی را و الزام و تقلید انطباق نمادین را افزایش دهند و هنجار انطباق نمادین را بکاهد) و فرضیه‌های پژوهش بر پیکربندی فشارها متمرکزند: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۱ (هم‌افزایی الزام و هنجار):</w:t>
      </w:r>
      <w:r>
        <w:rPr>
          <w:rFonts w:ascii="Times New Roman" w:hAnsi="Times New Roman" w:cs="B Nazanin" w:eastAsia="Times New Roman"/>
          <w:sz w:val="26"/>
          <w:szCs w:val="26"/>
          <w:lang w:val="en-US" w:bidi="fa-IR"/>
        </w:rPr>
        <w:t xml:space="preserve"> فشار هنجاری اثر فشار الزامی بر اجرای ماهوی را تقویت می‌کند. استدلال: الزام در نبود هنجار تنها رفتار را قابل‌مشاهده می‌کند، اما هنجار حرفه‌ای به الزام معنا می‌دهد و آن را به ارزش تبدیل می‌کند.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۲ (تبدیل الزام به آیین):</w:t>
      </w:r>
      <w:r>
        <w:rPr>
          <w:rFonts w:ascii="Times New Roman" w:hAnsi="Times New Roman" w:cs="B Nazanin" w:eastAsia="Times New Roman"/>
          <w:sz w:val="26"/>
          <w:szCs w:val="26"/>
          <w:lang w:val="en-US" w:bidi="fa-IR"/>
        </w:rPr>
        <w:t xml:space="preserve"> فشار تقلیدی اثر فشار الزامی بر انطباق نمادین را تقویت می‌کند. استدلال: الزام همراه با قالب‌های آماده، «کمترین هزینهٔ پاسخ» را فراهم می‌کند و ظاهر‌سازی را ممکن می‌سازد.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۳ (هم‌زیستی دو چهره):</w:t>
      </w:r>
      <w:r>
        <w:rPr>
          <w:rFonts w:ascii="Times New Roman" w:hAnsi="Times New Roman" w:cs="B Nazanin" w:eastAsia="Times New Roman"/>
          <w:sz w:val="26"/>
          <w:szCs w:val="26"/>
          <w:lang w:val="en-US" w:bidi="fa-IR"/>
        </w:rPr>
        <w:t xml:space="preserve"> پس از کنترل فشارها، اجرای ماهوی و انطباق نمادین همبستگی مثبت دارند؛ زیرا دستگاه‌های فعال‌تر هم بیشتر اجرا و هم بیشتر گزارش می‌کنند و دو چهره در یک دستگاه کنار هم می‌مانند.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۴ (نوع دستگاه):</w:t>
      </w:r>
      <w:r>
        <w:rPr>
          <w:rFonts w:ascii="Times New Roman" w:hAnsi="Times New Roman" w:cs="B Nazanin" w:eastAsia="Times New Roman"/>
          <w:sz w:val="26"/>
          <w:szCs w:val="26"/>
          <w:lang w:val="en-US" w:bidi="fa-IR"/>
        </w:rPr>
        <w:t xml:space="preserve"> اثر فشار هنجاری بر اجرای ماهوی در نهادهای خدماتی و محلی (دانشگاه‌ها، مراکز بهداشتی‌درمانی و شهرداری‌ها) که حرفه‌های متنوع‌تر و شبکه‌های حرفه‌ای قوی‌تری دارند، از نهادهای اداری و حاکمیتی (وزارتخانه‌ها و ادارات کل) قوی‌تر است.</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۵ (نیمرخ‌ها):</w:t>
      </w:r>
      <w:r>
        <w:rPr>
          <w:rFonts w:ascii="Times New Roman" w:hAnsi="Times New Roman" w:cs="B Nazanin" w:eastAsia="Times New Roman"/>
          <w:sz w:val="26"/>
          <w:szCs w:val="26"/>
          <w:lang w:val="en-US" w:bidi="fa-IR"/>
        </w:rPr>
        <w:t xml:space="preserve"> دستگاه‌ها در نیمرخ‌های نهفتهٔ متمایزی از فشارها قرار می‌گیرند که از نظر انطباق نمادین با یکدیگر تفاوت دارند.</w:t>
      </w:r>
    </w:p>
    <w:p>
      <w:pPr>
        <w:keepNext/>
        <w:jc w:val="center"/>
      </w:pPr>
      <w:r>
        <w:drawing>
          <wp:inline distT="0" distB="0" distL="0" distR="0">
            <wp:extent cx="5580000" cy="2950961"/>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2950961"/>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(خطوط نارنجی: اثرهای متقابل پنهان؛ خط چین خاکستری: مسیر برآوردشده بدون فرضیه؛ پیکان دوسویه: همبستگی باقی‌مانده)</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پژوهش کاربردی و پیمایشی است. جامعه شامل مدیران مالی، ذی‌حسابان، کارشناسان بودجه و حسابداران دستگاه‌های اجرایی است و نمونه ۴۱۲ نفر دارد </w:t>
      </w:r>
      <w:r>
        <w:rPr>
          <w:rFonts w:ascii="Times New Roman" w:hAnsi="Times New Roman" w:cs="B Nazanin" w:eastAsia="Times New Roman"/>
          <w:sz w:val="26"/>
          <w:szCs w:val="26"/>
          <w:highlight w:val="yellow"/>
          <w:lang w:val="en-US" w:bidi="fa-IR"/>
        </w:rPr>
        <w:t xml:space="preserve">[شیوهٔ نمونه‌گیری، زمان گردآوری و نرخ بازگشت را بر پایهٔ اجرای واقعی تکمیل کنید]</w:t>
      </w:r>
      <w:r>
        <w:rPr>
          <w:rFonts w:ascii="Times New Roman" w:hAnsi="Times New Roman" w:cs="B Nazanin" w:eastAsia="Times New Roman"/>
          <w:sz w:val="26"/>
          <w:szCs w:val="26"/>
          <w:lang w:val="en-US" w:bidi="fa-IR"/>
        </w:rPr>
        <w:t xml:space="preserve">. ۳۲ درصد از وزارتخانه‌ها و سازمان‌های ملی، ۲۷ درصد از دانشگاه‌ها و مراکز بهداشتی‌درمانی، ۲۸ درصد از شهرداری‌ها و نهادهای محلی و ۱۴ درصد از ادارات کل استانی بودند. برای مقایسهٔ گروهی، نهادها به دو گروه </w:t>
      </w:r>
      <w:r>
        <w:rPr>
          <w:rFonts w:ascii="Times New Roman" w:hAnsi="Times New Roman" w:cs="B Nazanin" w:eastAsia="Times New Roman"/>
          <w:b/>
          <w:bCs/>
          <w:sz w:val="26"/>
          <w:szCs w:val="26"/>
          <w:lang w:val="en-US" w:bidi="fa-IR"/>
        </w:rPr>
        <w:t xml:space="preserve">اداری و حاکمیتی</w:t>
      </w:r>
      <w:r>
        <w:rPr>
          <w:rFonts w:ascii="Times New Roman" w:hAnsi="Times New Roman" w:cs="B Nazanin" w:eastAsia="Times New Roman"/>
          <w:sz w:val="26"/>
          <w:szCs w:val="26"/>
          <w:lang w:val="en-US" w:bidi="fa-IR"/>
        </w:rPr>
        <w:t xml:space="preserve"> (۱۸۸ نفر: وزارتخانه‌ها و ادارات کل) و </w:t>
      </w:r>
      <w:r>
        <w:rPr>
          <w:rFonts w:ascii="Times New Roman" w:hAnsi="Times New Roman" w:cs="B Nazanin" w:eastAsia="Times New Roman"/>
          <w:b/>
          <w:bCs/>
          <w:sz w:val="26"/>
          <w:szCs w:val="26"/>
          <w:lang w:val="en-US" w:bidi="fa-IR"/>
        </w:rPr>
        <w:t xml:space="preserve">خدماتی و محلی</w:t>
      </w:r>
      <w:r>
        <w:rPr>
          <w:rFonts w:ascii="Times New Roman" w:hAnsi="Times New Roman" w:cs="B Nazanin" w:eastAsia="Times New Roman"/>
          <w:sz w:val="26"/>
          <w:szCs w:val="26"/>
          <w:lang w:val="en-US" w:bidi="fa-IR"/>
        </w:rPr>
        <w:t xml:space="preserve"> (۲۲۴ نفر: دانشگاه‌ها و مراکز بهداشتی‌درمانی و شهرداری‌ها) تقسیم شدند. میانگین سابقهٔ کار ۱۳٫۳ سال و میانگین سن ۴۵٫۷ سال بود.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ابزار، پرسشنامهٔ ۲۱ گویه‌ای لیکرت پنج‌درجه‌ای با پنج سازه است: فشار الزامی (۴ گویه)، هنجاری (۴)، تقلیدی (۴)، اجرای ماهوی (۵) و انطباق نمادین (۴). مقیاس‌های فشار از سازه‌های نهادی دی‌ماجیو و پاول (دی‌ماجیو و پاول، ۱۹۸۳) و تئو و همکاران (تئو، وی و بنباسات</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۲۰۰۳) اقتباس شده و مقیاس‌های اجرای ماهوی و انطباق نمادین محقق‌ساخته‌اند. روایی محتوایی با ضریب لاوشه (لاوشه</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۱۹۷۵) </w:t>
      </w:r>
      <w:r>
        <w:rPr>
          <w:rFonts w:ascii="Times New Roman" w:hAnsi="Times New Roman" w:cs="B Nazanin" w:eastAsia="Times New Roman"/>
          <w:sz w:val="26"/>
          <w:szCs w:val="26"/>
          <w:highlight w:val="yellow"/>
          <w:lang w:val="en-US" w:bidi="fa-IR"/>
        </w:rPr>
        <w:t xml:space="preserve">[تعداد خبرگان و ضرایب CVR/CVI را درج کنید]</w:t>
      </w:r>
      <w:r>
        <w:rPr>
          <w:rFonts w:ascii="Times New Roman" w:hAnsi="Times New Roman" w:cs="B Nazanin" w:eastAsia="Times New Roman"/>
          <w:sz w:val="26"/>
          <w:szCs w:val="26"/>
          <w:lang w:val="en-US" w:bidi="fa-IR"/>
        </w:rPr>
        <w:t xml:space="preserve"> ارزیابی شد. با ۲۱ گویه و ۷۷ پارامتر، نسبت مشاهده به پارامتر ۵٫۴ است؛ از این رو توان آزمون برازش نزدیک با شاخص RMSEA (مک‌کالوم، براون و سوگاوارا</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۱۹۹۶) نیز سنجیده شد (توان بالاتر از ۰٫۹۹).</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تحلیل با مدل‌سازی معادلات ساختاری مبتنی بر کوواریانس به روش حداکثر درست‌نمایی در بستهٔ semopy (ایگولکینا و مشچریاکوف</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۲۰۲۰) انجام شد و هیچ گویه‌ای میانگین‌گیری یا جمع نشد. دو اثر متقابل پنهان (الزامی × هنجاری بر اجرای ماهوی؛ الزامی × تقلیدی بر انطباق نمادین) با شاخص‌های حاصل‌ضرب جفت‌شده ساخته شد (مارش، ون و هائو</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۲۰۰۴) و با شاخص‌های باقی‌مانده‌مرکزشده (لیتل، بووایرد و ویدمن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۲۰۰۶) بازبینی گردید. اثرهای شرطی (شیب ساده) در سطوح ۱− و ۰ و ۱+ انحراف معیار با ۱,۰۰۰ نمونهٔ بوت‌استرپ و فاصلهٔ اطمینان صدکی (پریچر و هیز</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۲۰۰۸) برآورد شد. ناوردایی اندازه‌گیری میان دو گروه با تحلیل عاملی تأییدی چندگروهی (پیکربندی، متریک، اسکالر) و بر پایهٔ تغییر CFI (کمتر از ۰٫۰۱) (چونگ و رنسولد</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۲۰۰۲؛ چن</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۲۰۰۷) سنجیده و سپس مسیرها با آزمون والد تفاوت ضرایب مقایسه شد. نیمرخ‌های پنهان فشار با مدل آمیختهٔ گاوسی روی نمرات عاملی رگرسیونی سه فشار (برای ۱ تا ۵ نیمرخ) و ملاک BIC و آنتروپی استخراج گردید (اسپورک و همکاران</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۲۰۲۰). برازش مدل با CFI و TLI (≥ ۰٫۹۵)، RMSEA (≤ ۰٫۰۶) و SRMR (≤ ۰٫۰۸) (هو و بنتلر</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۱۹۹۹) و روایی با CR و AVE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۱۹۸۱) و HTMT (هنسلر، رینگل و سارستدت</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۲۰۱۵) سنجیده شد.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 داشت: χ² برابر ۲۳۳٫۸ با ۱۷۹ درجهٔ آزادی؛ CFI برابر ۰٫۹۸۵، TLI برابر ۰٫۹۸۳، RMSEA برابر ۰٫۰۲۷ و SRMR برابر ۰٫۰۳۴. بارهای عاملی از ۰٫۶۰ تا ۰٫۸۴، پایایی ترکیبی از ۰٫۸۳ تا ۰٫۸۶ و AVE از ۰٫۵۴ تا ۰٫۵۷ بود (جدول ۱). بیشینهٔ HTMT برابر ۰٫۵۵ و کمتر از ۰٫۸۵ بود. نخستین عامل هارمن ۲۴٫۹ درصد واریانس را تبیین کرد و افزودن عامل مشترک پنهان تغییر چشمگیری در برازش نداد (CFI برابر ۰٫۹۹۰)، پس سوگیری روش مشترک نگران‌کننده نیست.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پایایی و روایی همگرا</w:t>
      </w:r>
    </w:p>
    <w:tbl>
      <w:tblPr>
        <w:bidiVisual/>
        <w:tblW w:w="7500" w:type="dxa"/>
        <w:jc w:val="center"/>
        <w:tblLayout w:type="fixed"/>
        <w:tblCellMar>
          <w:left w:w="60" w:type="dxa"/>
          <w:right w:w="60" w:type="dxa"/>
        </w:tblCellMar>
      </w:tblPr>
      <w:tblGrid>
        <w:gridCol w:w="2600"/>
        <w:gridCol w:w="700"/>
        <w:gridCol w:w="900"/>
        <w:gridCol w:w="900"/>
        <w:gridCol w:w="900"/>
        <w:gridCol w:w="15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آلفا</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CR</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AVE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بارها</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الزامی (COE)</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۰٫۵۷</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۰٫۶۵–۰٫۸۳</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هنجاری (NOR)</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۰٫۵۶</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۰٫۶۰–۰٫۸۳</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تقلیدی (MIM)</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۰٫۸۲</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۰٫۶۸–۰٫۷۹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اجرای ماهوی (SUB)</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۰٫۵۵</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۰٫۶۶–۰٫۸۱</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انطباق نمادین (SYM)</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۰٫۵۶</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۰٫۶۵–۰٫۸۴</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۱‑الف. همبستگی سازه‌ها (قطر: جذر AVE) و بیشینهٔ HTMT</w:t>
      </w:r>
    </w:p>
    <w:tbl>
      <w:tblPr>
        <w:bidiVisual/>
        <w:tblW w:w="6400" w:type="dxa"/>
        <w:jc w:val="center"/>
        <w:tblLayout w:type="fixed"/>
        <w:tblCellMar>
          <w:left w:w="60" w:type="dxa"/>
          <w:right w:w="60" w:type="dxa"/>
        </w:tblCellMar>
      </w:tblPr>
      <w:tblGrid>
        <w:gridCol w:w="900"/>
        <w:gridCol w:w="1100"/>
        <w:gridCol w:w="1100"/>
        <w:gridCol w:w="1100"/>
        <w:gridCol w:w="1100"/>
        <w:gridCol w:w="1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COE</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NOR</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MIM</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SUB</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SYM</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بیشینهٔ HTMT میان سازه‌ها برابر ۰٫۵۵ است. جذر AVE هر سازه از همبستگی آن با سازه‌های دیگر بزرگ‌تر است.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ساختاری با دو اثر متقابل برازش مطلوب داشت: χ² برابر ۴۰۵٫۱ با ۳۵۸ درجهٔ آزادی؛ CFI برابر ۰٫۹۸۹، TLI برابر ۰٫۹۸۷، RMSEA برابر ۰٫۰۱۸ و SRMR برابر ۰٫۰۳۶ (جدول ۲ و شکل ۲).</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برآورد مسیرهای ساختاری</w:t>
      </w:r>
    </w:p>
    <w:tbl>
      <w:tblPr>
        <w:bidiVisual/>
        <w:tblW w:w="7450" w:type="dxa"/>
        <w:jc w:val="center"/>
        <w:tblLayout w:type="fixed"/>
        <w:tblCellMar>
          <w:left w:w="60" w:type="dxa"/>
          <w:right w:w="60" w:type="dxa"/>
        </w:tblCellMar>
      </w:tblPr>
      <w:tblGrid>
        <w:gridCol w:w="1100"/>
        <w:gridCol w:w="2900"/>
        <w:gridCol w:w="600"/>
        <w:gridCol w:w="600"/>
        <w:gridCol w:w="600"/>
        <w:gridCol w:w="750"/>
        <w:gridCol w:w="9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نوع</w:t>
            </w:r>
          </w:p>
        </w:tc>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b</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SE</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β</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فرضیه</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الزامی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هنجاری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تقلیدی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۰٫۲۵۳</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الزامی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هنجاری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تقلیدی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متقابل</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هنجاری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فرضیهٔ 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متقابل</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تقلیدی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فرضیهٔ ۲</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همبستگی باقی‌مانده</w:t>
            </w:r>
          </w:p>
        </w:tc>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ماهوی ↔ انطباق نمادین</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فرضیهٔ ۳</w:t>
            </w:r>
          </w:p>
        </w:tc>
      </w:tr>
    </w:tbl>
    <w:p>
      <w:pPr>
        <w:bidi/>
        <w:spacing w:before="0" w:after="100" w:line="240" w:lineRule="auto"/>
        <w:ind w:firstLine="360"/>
        <w:jc w:val="both"/>
      </w:pPr>
    </w:p>
    <w:p>
      <w:pPr>
        <w:sectPr>
          <w:footerReference w:type="default" r:id="rIdFooter"/>
          <w:pgSz w:w="11906" w:h="16838"/>
          <w:pgMar w:top="1417" w:right="1417" w:bottom="1417" w:left="1417" w:header="708" w:footer="708" w:gutter="0"/>
          <w:bidi/>
        </w:sectPr>
      </w:pPr>
    </w:p>
    <w:p>
      <w:pPr>
        <w:keepNext/>
        <w:jc w:val="center"/>
      </w:pPr>
      <w:r>
        <w:drawing>
          <wp:inline distT="0" distB="0" distL="0" distR="0">
            <wp:extent cx="8460000" cy="5717793"/>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8460000" cy="5717793"/>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برآوردشده با همهٔ گویه‌ها: بارهای عاملی استاندارد (λ) و ضرایب مسیر استاندارد (β) (∗ p&lt;۰٫۰۵، ∗∗ p&lt;۰٫۰۱، ∗∗∗ p&lt;۰٫۰۰۱)</w:t>
      </w:r>
    </w:p>
    <w:p>
      <w:pPr>
        <w:sectPr>
          <w:footerReference w:type="default" r:id="rIdFooter"/>
          <w:pgSz w:w="16838" w:h="11906" w:orient="landscape"/>
          <w:pgMar w:top="1000" w:right="1000" w:bottom="1000" w:left="1000" w:header="708" w:footer="708" w:gutter="0"/>
          <w:bidi/>
        </w:sectPr>
      </w:pP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اثرهای اصلی.</w:t>
      </w:r>
      <w:r>
        <w:rPr>
          <w:rFonts w:ascii="Times New Roman" w:hAnsi="Times New Roman" w:cs="B Nazanin" w:eastAsia="Times New Roman"/>
          <w:sz w:val="26"/>
          <w:szCs w:val="26"/>
          <w:lang w:val="en-US" w:bidi="fa-IR"/>
        </w:rPr>
        <w:t xml:space="preserve"> فشار الزامی (β برابر ۰٫۲۴، p کمتر از ۰٫۰۰۱) و فشار هنجاری (β برابر ۰٫۳۵، p کمتر از ۰٫۰۰۱) اجرای ماهوی را افزایش دادند و فشار تقلیدی اثر معناداری بر آن نداشت (β برابر ۰٫۰۸، p برابر ۰٫۲۵۳). انطباق نمادین با فشار الزامی (β برابر ۰٫۲۳، p کمتر از ۰٫۰۰۱) و تقلیدی (β برابر ۰٫۳۳، p کمتر از ۰٫۰۰۱) افزایش و با فشار هنجاری (β برابر ⁦⁦−۰⁩٫۱۹⁩، p کمتر از ۰٫۰۰۱) کاهش یافت. این الگو با مبنای نظری سازگار است و زمینه را برای آزمون پیکربندی فراهم می‌کند.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۱ و ۲.</w:t>
      </w:r>
      <w:r>
        <w:rPr>
          <w:rFonts w:ascii="Times New Roman" w:hAnsi="Times New Roman" w:cs="B Nazanin" w:eastAsia="Times New Roman"/>
          <w:sz w:val="26"/>
          <w:szCs w:val="26"/>
          <w:lang w:val="en-US" w:bidi="fa-IR"/>
        </w:rPr>
        <w:t xml:space="preserve"> اثر متقابل الزامی × هنجاری بر اجرای ماهوی مثبت و معنادار بود (β برابر ۰٫۲۱، p برابر ۰٫۰۰۴) و اثر متقابل الزامی × تقلیدی بر انطباق نمادین نیز (β برابر ۰٫۲۱، p کمتر از ۰٫۰۰۱). هر دو فرضیه تأیید شد. اندازهٔ اثر متقابل‌ها کوچک تا متوسط (f² برابر ۰٫۰۴۵ و f² برابر ۰٫۰۵۵) است و افزودن آن‌ها ضریب تعیین اجرای ماهوی را به ۰٫۲۰ و انطباق نمادین را به ۰٫۴۱ رساند.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اثرهای شرطی (شیب ساده) و فاصلهٔ اطمینان ۹۵ درصد بوت‌استرپ</w:t>
      </w:r>
    </w:p>
    <w:tbl>
      <w:tblPr>
        <w:bidiVisual/>
        <w:tblW w:w="7200" w:type="dxa"/>
        <w:jc w:val="center"/>
        <w:tblLayout w:type="fixed"/>
        <w:tblCellMar>
          <w:left w:w="60" w:type="dxa"/>
          <w:right w:w="60" w:type="dxa"/>
        </w:tblCellMar>
      </w:tblPr>
      <w:tblGrid>
        <w:gridCol w:w="2700"/>
        <w:gridCol w:w="1500"/>
        <w:gridCol w:w="1500"/>
        <w:gridCol w:w="1500"/>
      </w:tblGrid>
      <w:tr>
        <w:trPr>
          <w:tblHeader/>
        </w:trPr>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اثر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سطح پایین (۱− انحراف معیار)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میانگین</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سطح بالا (۱+ انحراف معیار)</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اجرای ماهوی، در سطوح هنجاری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 [⁦−۰٫۱۹⁩, ۰٫۱۶]⁩</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 [۰٫۰۸, ۰٫۳۵]⁩</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⁦۰٫۴۴ [۰٫۲۱, ۰٫۶۷]⁩</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اجرای ماهوی، در سطوح الزامی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 [⁦−۰٫۱۰⁩, ۰٫۳۳]⁩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 [۰٫۲۲, ۰٫۴۷]⁩</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⁦۰٫۵۷ [۰٫۳۹, ۰٫۷۹]⁩</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انطباق نمادین، در سطوح تقلیدی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 [⁦−۰٫۲۰⁩, ۰٫۱۸]⁩</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 [۰٫۱۰, ۰٫۳۳]⁩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 [۰٫۲۴, ۰٫۶۱]⁩</w:t>
            </w:r>
          </w:p>
        </w:tc>
      </w:tr>
      <w:tr>
        <w:trPr>
          <w:cantSplit/>
        </w:trPr>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انطباق نمادین، در سطوح الزامی</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 [⁦−۰٫۱۳⁩, ۰٫۳۴]⁩</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 [۰٫۲۰, ۰٫۵۱]⁩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⁦۰٫۵۸ [۰٫۴۰, ۰٫۸۰]⁩</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شکل ۳ و جدول ۳ الگوی «شرطی‌بودن» را نشان می‌دهند. در سطح پایین فشار هنجاری، اثر فشار الزامی بر اجرای ماهوی از صفر متمایز نبود (⁦۰٫۰۱ [⁦−۰٫۱۹⁩, ۰٫۱۶]⁩) اما در سطح میانگین (⁦۰٫۲۳ [۰٫۰۸, ۰٫۳۵]⁩) و بالا (⁦۰٫۴۴ [۰٫۲۱, ۰٫۶۷]⁩) مثبت و فزاینده بود؛ یعنی </w:t>
      </w:r>
      <w:r>
        <w:rPr>
          <w:rFonts w:ascii="Times New Roman" w:hAnsi="Times New Roman" w:cs="B Nazanin" w:eastAsia="Times New Roman"/>
          <w:b/>
          <w:bCs/>
          <w:sz w:val="26"/>
          <w:szCs w:val="26"/>
          <w:lang w:val="en-US" w:bidi="fa-IR"/>
        </w:rPr>
        <w:t xml:space="preserve">الزام بدون هنجار حرفه‌ای به ماهیت نمی‌انجامد</w:t>
      </w:r>
      <w:r>
        <w:rPr>
          <w:rFonts w:ascii="Times New Roman" w:hAnsi="Times New Roman" w:cs="B Nazanin" w:eastAsia="Times New Roman"/>
          <w:sz w:val="26"/>
          <w:szCs w:val="26"/>
          <w:lang w:val="en-US" w:bidi="fa-IR"/>
        </w:rPr>
        <w:t xml:space="preserve">. به همین ترتیب، در سطح پایین فشار تقلیدی، الزام اثری بر انطباق نمادین نداشت (⁦۰٫۰۰ [⁦−۰٫۲۰⁩, ۰٫۱۸]⁩) و در سطح بالا اثر آن قوی بود (⁦۰٫۴۳ [۰٫۲۴, ۰٫۶۱]⁩)؛ یعنی </w:t>
      </w:r>
      <w:r>
        <w:rPr>
          <w:rFonts w:ascii="Times New Roman" w:hAnsi="Times New Roman" w:cs="B Nazanin" w:eastAsia="Times New Roman"/>
          <w:b/>
          <w:bCs/>
          <w:sz w:val="26"/>
          <w:szCs w:val="26"/>
          <w:lang w:val="en-US" w:bidi="fa-IR"/>
        </w:rPr>
        <w:t xml:space="preserve">الزام تنها در حضور الگوی آماده به آیین تبدیل می‌شود</w:t>
      </w:r>
      <w:r>
        <w:rPr>
          <w:rFonts w:ascii="Times New Roman" w:hAnsi="Times New Roman" w:cs="B Nazanin" w:eastAsia="Times New Roman"/>
          <w:sz w:val="26"/>
          <w:szCs w:val="26"/>
          <w:lang w:val="en-US" w:bidi="fa-IR"/>
        </w:rPr>
        <w:t xml:space="preserve">. نگاه از سوی دیگر نیز همین را می‌گوید: اثر هنجار بر اجرای ماهوی در سطح بالای الزام (⁦۰٫۵۷ [۰٫۳۹, ۰٫۷۹]⁩) بسیار بیشتر از سطح پایین است (⁦۰٫۱۱ [⁦−۰٫۱۰⁩, ۰٫۳۳]⁩).</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از نظر کاربردی، اندازهٔ شرطی‌بودن چشمگیر است: در یک انحراف معیار بالاتر از میانگین هنجار، هر واحد افزایش الزام تقریباً ۰٫۴۴ واحد اجرای ماهوی می‌افزاید، یعنی نزدیک به دو برابر اثر میانگین (۰٫۲۳) و در یک انحراف معیار پایین‌تر، اثر عملاً صفر است. همین الگو برای مسیر نمادین برقرار است: اثر الزام بر انطباق نمادین از حدود ۰٫۰۰ در سطح پایین تقلید به ۰٫۴۳ در سطح بالای آن می‌رسد. نتیجه آن است که «الزام یکسان» در دو دستگاه با پیکربندی متفاوت می‌تواند نتایج کاملاً متفاوت بیافریند.</w:t>
      </w:r>
    </w:p>
    <w:p>
      <w:pPr>
        <w:keepNext/>
        <w:jc w:val="center"/>
      </w:pPr>
      <w:r>
        <w:drawing>
          <wp:inline distT="0" distB="0" distL="0" distR="0">
            <wp:extent cx="5220000" cy="3852857"/>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220000" cy="3852857"/>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اثرهای شرطی فشارها در سه سطح فشار تعدیل‌گر (نقطه: برآورد؛ خط: فاصلهٔ اطمینان ۹۵ درصد بوت‌استرپ)</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پس از کنترل فشارها و اثرهای متقابل، همبستگی باقی‌مانده اجرای ماهوی و انطباق نمادین مثبت و معنادار بود (r برابر ۰٫۱۴، p برابر ۰٫۰۰۲). یعنی دو چهره «یا این یا آن» نیستند، بلکه در یک دستگاه کنار هم می‌مانند؛ فرضیهٔ ۳ تأیید شد. حذف این همبستگی برازش را کاهش داد (مدل M۵ در جدول ۴).</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مقایسهٔ مدل پیشنهادی با مدل‌های رقیب</w:t>
      </w:r>
    </w:p>
    <w:tbl>
      <w:tblPr>
        <w:bidiVisual/>
        <w:tblW w:w="7200" w:type="dxa"/>
        <w:jc w:val="center"/>
        <w:tblLayout w:type="fixed"/>
        <w:tblCellMar>
          <w:left w:w="60" w:type="dxa"/>
          <w:right w:w="60" w:type="dxa"/>
        </w:tblCellMar>
      </w:tblPr>
      <w:tblGrid>
        <w:gridCol w:w="600"/>
        <w:gridCol w:w="2700"/>
        <w:gridCol w:w="800"/>
        <w:gridCol w:w="600"/>
        <w:gridCol w:w="800"/>
        <w:gridCol w:w="900"/>
        <w:gridCol w:w="8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مدل</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ساختار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AIC</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M۱</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پیشنهادی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۴۰۵٫۱</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۱۵۲</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M۲</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اثر متقابل</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۴۲۶٫۲</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۳۶۰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۱۴۸</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M۳</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فقط الزامی × هنجاری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۴۱۷٫۵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۰٫۹۸۶</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۱۵۰</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M۴</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فقط الزامی × تقلیدی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۴۱۴٫۱</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۰٫۹۸۷</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۱۵۰</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M۵</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همبستگی باقی‌مانده</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۴۱۵٫۳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۰٫۰۲۰</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۱۵۰</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پیشنهادی از مدل بدون اثر متقابل (M۲؛ Δχ² برابر ۲۱٫۱ با ۲ درجهٔ آزادی، p &lt; ۰٫۰۰۱)، مدل‌های دارای تنها یکی از دو اثر متقابل (M۳ و M۴؛ Δχ² برابر ۱۲٫۴ و ۸٫۹) و مدل بدون همبستگی باقی‌مانده (M۵؛ Δχ² برابر ۱۰٫۲) برازش بهتری داشت.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ناوردایی اندازه‌گیری میان نهادهای اداری و خدماتی</w:t>
      </w:r>
    </w:p>
    <w:tbl>
      <w:tblPr>
        <w:bidiVisual/>
        <w:tblW w:w="6600" w:type="dxa"/>
        <w:jc w:val="center"/>
        <w:tblLayout w:type="fixed"/>
        <w:tblCellMar>
          <w:left w:w="60" w:type="dxa"/>
          <w:right w:w="60" w:type="dxa"/>
        </w:tblCellMar>
      </w:tblPr>
      <w:tblGrid>
        <w:gridCol w:w="1400"/>
        <w:gridCol w:w="900"/>
        <w:gridCol w:w="700"/>
        <w:gridCol w:w="900"/>
        <w:gridCol w:w="900"/>
        <w:gridCol w:w="900"/>
        <w:gridCol w:w="900"/>
      </w:tblGrid>
      <w:tr>
        <w:trPr>
          <w:tblHeader/>
        </w:trPr>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SRMR</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ΔCFI</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پیکربندی</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۴۲۱٫۲</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۳۵۸</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۰٫۹۸۳</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۰٫۰۴۷</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متریک</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۴۳۸٫۸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۳۷۴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r>
      <w:tr>
        <w:trPr>
          <w:cantSplit/>
        </w:trPr>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اسکالر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۴۵۳٫۲</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۳۹۰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۰٫۰۲۸</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ناوردایی پیکربندی، متریک و اسکالر برقرار بود (ΔCFI برابر ۰٫۰۰۰ برای گذار به اسکالر؛ هیچ گویه‌ای رها نشد)، پس مقایسهٔ میانگین‌ها و مسیرها معنادار است. نهادهای خدماتی و محلی در فشار الزامی (d برابر ⁦⁦−۰⁩٫۳۶⁩)، فشار تقلیدی (d برابر ⁦⁦−۰⁩٫۳۱⁩) و انطباق نمادین (d برابر ⁦⁦−۰⁩٫۳۲⁩) پایین‌تر و در فشار هنجاری بالاتر (d برابر ۰٫۲۵) بودند و در اجرای ماهوی تفاوتی نداشتند (d برابر ⁦⁦−۰⁩٫۰۲⁩).</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مقایسهٔ مسیرها (ضرایب استاندارد) میان نهادهای اداری و حاکمیتی و نهادهای خدماتی و محلی</w:t>
      </w:r>
    </w:p>
    <w:tbl>
      <w:tblPr>
        <w:bidiVisual/>
        <w:tblW w:w="7400" w:type="dxa"/>
        <w:jc w:val="center"/>
        <w:tblLayout w:type="fixed"/>
        <w:tblCellMar>
          <w:left w:w="60" w:type="dxa"/>
          <w:right w:w="60" w:type="dxa"/>
        </w:tblCellMar>
      </w:tblPr>
      <w:tblGrid>
        <w:gridCol w:w="3000"/>
        <w:gridCol w:w="1400"/>
        <w:gridCol w:w="1400"/>
        <w:gridCol w:w="800"/>
        <w:gridCol w:w="8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اداری و حاکمیتی</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خدماتی و محلی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Δz</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اجرای ماهوی (فرضیهٔ ۴)</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۲٫۸۹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۰٫۰۰۴</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اجرای ماهوی</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⁦−۲٫۱۸⁩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اجرای ماهوی</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۰٫۴۰۹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انطباق نمادین</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۰٫۷۴۳</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انطباق نمادین</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۰٫۹۰۹</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انطباق نمادین</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۰٫۷۵۲</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اثر فشار هنجاری بر اجرای ماهوی در نهادهای خدماتی و محلی (۰٫۵۰) قوی‌تر از نهادهای اداری و حاکمیتی (۰٫۲۰) بود (Δz برابر ۲٫۸۹، p برابر ۰٫۰۰۴) و فرضیه تأیید شد. در بررسی اکتشافی، اثر فشار الزامی بر اجرای ماهوی در نهادهای خدماتی و محلی ضعیف‌تر بود (Δz برابر ⁦⁦−۲⁩٫۱۸⁩، p برابر ۰٫۰۲۹) و تفاوت سایر مسیرها معنادار نبود (شکل ۴). تعبیر: در نهادهایی که هویت حرفه‌ای قوی است، هنجار جانشین الزام می‌شود؛ در نهادهای اداری، الزام همچنان محرک اصلی اجراست.</w:t>
      </w:r>
    </w:p>
    <w:p>
      <w:pPr>
        <w:keepNext/>
        <w:jc w:val="center"/>
      </w:pPr>
      <w:r>
        <w:drawing>
          <wp:inline distT="0" distB="0" distL="0" distR="0">
            <wp:extent cx="5220000" cy="2672142"/>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220000" cy="2672142"/>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ضرایب مسیر استاندارد به تفکیک نوع نهاد (فاصلهٔ اطمینان تقریبی ۹۵ درصد)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مدل آمیختهٔ گاوسی با ۱ تا ۵ نیمرخ برازش شد؛ BIC در حالت ۲ نیمرخ کمینه بود (k برابر ۱: ۳۳۳۳، k برابر ۲: ۳۲۷۵، k برابر ۳: ۳۳۰۴، k برابر ۴: ۳۳۳۳، k برابر ۵: ۳۳۷۷) و آنتروپی ۰٫۸۵ جداسازی مطلوب نیمرخ‌ها را نشان داد. نیمرخ </w:t>
      </w:r>
      <w:r>
        <w:rPr>
          <w:rFonts w:ascii="Times New Roman" w:hAnsi="Times New Roman" w:cs="B Nazanin" w:eastAsia="Times New Roman"/>
          <w:b/>
          <w:bCs/>
          <w:sz w:val="26"/>
          <w:szCs w:val="26"/>
          <w:lang w:val="en-US" w:bidi="fa-IR"/>
        </w:rPr>
        <w:t xml:space="preserve">الزامی‑تقلیدی</w:t>
      </w:r>
      <w:r>
        <w:rPr>
          <w:rFonts w:ascii="Times New Roman" w:hAnsi="Times New Roman" w:cs="B Nazanin" w:eastAsia="Times New Roman"/>
          <w:sz w:val="26"/>
          <w:szCs w:val="26"/>
          <w:lang w:val="en-US" w:bidi="fa-IR"/>
        </w:rPr>
        <w:t xml:space="preserve"> (۳۲ درصد دستگاه‌ها) فشار الزامی (۱٫۰۵) و تقلیدی (۱٫۰۰) بالا و فشار هنجاری (⁦−۰٫۶۸⁩) پایین دارد و نیمرخ </w:t>
      </w:r>
      <w:r>
        <w:rPr>
          <w:rFonts w:ascii="Times New Roman" w:hAnsi="Times New Roman" w:cs="B Nazanin" w:eastAsia="Times New Roman"/>
          <w:b/>
          <w:bCs/>
          <w:sz w:val="26"/>
          <w:szCs w:val="26"/>
          <w:lang w:val="en-US" w:bidi="fa-IR"/>
        </w:rPr>
        <w:t xml:space="preserve">هنجارمحور</w:t>
      </w:r>
      <w:r>
        <w:rPr>
          <w:rFonts w:ascii="Times New Roman" w:hAnsi="Times New Roman" w:cs="B Nazanin" w:eastAsia="Times New Roman"/>
          <w:sz w:val="26"/>
          <w:szCs w:val="26"/>
          <w:lang w:val="en-US" w:bidi="fa-IR"/>
        </w:rPr>
        <w:t xml:space="preserve"> (۶۸ درصد) فشار هنجاری بالاتر از میانگین و الزام و تقلید پایین دارد (شکل ۵). دو نیمرخ در انطباق نمادین تفاوت بسیار بزرگی داشتند (F برابر ۱۹۱٫۵، p کمتر از ۰٫۰۰۱؛ میانگین ۰٫۸۲ در برابر ⁦−۰٫۳۹⁩) و در اجرای ماهوی تفاوت معناداری نداشتند (F برابر ۱٫۰، p برابر ۰٫۳۰۶). سهم نیمرخ الزامی‑تقلیدی در نهادهای اداری بیشتر بود (χ²(۱) برابر ۱۸٫۵، p کمتر از ۰٫۰۰۱). فرضیهٔ ۵ تأیید شد.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نیمرخ‌های پنهان فشار (میانگین نمرهٔ عاملی استاندارد)</w:t>
      </w:r>
    </w:p>
    <w:tbl>
      <w:tblPr>
        <w:bidiVisual/>
        <w:tblW w:w="7400" w:type="dxa"/>
        <w:jc w:val="center"/>
        <w:tblLayout w:type="fixed"/>
        <w:tblCellMar>
          <w:left w:w="60" w:type="dxa"/>
          <w:right w:w="60" w:type="dxa"/>
        </w:tblCellMar>
      </w:tblPr>
      <w:tblGrid>
        <w:gridCol w:w="2100"/>
        <w:gridCol w:w="650"/>
        <w:gridCol w:w="650"/>
        <w:gridCol w:w="800"/>
        <w:gridCol w:w="800"/>
        <w:gridCol w:w="800"/>
        <w:gridCol w:w="800"/>
        <w:gridCol w:w="800"/>
      </w:tblGrid>
      <w:tr>
        <w:trPr>
          <w:tblHeader/>
        </w:trPr>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نیمرخ</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تعداد</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درصد</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الزامی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هنجاری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تقلیدی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ماهوی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نمادین</w:t>
            </w:r>
          </w:p>
        </w:tc>
      </w:tr>
      <w:tr>
        <w:trPr>
          <w:cantSplit/>
        </w:trPr>
        <w:tc>
          <w:tcPr>
            <w:tcW w:w="2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نیمرخ الف (الزامی‑تقلیدی)</w:t>
            </w:r>
          </w:p>
        </w:tc>
        <w:tc>
          <w:tcPr>
            <w:tcW w:w="6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۱۳۲</w:t>
            </w:r>
          </w:p>
        </w:tc>
        <w:tc>
          <w:tcPr>
            <w:tcW w:w="6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۰٫۸۲</w:t>
            </w:r>
          </w:p>
        </w:tc>
      </w:tr>
      <w:tr>
        <w:trPr>
          <w:cantSplit/>
        </w:trPr>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نیمرخ ب (هنجارمحور)</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۲۸۰</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۶۸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⁦−۰٫۵۰⁩</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r>
    </w:tbl>
    <w:p>
      <w:pPr>
        <w:bidi/>
        <w:spacing w:before="0" w:after="100" w:line="240" w:lineRule="auto"/>
        <w:ind w:firstLine="360"/>
        <w:jc w:val="both"/>
      </w:pPr>
    </w:p>
    <w:p>
      <w:pPr>
        <w:keepNext/>
        <w:jc w:val="center"/>
      </w:pPr>
      <w:r>
        <w:drawing>
          <wp:inline distT="0" distB="0" distL="0" distR="0">
            <wp:extent cx="4860000" cy="2545714"/>
            <wp:docPr id="5" name="Fig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860000" cy="254571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۵. میانگین نمرهٔ عاملی استاندارد متغیرها در نیمرخ‌های پنهان</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استواری ضرایب استاندارد (DWLS بدون اثر متقابل)</w:t>
      </w:r>
    </w:p>
    <w:tbl>
      <w:tblPr>
        <w:bidiVisual/>
        <w:tblW w:w="7700" w:type="dxa"/>
        <w:jc w:val="center"/>
        <w:tblLayout w:type="fixed"/>
        <w:tblCellMar>
          <w:left w:w="60" w:type="dxa"/>
          <w:right w:w="60" w:type="dxa"/>
        </w:tblCellMar>
      </w:tblPr>
      <w:tblGrid>
        <w:gridCol w:w="2500"/>
        <w:gridCol w:w="800"/>
        <w:gridCol w:w="800"/>
        <w:gridCol w:w="1400"/>
        <w:gridCol w:w="1200"/>
        <w:gridCol w:w="10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مبنا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DWLS</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باقی‌مانده‌مرکزشده</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بازمشخص‌شده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حذف ۵ درصد</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ماهوی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ماهوی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نمادین</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۰٫۲۲</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نمادین</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نمادین</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هنجاری ← ماهوی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تقلیدی ← نمادین</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نتایج در برآورد DWLS، شاخص‌های باقی‌مانده‌مرکزشده (CFI برابر ۱٫۰۱۰)، مدل بازمشخص‌شده با چهار همبستگی خطای درون‌سازه‌ای (CFI برابر ۰٫۹۹۶) و پس از حذف ۲۱ مشاهدهٔ دورافتاده از نظر جهت و اندازه پایدار ماند (جدول ۸).</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چرا الزام به هنجار نیاز دارد؟</w:t>
      </w:r>
      <w:r>
        <w:rPr>
          <w:rFonts w:ascii="Times New Roman" w:hAnsi="Times New Roman" w:cs="B Nazanin" w:eastAsia="Times New Roman"/>
          <w:sz w:val="26"/>
          <w:szCs w:val="26"/>
          <w:lang w:val="en-US" w:bidi="fa-IR"/>
        </w:rPr>
        <w:t xml:space="preserve"> الزام تنها می‌گوید «چه باید کرد» و رفتار را قابل‌مشاهده می‌کند؛ این‌که اجرا چه معنایی دارد و با چه کیفیتی انجام شود، از معناسازی حرفه‌ای می‌آید. هنگامی که هنجار حرفه‌ای قوی است، مدیران مالی و ذی‌حسابان الزام را فرصتی برای اعمال استاندارد حرفه‌ای می‌بینند و آن را به تصمیم‌های بودجه‌ای وارد می‌کنند؛ هنگامی که هنجار ضعیف است، الزام به «انجام تکلیف» تقلیل می‌یابد و هیچ اثری بر ماهیت ندارد. به همین دلیل اثر الزام در سطح پایین هنجار صفر بود، نه ضعیف.</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چرا تقلید الزام را به آیین تبدیل می‌کند؟</w:t>
      </w:r>
      <w:r>
        <w:rPr>
          <w:rFonts w:ascii="Times New Roman" w:hAnsi="Times New Roman" w:cs="B Nazanin" w:eastAsia="Times New Roman"/>
          <w:sz w:val="26"/>
          <w:szCs w:val="26"/>
          <w:lang w:val="en-US" w:bidi="fa-IR"/>
        </w:rPr>
        <w:t xml:space="preserve"> تقلید راه ارزان پاسخ‌دادن به الزام است: وقتی قالب آماده و نمونهٔ دستگاه همتا وجود دارد، دستگاه می‌تواند بدون فهم و بدون تغییر در تصمیم‌ها، الزام را برآورده کند. اثر الزام بر انطباق نمادین تنها در حضور تقلید معنادار بود؛ یعنی الزام به‌تنهایی آیین نمی‌آفریند، بلکه الزامِ همراه با قالب آماده آیین می‌آفریند. این یافته به سیاست‌گذار هشدار می‌دهد که توزیع قالب‌های یکسان و آماده را بدون هم‌زمانی با آموزش و بومی‌سازی ایمن نداند.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هم‌زیستی ظاهر و ماهیت.</w:t>
      </w:r>
      <w:r>
        <w:rPr>
          <w:rFonts w:ascii="Times New Roman" w:hAnsi="Times New Roman" w:cs="B Nazanin" w:eastAsia="Times New Roman"/>
          <w:sz w:val="26"/>
          <w:szCs w:val="26"/>
          <w:lang w:val="en-US" w:bidi="fa-IR"/>
        </w:rPr>
        <w:t xml:space="preserve"> همبستگی مثبت باقی‌مانده نشان می‌دهد دستگاه‌هایی که اصلاحات را جدی‌تر می‌گیرند، گزارش‌دهی رسمی را نیز بیشتر انجام می‌دهند. بنابراین سنجش «ظاهر» به‌تنهایی نمی‌تواند شاخص «ماهیت» باشد و باید هر دو جداگانه پایش شوند. این هم‌زیستی با دیدگاه سازمان‌های چندمنطقی {C('greenwood۲۰۱۱')} سازگار است که در آن سازمان‌ها ممکن است هم‌زمان به منطق‌های متفاوت پاسخ دهند.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ناهمگنی میان انواع دستگاه.</w:t>
      </w:r>
      <w:r>
        <w:rPr>
          <w:rFonts w:ascii="Times New Roman" w:hAnsi="Times New Roman" w:cs="B Nazanin" w:eastAsia="Times New Roman"/>
          <w:sz w:val="26"/>
          <w:szCs w:val="26"/>
          <w:lang w:val="en-US" w:bidi="fa-IR"/>
        </w:rPr>
        <w:t xml:space="preserve"> در نهادهای خدماتی و محلی که حرفه‌ها و شبکه‌های حرفه‌ای قوی‌تری دارند، هنجار بیشتر به ماهیت ترجمه می‌شود، و در نهادهای اداری و حاکمیتی که ساختار سلسله‌مراتبی غالب است، الزام نقش اصلی دارد. این تمایز نشان می‌دهد یک سیاست یکسان برای همهٔ دستگاه‌ها بهینه نیست؛ طراحی سیاست باید با پیکربندی دستگاه متناسب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نتیجه‌گیری و پیشنهادها</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این پژوهش نشان داد اثر فشارهای نهادی بر پاسخ دستگاه‌ها «جمع‌پذیر» نیست. نخست، الزام به‌تنهایی نه به ماهیت می‌انجامد و نه به ظاهر؛ معنای آن را سایر فشارها تعیین می‌کنند: با هنجار حرفه‌ای، الزام به اجرای ماهوی می‌رسد (فرضیهٔ ۱) و با الگوی آماده، به انطباق نمادین (فرضیهٔ ۲). این یافته گسترش‌دهندهٔ استدلال میزروچی و فاین (میزروچی و فاین، ۱۹۹۹) و گرینوود و همکاران (گرینوود و همکاران، ۲۰۱۱) دربارهٔ درهم‌تنیدگی فشارها و تمایز کوستووا و راث (کوستووا و راث، ۲۰۰۲) میان پذیرش تشریفاتی و درونی‌سازی است. دوم، اجرای ماهوی و انطباق نمادین با هم زندگی می‌کنند (فرضیهٔ ۳)؛ یعنی کاهش آیین‌گرایی لزوماً به‌معنای افزایش ماهیت نیست و برای هر دو باید هدف جداگانه تعریف کرد. سوم، رابطهٔ هنجار با ماهیت در نهادهای خدماتی و محلی قوی‌تر است (فرضیهٔ ۴)، که هویت حرفه‌ای را به‌عنوان جانشین الزام نشان می‌دهد. چهارم، دستگاه‌ها در دو نیمرخ فشار قرار می‌گیرند که در «ظاهر» تفاوت بزرگ و در «ماهیت» تفاوت چشمگیری ندارند (فرضیهٔ ۵): دستگاه‌های الزامی‑تقلیدی بسیار بیشتر انطباق نمادین نشان می‌دهند، اما میزان اجرای ماهوی آن‌ها از دستگاه‌های هنجارمحور کمتر نیست؛ یعنی هزینهٔ فشار الزامی‑تقلیدی بیشتر در «افزودن ظاهر» است تا «کاستن از ماهیت»، و این با یافتهٔ هم‌زیستی سازگار است.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از نظر نظری، پژوهش با گذار از اثرهای اصلی به پیکربندی، نشان می‌دهد «شدت فشار» مفهوم ناکافی است و باید «ترکیب فشار» را مدل کرد. از نظر روش، ترکیب اثر متقابل پنهان، ناوردایی چندگروهی و نیمرخ پنهان در یک چارچوب، استنباطی فراتر از رگرسیون‌های ساده با نمرات جمع‌شده فراهم می‌کند. پیشنهادهای سیاستی: (۱) هر جا الزام قانونی وضع می‌شود، هم‌زمان زیرساخت هنجاری (آموزش حرفه‌ای، گواهی، شبکهٔ هم‌آموزی) فراهم شود؛ (۲) از ارائهٔ قالب‌های آماده و یکسان بدون راهنمای بومی‌سازی پرهیز شود، زیرا همراه با الزام ظاهر‌سازی را آسان می‌کند؛ (۳) برای نهادهای خدماتی و محلی بر هنجارها و جوامع حرفه‌ای و برای نهادهای اداری بر الزام همراه با نظارت کاربردی تأکید شود؛ (۴) دستگاه‌های الزامی‑تقلیدی هدف نظارت مبتنی بر «استفاده» از گزارش‌ها قرار گیرند؛ (۵) شاخص‌های ظاهر و ماهیت جداگانه پایش شوند.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راهنمای سیاستی بر پایهٔ نیمرخ و نوع نهاد</w:t>
      </w:r>
    </w:p>
    <w:tbl>
      <w:tblPr>
        <w:bidiVisual/>
        <w:tblW w:w="7100" w:type="dxa"/>
        <w:jc w:val="center"/>
        <w:tblLayout w:type="fixed"/>
        <w:tblCellMar>
          <w:left w:w="60" w:type="dxa"/>
          <w:right w:w="60" w:type="dxa"/>
        </w:tblCellMar>
      </w:tblPr>
      <w:tblGrid>
        <w:gridCol w:w="1400"/>
        <w:gridCol w:w="1500"/>
        <w:gridCol w:w="2500"/>
        <w:gridCol w:w="1700"/>
      </w:tblGrid>
      <w:tr>
        <w:trPr>
          <w:tblHeader/>
        </w:trPr>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گروه</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هدف</w:t>
            </w:r>
          </w:p>
        </w:tc>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ابزار پیشنهادی</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نشانگر پایش</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الزامی‑تقلیدی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کاهش انطباق نمادین بدون کاستن از اجرا</w:t>
            </w:r>
          </w:p>
        </w:tc>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نظارت مبتنی بر استفاده از گزارش در تصمیم؛ راهنمای بومی‌سازی قالب‌ها؛ بازنگری شاخص‌های سهل‌الوصول</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نسبت گزارش‌های مورداستفاده در تخصیص به گزارش‌های ارسالی</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هنجارمحور</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تثبیت و گسترش اجرای ماهوی</w:t>
            </w:r>
          </w:p>
        </w:tc>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جوامع هم‌آموزی، گواهی حرفه‌ای، الگوسازی توسط مدیران مالی پیشرو</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کیفیت به‌کارگیری بهای تمام‌شده و اطلاعات تعهدی در بودجه</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دستگاه‌های اداری و حاکمیتی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تبدیل الزام به ماهیت</w:t>
            </w:r>
          </w:p>
        </w:tc>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 بخشنامه با آموزش حرفه‌ای هم‌زمان؛ شاخص‌های ماهیت در ارزیابی عملکرد</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تغییر اثر الزام در سطوح مختلف هنجار</w:t>
            </w:r>
          </w:p>
        </w:tc>
      </w:tr>
      <w:tr>
        <w:trPr>
          <w:cantSplit/>
        </w:trPr>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نهادهای خدماتی و محلی</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بهره‌گیری از هویت حرفه‌ای</w:t>
            </w:r>
          </w:p>
        </w:tc>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تقویت شبکه‌های حرفه‌ای و دانشگاهی؛ کاهش اتکا به قالب‌های آمادهٔ بیرونی</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سهم تصمیم‌های بودجه‌ای مبتنی بر اطلاعات تعهدی</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دلالت‌های نظری.</w:t>
      </w:r>
      <w:r>
        <w:rPr>
          <w:rFonts w:ascii="Times New Roman" w:hAnsi="Times New Roman" w:cs="B Nazanin" w:eastAsia="Times New Roman"/>
          <w:sz w:val="26"/>
          <w:szCs w:val="26"/>
          <w:lang w:val="en-US" w:bidi="fa-IR"/>
        </w:rPr>
        <w:t xml:space="preserve"> نخست، یافته‌ها نشان می‌دهد «فشار نهادی» را نمی‌توان یک شدت واحد دانست؛ ساختار ترکیب (کدام فشار در کنار کدام) پیش‌بینی‌کننده‌تر است. دوم، تمایز اجرای ماهوی و انطباق نمادین به‌عنوان دو سازهٔ هم‌زیست، مفهوم «جدایی» را از یک پیوستار یک‌بعدی (ماهیت ‑ ظاهر) به دو بعد مستقل گسترش می‌دهد؛ یک دستگاه می‌تواند هر دو را هم‌زمان داشته باشد. سوم، اثر متقابل پنهان در مدل کاملاً پنهان خطای اندازه‌گیری را مهار می‌کند و از این رو برآوردها محافظه‌کارانه‌تر از رگرسیون با نمرات جمع‌شده‌اند. چهارم، مقایسهٔ گروهی پس از اثبات ناوردایی نشان می‌دهد تفاوت مسیرها به تفاوت اندازه‌گیری نسبت داده نمی‌شود.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هشدار تفسیری.</w:t>
      </w:r>
      <w:r>
        <w:rPr>
          <w:rFonts w:ascii="Times New Roman" w:hAnsi="Times New Roman" w:cs="B Nazanin" w:eastAsia="Times New Roman"/>
          <w:sz w:val="26"/>
          <w:szCs w:val="26"/>
          <w:lang w:val="en-US" w:bidi="fa-IR"/>
        </w:rPr>
        <w:t xml:space="preserve"> مدل‌ها همبستگی‌های شرطی را نشان می‌دهند و استنباط علّی نیازمند طرح‌های آزمایشی یا طولی است. هم‌چنین چون هر دو پاسخ با گزارش مدیران سنجیده شده، ممکن است مدیران پاسخ نمادین را کمتر از واقع اعلام کنند؛ با این حال ثبات نتایج در بررسی سوگیری روش مشترک و همبستگی مثبت باقی‌مانده دو پاسخ این نگرانی را کاهش می‌دهد.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محدودیت‌ها: طرح مقطعی و خوداظهاری، مقیاس‌های تازه‌ساخته، گروه‌بندی دوگانهٔ نهادها و تعداد کم نیمرخ‌ها. پیشنهاد می‌شود پژوهش‌های آینده از داده‌های چندمنبعی و عینی، طرح‌های طولی و آزمایش‌های میدانی (برای نمونه تغییر دادن هم‌زمان الزام و آموزش) استفاده کنند، اثر متقابل سه‌گانهٔ فشارها و نقش رهبری و ظرفیت سازمانی را بیازمایند و مقایسهٔ میان‌کشوری انجام دهند.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40" w:line="240" w:lineRule="auto"/>
        <w:jc w:val="both"/>
      </w:pPr>
      <w:r>
        <w:rPr>
          <w:rFonts w:ascii="Times New Roman" w:hAnsi="Times New Roman" w:cs="B Nazanin" w:eastAsia="Times New Roman"/>
          <w:sz w:val="24"/>
          <w:szCs w:val="24"/>
          <w:lang w:val="en-US" w:bidi="fa-IR"/>
        </w:rPr>
        <w:t xml:space="preserve">احمدی، غلامرضا؛ ناظمی، امین و نمازی، نویدرضا (۱۴۰۲). شناسایی سازه‌های اثرگذار بر میزان اجرای بودجه‌ریزی مبتنی بر عملکرد با تأکید بر نظریهٔ شبکهٔ کنشگران. پیشرفت‌های حسابداری، ۱۴(۲)، ۱-۳۷.</w:t>
      </w:r>
    </w:p>
    <w:p>
      <w:pPr>
        <w:bidi/>
        <w:spacing w:before="0" w:after="40" w:line="240" w:lineRule="auto"/>
        <w:jc w:val="both"/>
      </w:pPr>
      <w:r>
        <w:rPr>
          <w:rFonts w:ascii="Times New Roman" w:hAnsi="Times New Roman" w:cs="B Nazanin" w:eastAsia="Times New Roman"/>
          <w:sz w:val="24"/>
          <w:szCs w:val="24"/>
          <w:lang w:val="en-US" w:bidi="fa-IR"/>
        </w:rPr>
        <w:t xml:space="preserve">ناروئی، عبدالرحمان؛ مؤمنی، علیرضا و گرد، عزیز (۱۳۹۹). تدوین و ارزیابی مدل مطلوب نظام حسابداری تعهدی در بخش عمومی (مطالعهٔ موردی: مدیران و ذی‌حسابان دستگاه‌های اجرایی). حسابداری دولتی، ۶(۲)، ۴۷-۶۰.</w:t>
      </w:r>
    </w:p>
    <w:p>
      <w:pPr>
        <w:bidi/>
        <w:spacing w:before="0" w:after="40" w:line="240" w:lineRule="auto"/>
        <w:jc w:val="both"/>
      </w:pPr>
      <w:r>
        <w:rPr>
          <w:rFonts w:ascii="Times New Roman" w:hAnsi="Times New Roman" w:cs="B Nazanin" w:eastAsia="Times New Roman"/>
          <w:sz w:val="24"/>
          <w:szCs w:val="24"/>
          <w:lang w:val="en-US" w:bidi="fa-IR"/>
        </w:rPr>
        <w:t xml:space="preserve">نورانی، حسین و اخلاقی یزدی‌نژاد، اسماعیل (۱۴۰۲). ارائهٔ الگوی رفع چالش‌ها و تنگناهای استانداردهای حسابداری بخش عمومی با استفاده از نظریهٔ داده‌بنیاد. حسابداری دولتی، ۹(۱۸)، ۱۵۱-۱۶۸.</w:t>
      </w:r>
    </w:p>
    <w:p>
      <w:pPr>
        <w:bidi/>
        <w:spacing w:before="0" w:after="40" w:line="240" w:lineRule="auto"/>
        <w:jc w:val="both"/>
      </w:pPr>
      <w:r>
        <w:rPr>
          <w:rFonts w:ascii="Times New Roman" w:hAnsi="Times New Roman" w:cs="B Nazanin" w:eastAsia="Times New Roman"/>
          <w:sz w:val="24"/>
          <w:szCs w:val="24"/>
          <w:lang w:val="en-US" w:bidi="fa-IR"/>
        </w:rPr>
        <w:t xml:space="preserve">پورغفار، جواد؛ محمدزاده سالطه، حیدر؛ زینالی، مهدی و مهرانی، ساسان (۱۴۰۱). الگوی بودجه‌ریزی بر مبنای عملکرد با رویکرد گزارشگری مالی بهنگام در بخش عمومی ایران. حسابداری دولتی، ۸(۲)، ۲۱-۳۶.</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Brignall, S., &amp; Modell, S. (2000). An institutional perspective on performance measurement and management in the “new public sector”. </w:t>
      </w:r>
      <w:r>
        <w:rPr>
          <w:rFonts w:ascii="Times New Roman" w:hAnsi="Times New Roman" w:cs="Times New Roman" w:eastAsia="Times New Roman"/>
          <w:i/>
          <w:iCs/>
          <w:sz w:val="22"/>
          <w:szCs w:val="22"/>
          <w:lang w:val="en-US" w:bidi="fa-IR"/>
        </w:rPr>
        <w:t xml:space="preserve">Management Accounting Research, 11</w:t>
      </w:r>
      <w:r>
        <w:rPr>
          <w:rFonts w:ascii="Times New Roman" w:hAnsi="Times New Roman" w:cs="Times New Roman" w:eastAsia="Times New Roman"/>
          <w:sz w:val="22"/>
          <w:szCs w:val="22"/>
          <w:lang w:val="en-US" w:bidi="fa-IR"/>
        </w:rPr>
        <w:t xml:space="preserve">(3), 281–306. https://doi.org/10.1006/mare.2000.0136</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Bromley, P., &amp; Powell, W. W. (2012). From smoke and mirrors to walking the talk: Decoupling in the contemporary world. </w:t>
      </w:r>
      <w:r>
        <w:rPr>
          <w:rFonts w:ascii="Times New Roman" w:hAnsi="Times New Roman" w:cs="Times New Roman" w:eastAsia="Times New Roman"/>
          <w:i/>
          <w:iCs/>
          <w:sz w:val="22"/>
          <w:szCs w:val="22"/>
          <w:lang w:val="en-US" w:bidi="fa-IR"/>
        </w:rPr>
        <w:t xml:space="preserve">Academy of Management Annals, 6</w:t>
      </w:r>
      <w:r>
        <w:rPr>
          <w:rFonts w:ascii="Times New Roman" w:hAnsi="Times New Roman" w:cs="Times New Roman" w:eastAsia="Times New Roman"/>
          <w:sz w:val="22"/>
          <w:szCs w:val="22"/>
          <w:lang w:val="en-US" w:bidi="fa-IR"/>
        </w:rPr>
        <w:t xml:space="preserve">(1), 483–530. https://doi.org/10.5465/19416520.2012.684462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Chen, F. F. (2007). Sensitivity of goodness of fit indexes to lack of measurement invariance. </w:t>
      </w:r>
      <w:r>
        <w:rPr>
          <w:rFonts w:ascii="Times New Roman" w:hAnsi="Times New Roman" w:cs="Times New Roman" w:eastAsia="Times New Roman"/>
          <w:i/>
          <w:iCs/>
          <w:sz w:val="22"/>
          <w:szCs w:val="22"/>
          <w:lang w:val="en-US" w:bidi="fa-IR"/>
        </w:rPr>
        <w:t xml:space="preserve">Structural Equation Modeling, 14</w:t>
      </w:r>
      <w:r>
        <w:rPr>
          <w:rFonts w:ascii="Times New Roman" w:hAnsi="Times New Roman" w:cs="Times New Roman" w:eastAsia="Times New Roman"/>
          <w:sz w:val="22"/>
          <w:szCs w:val="22"/>
          <w:lang w:val="en-US" w:bidi="fa-IR"/>
        </w:rPr>
        <w:t xml:space="preserve">(3), 464–504. https://doi.org/10.1080/10705510701301834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Cheung, G. W., &amp; Rensvold, R. B. (2002). Evaluating goodness-of-fit indexes for testing measurement invariance. </w:t>
      </w:r>
      <w:r>
        <w:rPr>
          <w:rFonts w:ascii="Times New Roman" w:hAnsi="Times New Roman" w:cs="Times New Roman" w:eastAsia="Times New Roman"/>
          <w:i/>
          <w:iCs/>
          <w:sz w:val="22"/>
          <w:szCs w:val="22"/>
          <w:lang w:val="en-US" w:bidi="fa-IR"/>
        </w:rPr>
        <w:t xml:space="preserve">Structural Equation Modeling, 9</w:t>
      </w:r>
      <w:r>
        <w:rPr>
          <w:rFonts w:ascii="Times New Roman" w:hAnsi="Times New Roman" w:cs="Times New Roman" w:eastAsia="Times New Roman"/>
          <w:sz w:val="22"/>
          <w:szCs w:val="22"/>
          <w:lang w:val="en-US" w:bidi="fa-IR"/>
        </w:rPr>
        <w:t xml:space="preserve">(2), 233–255. https://doi.org/10.1207/S15328007SEM0902_5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Christiaens, J., Reyniers, B., &amp; Rollé, C. (2010). Impact of IPSAS on reforming governmental financial information systems: A comparative study. </w:t>
      </w:r>
      <w:r>
        <w:rPr>
          <w:rFonts w:ascii="Times New Roman" w:hAnsi="Times New Roman" w:cs="Times New Roman" w:eastAsia="Times New Roman"/>
          <w:i/>
          <w:iCs/>
          <w:sz w:val="22"/>
          <w:szCs w:val="22"/>
          <w:lang w:val="en-US" w:bidi="fa-IR"/>
        </w:rPr>
        <w:t xml:space="preserve">International Review of Administrative Sciences, 76</w:t>
      </w:r>
      <w:r>
        <w:rPr>
          <w:rFonts w:ascii="Times New Roman" w:hAnsi="Times New Roman" w:cs="Times New Roman" w:eastAsia="Times New Roman"/>
          <w:sz w:val="22"/>
          <w:szCs w:val="22"/>
          <w:lang w:val="en-US" w:bidi="fa-IR"/>
        </w:rPr>
        <w:t xml:space="preserve">(3), 537–554. https://doi.org/10.1177/0020852310372450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Christiaens, J., Vanhee, C., Manes-Rossi, F., Aversano, N., &amp; Van Cauwenberge, P. (2015). The effect of IPSAS on reforming governmental financial reporting: An international comparison. </w:t>
      </w:r>
      <w:r>
        <w:rPr>
          <w:rFonts w:ascii="Times New Roman" w:hAnsi="Times New Roman" w:cs="Times New Roman" w:eastAsia="Times New Roman"/>
          <w:i/>
          <w:iCs/>
          <w:sz w:val="22"/>
          <w:szCs w:val="22"/>
          <w:lang w:val="en-US" w:bidi="fa-IR"/>
        </w:rPr>
        <w:t xml:space="preserve">International Review of Administrative Sciences, 81</w:t>
      </w:r>
      <w:r>
        <w:rPr>
          <w:rFonts w:ascii="Times New Roman" w:hAnsi="Times New Roman" w:cs="Times New Roman" w:eastAsia="Times New Roman"/>
          <w:sz w:val="22"/>
          <w:szCs w:val="22"/>
          <w:lang w:val="en-US" w:bidi="fa-IR"/>
        </w:rPr>
        <w:t xml:space="preserve">(1), 158–177. https://doi.org/10.1177/0020852314546580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Greenwood, R., Raynard, M., Kodeih, F., Micelotta, E. R., &amp; Lounsbury, M. (2011). Institutional complexity and organizational responses. </w:t>
      </w:r>
      <w:r>
        <w:rPr>
          <w:rFonts w:ascii="Times New Roman" w:hAnsi="Times New Roman" w:cs="Times New Roman" w:eastAsia="Times New Roman"/>
          <w:i/>
          <w:iCs/>
          <w:sz w:val="22"/>
          <w:szCs w:val="22"/>
          <w:lang w:val="en-US" w:bidi="fa-IR"/>
        </w:rPr>
        <w:t xml:space="preserve">Academy of Management Annals, 5</w:t>
      </w:r>
      <w:r>
        <w:rPr>
          <w:rFonts w:ascii="Times New Roman" w:hAnsi="Times New Roman" w:cs="Times New Roman" w:eastAsia="Times New Roman"/>
          <w:sz w:val="22"/>
          <w:szCs w:val="22"/>
          <w:lang w:val="en-US" w:bidi="fa-IR"/>
        </w:rPr>
        <w:t xml:space="preserve">(1), 317–371. https://doi.org/10.1080/19416520.2011.590299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Kostova, T., &amp; Roth, K. (2002). Adoption of an organizational practice by subsidiaries of multinational corporations: Institutional and relational effects. </w:t>
      </w:r>
      <w:r>
        <w:rPr>
          <w:rFonts w:ascii="Times New Roman" w:hAnsi="Times New Roman" w:cs="Times New Roman" w:eastAsia="Times New Roman"/>
          <w:i/>
          <w:iCs/>
          <w:sz w:val="22"/>
          <w:szCs w:val="22"/>
          <w:lang w:val="en-US" w:bidi="fa-IR"/>
        </w:rPr>
        <w:t xml:space="preserve">Academy of Management Journal, 45</w:t>
      </w:r>
      <w:r>
        <w:rPr>
          <w:rFonts w:ascii="Times New Roman" w:hAnsi="Times New Roman" w:cs="Times New Roman" w:eastAsia="Times New Roman"/>
          <w:sz w:val="22"/>
          <w:szCs w:val="22"/>
          <w:lang w:val="en-US" w:bidi="fa-IR"/>
        </w:rPr>
        <w:t xml:space="preserve">(1), 215–233. https://doi.org/10.5465/3069293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https://doi.org/10.1111/j.1744-6570.1975.tb01393.x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Meyer, J. W., &amp; Rowan, B. (1977). Institutionalized organizations: Formal structure as myth and ceremony. </w:t>
      </w:r>
      <w:r>
        <w:rPr>
          <w:rFonts w:ascii="Times New Roman" w:hAnsi="Times New Roman" w:cs="Times New Roman" w:eastAsia="Times New Roman"/>
          <w:i/>
          <w:iCs/>
          <w:sz w:val="22"/>
          <w:szCs w:val="22"/>
          <w:lang w:val="en-US" w:bidi="fa-IR"/>
        </w:rPr>
        <w:t xml:space="preserve">American Journal of Sociology, 83</w:t>
      </w:r>
      <w:r>
        <w:rPr>
          <w:rFonts w:ascii="Times New Roman" w:hAnsi="Times New Roman" w:cs="Times New Roman" w:eastAsia="Times New Roman"/>
          <w:sz w:val="22"/>
          <w:szCs w:val="22"/>
          <w:lang w:val="en-US" w:bidi="fa-IR"/>
        </w:rPr>
        <w:t xml:space="preserve">(2), 340–363. https://doi.org/10.1086/226550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Mizruchi, M. S., &amp; Fein, L. C. (1999). The social construction of organizational knowledge: A study of the uses of coercive, mimetic, and normative isomorphism. </w:t>
      </w:r>
      <w:r>
        <w:rPr>
          <w:rFonts w:ascii="Times New Roman" w:hAnsi="Times New Roman" w:cs="Times New Roman" w:eastAsia="Times New Roman"/>
          <w:i/>
          <w:iCs/>
          <w:sz w:val="22"/>
          <w:szCs w:val="22"/>
          <w:lang w:val="en-US" w:bidi="fa-IR"/>
        </w:rPr>
        <w:t xml:space="preserve">Administrative Science Quarterly, 44</w:t>
      </w:r>
      <w:r>
        <w:rPr>
          <w:rFonts w:ascii="Times New Roman" w:hAnsi="Times New Roman" w:cs="Times New Roman" w:eastAsia="Times New Roman"/>
          <w:sz w:val="22"/>
          <w:szCs w:val="22"/>
          <w:lang w:val="en-US" w:bidi="fa-IR"/>
        </w:rPr>
        <w:t xml:space="preserve">(4), 653–683. https://doi.org/10.2307/2667051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Modell, S. (2009). Institutional research on performance measurement and management in the public sector accounting literature: A review and assessment. </w:t>
      </w:r>
      <w:r>
        <w:rPr>
          <w:rFonts w:ascii="Times New Roman" w:hAnsi="Times New Roman" w:cs="Times New Roman" w:eastAsia="Times New Roman"/>
          <w:i/>
          <w:iCs/>
          <w:sz w:val="22"/>
          <w:szCs w:val="22"/>
          <w:lang w:val="en-US" w:bidi="fa-IR"/>
        </w:rPr>
        <w:t xml:space="preserve">Financial Accountability &amp; Management, 25</w:t>
      </w:r>
      <w:r>
        <w:rPr>
          <w:rFonts w:ascii="Times New Roman" w:hAnsi="Times New Roman" w:cs="Times New Roman" w:eastAsia="Times New Roman"/>
          <w:sz w:val="22"/>
          <w:szCs w:val="22"/>
          <w:lang w:val="en-US" w:bidi="fa-IR"/>
        </w:rPr>
        <w:t xml:space="preserve">(3), 277–303. https://doi.org/10.1111/j.1468-0408.2009.00478.x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Moore, M. H. (1995). </w:t>
      </w:r>
      <w:r>
        <w:rPr>
          <w:rFonts w:ascii="Times New Roman" w:hAnsi="Times New Roman" w:cs="Times New Roman" w:eastAsia="Times New Roman"/>
          <w:i/>
          <w:iCs/>
          <w:sz w:val="22"/>
          <w:szCs w:val="22"/>
          <w:lang w:val="en-US" w:bidi="fa-IR"/>
        </w:rPr>
        <w:t xml:space="preserve">Creating public value: Strategic management in government</w:t>
      </w:r>
      <w:r>
        <w:rPr>
          <w:rFonts w:ascii="Times New Roman" w:hAnsi="Times New Roman" w:cs="Times New Roman" w:eastAsia="Times New Roman"/>
          <w:sz w:val="22"/>
          <w:szCs w:val="22"/>
          <w:lang w:val="en-US" w:bidi="fa-IR"/>
        </w:rPr>
        <w:t xml:space="preserve">. Cambridge, MA: Harvard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(2008). </w:t>
      </w:r>
      <w:r>
        <w:rPr>
          <w:rFonts w:ascii="Times New Roman" w:hAnsi="Times New Roman" w:cs="Times New Roman" w:eastAsia="Times New Roman"/>
          <w:i/>
          <w:iCs/>
          <w:sz w:val="22"/>
          <w:szCs w:val="22"/>
          <w:lang w:val="en-US" w:bidi="fa-IR"/>
        </w:rPr>
        <w:t xml:space="preserve">The dynamics of performance management: Constructing information and reform</w:t>
      </w:r>
      <w:r>
        <w:rPr>
          <w:rFonts w:ascii="Times New Roman" w:hAnsi="Times New Roman" w:cs="Times New Roman" w:eastAsia="Times New Roman"/>
          <w:sz w:val="22"/>
          <w:szCs w:val="22"/>
          <w:lang w:val="en-US" w:bidi="fa-IR"/>
        </w:rPr>
        <w:t xml:space="preserve">. Washington, DC: Georgetown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&amp; Pandey, S. K. (2010). The big question for performance management: Why do managers use performance information? </w:t>
      </w:r>
      <w:r>
        <w:rPr>
          <w:rFonts w:ascii="Times New Roman" w:hAnsi="Times New Roman" w:cs="Times New Roman" w:eastAsia="Times New Roman"/>
          <w:i/>
          <w:iCs/>
          <w:sz w:val="22"/>
          <w:szCs w:val="22"/>
          <w:lang w:val="en-US" w:bidi="fa-IR"/>
        </w:rPr>
        <w:t xml:space="preserve">Journal of Public Administration Research and Theory, 20</w:t>
      </w:r>
      <w:r>
        <w:rPr>
          <w:rFonts w:ascii="Times New Roman" w:hAnsi="Times New Roman" w:cs="Times New Roman" w:eastAsia="Times New Roman"/>
          <w:sz w:val="22"/>
          <w:szCs w:val="22"/>
          <w:lang w:val="en-US" w:bidi="fa-IR"/>
        </w:rPr>
        <w:t xml:space="preserve">(4), 849–866. https://doi.org/10.1093/jopart/muq004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Pina, V., Torres, L., &amp; Yetano, A. (2009). Accrual accounting in EU local governments: One method, several approaches. </w:t>
      </w:r>
      <w:r>
        <w:rPr>
          <w:rFonts w:ascii="Times New Roman" w:hAnsi="Times New Roman" w:cs="Times New Roman" w:eastAsia="Times New Roman"/>
          <w:i/>
          <w:iCs/>
          <w:sz w:val="22"/>
          <w:szCs w:val="22"/>
          <w:lang w:val="en-US" w:bidi="fa-IR"/>
        </w:rPr>
        <w:t xml:space="preserve">European Accounting Review, 18</w:t>
      </w:r>
      <w:r>
        <w:rPr>
          <w:rFonts w:ascii="Times New Roman" w:hAnsi="Times New Roman" w:cs="Times New Roman" w:eastAsia="Times New Roman"/>
          <w:sz w:val="22"/>
          <w:szCs w:val="22"/>
          <w:lang w:val="en-US" w:bidi="fa-IR"/>
        </w:rPr>
        <w:t xml:space="preserve">(4), 765–807. https://doi.org/10.1080/09638180902863792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Pollitt, C., &amp; Bouckaert, G. (2017). </w:t>
      </w:r>
      <w:r>
        <w:rPr>
          <w:rFonts w:ascii="Times New Roman" w:hAnsi="Times New Roman" w:cs="Times New Roman" w:eastAsia="Times New Roman"/>
          <w:i/>
          <w:iCs/>
          <w:sz w:val="22"/>
          <w:szCs w:val="22"/>
          <w:lang w:val="en-US" w:bidi="fa-IR"/>
        </w:rPr>
        <w:t xml:space="preserve">Public management reform: A comparative analysis – into the age of austerity</w:t>
      </w:r>
      <w:r>
        <w:rPr>
          <w:rFonts w:ascii="Times New Roman" w:hAnsi="Times New Roman" w:cs="Times New Roman" w:eastAsia="Times New Roman"/>
          <w:sz w:val="22"/>
          <w:szCs w:val="22"/>
          <w:lang w:val="en-US" w:bidi="fa-IR"/>
        </w:rPr>
        <w:t xml:space="preserve"> (4th ed.). Oxford, UK: Oxford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Spurk, D., Hirschi, A., Wang, M., Valero, D., &amp; Kauffeld, S. (2020). Latent profile analysis: A review and “how to” guide of its application within vocational behavior research. </w:t>
      </w:r>
      <w:r>
        <w:rPr>
          <w:rFonts w:ascii="Times New Roman" w:hAnsi="Times New Roman" w:cs="Times New Roman" w:eastAsia="Times New Roman"/>
          <w:i/>
          <w:iCs/>
          <w:sz w:val="22"/>
          <w:szCs w:val="22"/>
          <w:lang w:val="en-US" w:bidi="fa-IR"/>
        </w:rPr>
        <w:t xml:space="preserve">Journal of Vocational Behavior, 120</w:t>
      </w:r>
      <w:r>
        <w:rPr>
          <w:rFonts w:ascii="Times New Roman" w:hAnsi="Times New Roman" w:cs="Times New Roman" w:eastAsia="Times New Roman"/>
          <w:sz w:val="22"/>
          <w:szCs w:val="22"/>
          <w:lang w:val="en-US" w:bidi="fa-IR"/>
        </w:rPr>
        <w:t xml:space="preserve">, 103445. https://doi.org/10.1016/j.jvb.2020.103445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Pollitt &amp; Bouckaert</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Christiaens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Meyer &amp; Rowan</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Brignall &amp; Modell</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Ahmadi, Nazemi, &amp; Namazi</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Nourani &amp; Akhlaghi Yazdinejad</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DiMaggio &amp; Powell</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Mizruchi &amp; Fein</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Greenwood et al.</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Scott</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Oliver</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Kostova &amp; Roth</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Bromley &amp; Powell</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Modell</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Naroui, Momeni, &amp; Gerd</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Pourghaffar et al.</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Pina, Torres, &amp; Yetano</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Christiaens, Reyniers, &amp; Rollé</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Moynihan &amp; Pandey</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Teo, Wei, &amp; Benbasat</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Lawshe</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MacCallum, Browne, &amp; Sugawara</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Igolkina &amp; Meshcheryakov</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Marsh, Wen, &amp; Hau</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Little, Bovaird, &amp; Widaman</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Preacher &amp; Hayes</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Cheung &amp; Rensvold</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Chen</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Spurk et al.</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Hu &amp; Bentler</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Fornell &amp; Larcker</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Henseler, Ringle, &amp; Sarstedt</w:t>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