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 text and Part 2 is the researcher appendix; the grey notes under each instrument (source, scoring, direct and reverse items, status) and the Part 2 appendix must not be shown to respondents. Most instruments are verbatim from published papers, and the status of each is given in the note beneath it. Only Situation 1, the marker items and items DB6, DB7 and PN6 are researcher-made. Empty slots are marked as needing verification.</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[34–38]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(Tables II and IV) | Scoring: BT1 (5 = very easy … 1 = impossible), BT2 and BT3 (nearly always = 5 … never = 1); the original paper calls the average/sum of the three questions budget attainability (alpha = .85; correlations .64–.67; sum 3–15, higher = easier). For budget pressure reverse the score (6 − mean). FI1–FI3 (1 = not at all … 5 = very great) are analysed separately; FI3 = influence of clients' expected fees. | All items are direct (attainability direction). | Status: verified; last year → reference engagement is an adaptation; BT3 is sensitive.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(1 = very inaccurate … 7 = very accurate). Recode reverse items as (8 − response) and average the 7 items; higher = more psychological safety. | Direct: TS2, TS4, TS6, TS7. | Reverse: TS1, TS3, TS5. | Team level: mean of the other members (leave-one-out). | Status: verified against the paper's appendix; team → audit team is an adaptation.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same 7-point scale; mean of 3 items; higher = clearer direction. | Direct: CD1, CD2, CD3. | Reverse: none. | Status: verified against the appendix (Clear direction).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mean of 7 items; higher = more team learning behavior. | Direct: TL1, TL3, TL4, TL5, TL6, TL7. | Reverse: TL2 is probably reverse (it says differences are handled privately or off-line rather than as a group), but the appendix text shows no reverse mark. | Status: needs checking in the paper; the text of TL4 was cut off by an ellipsis in your source.</w:t>
            </w:r>
          </w:p>
        </w:tc>
      </w:tr>
    </w:tbl>
    <w:p>
      <w:pPr>
        <w:spacing w:after="80"/>
      </w:pPr>
    </w:p>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mean of 5 items after recoding; higher = better performance. | Direct: TP3. | Reverse: TP1, TP2, TP4, TP5 (negatively worded, so strong agreement = worse performance), but the appendix text shows no reverse mark. | Status: needs checking in the paper. This is a team outcome, not Lencioni's results orientation.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Stewart, V. R., Snyder, D. G., &amp; Kou, C.-Y. (2023). We hold ourselves accountable: A relational view of team accountability. Journal of Business Ethics, 183, 691–712. https://doi.org/10.1007/s10551-021-04969-z | Scoring: 7-point (1 = strongly disagree … 7 = strongly agree); mean of 8 items; higher = more team accountability; for avoidance of accountability read the composite in reverse (8 − mean). | Direct: all TAQ1–TAQ8. | Reverse: none. | Alpha in the paper = .90 (n = 70). | Status: verified against Table 1; items were not reworded.</w:t>
            </w:r>
          </w:p>
        </w:tc>
      </w:tr>
    </w:tbl>
    <w:p>
      <w:pPr>
        <w:spacing w:after="80"/>
      </w:pPr>
    </w:p>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5-point (1 = never … 5 = always); mean of 3 items; higher = more coaching. | Direct: LC1, LC2, LC3. | Reverse: none. | Status: verified against the appendix (Team leader coaching); middle labels not given.</w:t>
            </w:r>
          </w:p>
        </w:tc>
      </w:tr>
    </w:tbl>
    <w:p>
      <w:pPr>
        <w:spacing w:after="80"/>
      </w:pPr>
    </w:p>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Scoring: conflict norms (alpha = .74), 7 items; response format not given in the text (5-point agreement assumed; to be checked). Average after recoding; higher = more openness to conflict. | Direct: CN1, CN5, CN6. | Reverse (asterisked in the paper): CN2, CN3, CN4, CN7. | Status: text of 7 items verified; recheck the reverse direction of CN3.</w:t>
            </w:r>
          </w:p>
        </w:tc>
      </w:tr>
    </w:tbl>
    <w:p>
      <w:pPr>
        <w:spacing w:after="80"/>
      </w:pPr>
    </w:p>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5-point (1 = None … 5 = A lot); mean of 4 items; higher = more relationship conflict. The paper had 8 items on the presence of conflict (4 relationship, alpha = .92; 4 task, alpha = .87); only the 4 relationship items are used. | Direct: RC1–RC4. | Reverse: none. | Status: scale and alpha verified; the item text comes from your report, not from Table 1.</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 inattention to collective results — item slots left empty (needs verification)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dimension. The slots are deliberately left empty; no researcher-made or ill-fitting substitute has been put in them. Candidates searched whose item text was not available to me: the Effort subscale of Hoegl and Gemuenden (2001, Organization Science 12(4), 435–449, DOI 10.1287/orsc.12.4.435.10635; the items should be in the paper appendix) and the cooperative-goals scale of Alper, Tjosvold and Law (2000, Personnel Psychology). Considered and set aside: the Group Orientation Scale (an individual trait). Bring the appendix items of Hoegl and Gemuenden so the slots can be filled.</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not determined | Scoring: not determined (after an instrument is found) | Direct/reverse: not determined | Status: needs verification. Rows NR1–NR3 are only placeholders; the real number of items is unknown.</w:t>
            </w:r>
          </w:p>
        </w:tc>
      </w:tr>
    </w:tbl>
    <w:p>
      <w:pPr>
        <w:spacing w:after="80"/>
      </w:pPr>
    </w:p>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goal similarity (GS1–GS3, alpha = .83), conflict resolution (CR1–CR3, alpha = .84), liking (LK1–LK4, alpha = .73); average each scale. | Direct: GS1–GS3, CR1–CR3, LK1, LK2, LK4. | Reverse: LK3. | The response format of these three scales is not given in the paper text (5-point agreement assumed) — needs checking.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Scoring: 7-point (1 = strongly disagree … 7 = strongly agree); average the 6 items of each component after recoding (8 − response). Components: occupation (affective OC, continuance OCC, normative ONM) and organization (affective AC, continuance ACC, normative ANM). | Reverse: OC2, OC4, OC5; OCC5; ONM2; AC3, AC4, AC5; ANM1. | Direct: all other items. | Status: text and keys verified against Table 3; nursing → auditing is an adaptation.</w:t>
            </w:r>
          </w:p>
        </w:tc>
      </w:tr>
    </w:tbl>
    <w:p>
      <w:pPr>
        <w:spacing w:after="80"/>
      </w:pPr>
    </w:p>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(work-related burnout): convert answers to 100 / 75 / 50 / 25 / 0 (Always or To a very high degree = 100 … Never/almost never or To a very low degree = 0; i.e. (response 1–5 − 1) × 25). Mean of the 7 items = 0–100; higher = more burnout; alpha in the paper = .87. | Response type: EX1–EX3 intensity, EX4–EX7 frequency. | Direct: EX1–EX6. | Reverse: EX7 (100 − score). | Status: text and response types verified against Table II of the paper. The subscale is called work-related burnout, not emotional exhaustion.</w:t>
            </w:r>
          </w:p>
        </w:tc>
      </w:tr>
    </w:tbl>
    <w:p>
      <w:pPr>
        <w:spacing w:after="80"/>
      </w:pPr>
    </w:p>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(client-related burnout): same 0–100 conversion; mean of 6 items; higher = more burnout; alpha in the paper = .85. | Response type: CB1–CB4 intensity, CB5–CB6 frequency. | Direct: CB1–CB6. | Reverse: none. | Status: verified against Table II.</w:t>
            </w:r>
          </w:p>
        </w:tc>
      </w:tr>
    </w:tbl>
    <w:p>
      <w:pPr>
        <w:spacing w:after="80"/>
      </w:pPr>
    </w:p>
    <w:p>
      <w:pPr>
        <w:spacing w:after="80"/>
      </w:pPr>
    </w:p>
    <w:p>
      <w:pPr>
        <w:bidi w:val="false"/>
        <w:spacing w:after="100" w:line="300"/>
      </w:pPr>
      <w:r>
        <w:rPr>
          <w:rFonts w:ascii="Arial" w:cs="Arial" w:eastAsia="Arial" w:hAnsi="Arial"/>
          <w:b/>
          <w:bCs/>
          <w:sz w:val="20"/>
          <w:szCs w:val="20"/>
          <w:rtl w:val="false"/>
        </w:rPr>
        <w:t xml:space="preserve">Intention to leave the profession and the firm (adapted from Meyer, Allen &amp; Smith, 1993; wording follows the description in the paper, not verbatim text). Frequency questions: 1 = never … 7 = always; likelihood questions: 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do you think about getting out of auditing? (frequency)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explore other career opportunities?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leave the auditing profession within the next year?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do you think about leaving your current employer? (frequency)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search for a job in another organization?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actually leave the organization within the next year?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 Scoring: 7-point, appropriately labelled; mean of 3 items for each scale (ITLP = leaving the profession, ITLO = leaving the organization); higher = stronger intention to leave. | Direct: all 6 items. | Reverse: none. | Status: the paper gives only a description of the three items (frequency of thinking about leaving, likelihood of exploring other opportunities or searching for a job, likelihood of leaving within the next year); the Persian and English wording and the middle labels are ours. Needs checking.</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Moore, C., Detert, J. R., Treviño, L. K., Baker, V. L., &amp; Mayer, D. M. (2012). Why employees do bad things: Moral disengagement and unethical organizational behavior. Personnel Psychology, 65(1), 1–48. https://doi.org/10.1111/j.1744-6570.2011.01237.x | Scoring: 7-point (1 = strongly disagree … 7 = strongly agree); mean of 8 items; higher = greater propensity to morally disengage. | Direct: all MD1–MD8 (items are worded as justifying statements). | Reverse: none. | Each item taps one Bandura mechanism (MD1 moral justification, MD2 euphemistic labelling, MD3 advantageous comparison, MD4 displacement of responsibility, MD5 diffusion of responsibility, MD6 distortion of consequences, MD7 dehumanization, MD8 attribution of blame). | Status: text verified against Appendix A.</w:t>
            </w:r>
          </w:p>
        </w:tc>
      </w:tr>
    </w:tbl>
    <w:p>
      <w:pPr>
        <w:spacing w:after="80"/>
      </w:pPr>
    </w:p>
    <w:p>
      <w:pPr>
        <w:spacing w:after="80"/>
      </w:pPr>
    </w:p>
    <w:p>
      <w:pPr>
        <w:spacing w:after="80"/>
      </w:pPr>
    </w:p>
    <w:p>
      <w:pPr>
        <w:bidi w:val="false"/>
        <w:spacing w:after="100" w:line="300"/>
      </w:pPr>
      <w:r>
        <w:rPr>
          <w:rFonts w:ascii="Arial" w:cs="Arial" w:eastAsia="Arial" w:hAnsi="Arial"/>
          <w:b/>
          <w:bCs/>
          <w:sz w:val="20"/>
          <w:szCs w:val="20"/>
          <w:rtl w:val="false"/>
        </w:rPr>
        <w:t xml:space="preserve">Other outcomes and attitudes from Meyer, Allen &amp; Smith (1993). Only the example items quoted in the paper are included; the other items were not available in the text, so those slots are left empty and marked as needing verification.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I see ways that audit quality can be improved I generally try to bring it to the attention of my superiors.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voice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LY1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trust the judgment of the decision-makers in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LY2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loyalty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NG1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get so frustrated at times with the way things get done in this organization that I just stop caring.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NG2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neglect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my own work is completed, I try to help other auditors who may have a particularly heavy load.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my work load gets particularly heavy, I work extra hours (e.g., through breaks or lunch, overtime) without pay to get things done on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[fifth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things in life that one ought to do whether he/she likes it or not.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obligated to live up to the expectations of those who have helped me along the way.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[fifth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(Quinn &amp; Staines) — text not available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(voice, loyalty, neglect after Hirschman, A. O. (1970). Exit, voice, and loyalty. Harvard University Press, and Farrell, D. (1983). Exit, voice, loyalty, and neglect as responses to job dissatisfaction. Academy of Management Journal, 26(4), 596–607; citizenship after Organ, D. W. (1987). Organizational citizenship behavior: The good soldier syndrome. Lexington Books; Facet-Free job satisfaction from Quinn, R. P., &amp; Staines, G. L. (1979). The 1977 Quality of Employment Survey. Institute for Social Research, University of Michigan — verify the details of the last reference) | Scoring: 7-point; mean of each scale's items. Voice (VO, 2 items), loyalty (LY, 2), neglect (NG, 2), helping others (OH, 4), use of time (UT, 5), sense of obligation (SO, 5), job satisfaction (JS, 5 Facet-Free items). | Direct: the example items shown (VO1, LY1, NG1, OH1, UT1, SO1, SO2). | Reverse: unknown for the rest; the paper says some citizenship items are poor/reverse-keyed examples but not which. | Status: only one or two example items were in the text (adapted from nurse/patient care to auditing); all other slots are empty and need verification. UT1 relates to under-reporting of time (URT).</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(wording of the five behaviours from its Appendix; origin: Kelley &amp; Margheim, 1990) | Scoring: 5-point frequency (never = 1 … nearly always = 5); Not applicable and Prefer not to answer = missing; mean of PN1–PN5 (core) = perceived team DAB norm; PN6 separately. | Direct: all. | Reverse: none. | Status: PN1–PN5 are the five source behaviours with the referent changed to other team members (an adaptation); PN6 is ours.</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Scoring: 5-point frequency (Never = 1, Rarely = 2, Sometimes = 3, Often = 4, Nearly always = 5); mean of DB1–DB5 = audit quality reduction behaviour; DB6–DB7 = under-reporting of time (URT), kept separate. | Direct: all. | Reverse: none. | Status: DB1–DB5 verbatim from the Appendix; DB6–DB7 wording is ours, based on the labels of Table VIII (structure verified, wording not). Not applicable = missing.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experimental scenario (no published instrument) | Scoring: V1a–V1c 7-point (1 = not at all likely … 7 = very likely); mean = intention to behave improperly; V1d = estimated percentage of peers. | Direct: all. | Reverse: none. | Randomised factors: team trust (high/low) × time pressure (high/low). | Status: researcher-made; only a manipulation check is needed.</w:t>
            </w:r>
          </w:p>
        </w:tc>
      </w:tr>
    </w:tbl>
    <w:p>
      <w:pPr>
        <w:spacing w:after="80"/>
      </w:pPr>
    </w:p>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Lord, A. T., &amp; DeZoort, F. T. (2001). The impact of commitment and moral reasoning on auditors' responses to social influence pressure. Accounting, Organizations and Society, 26(3), 215–235. https://doi.org/10.1016/S0361-3682(00)00022-2 (Appendix A, scenario) | Scoring: dependent variable = net Equipment balance you would sign off (V2; million rials); lower amount = more resistance to pressure (signing 20,000 = accepting the CFO's proposal). Randomised factor: no pressure / conformity / obedience. | Direct/reverse: not applicable (a single numeric variable). | Status: scenario verbatim with amounts and years adjusted; the no-pressure condition is our assumption.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Aquino, K., &amp; Reed, A., II. (2002). The self-importance of moral identity. Journal of Personality and Social Psychology, 83(6), 1423–1440. https://doi.org/10.1037/0022-3514.83.6.1423 | Scoring: 5-point (1 = strongly disagree … 5 = strongly agree). Internalization = mean of MI1–MI5 (alpha in the paper = .78), symbolization = mean of MIS1–MIS5 (alpha = .69); higher = more important/visible moral identity. | Direct: MI1, MI2, MI5, MIS1–MIS5. | Reverse (recode 6 − response): MI3, MI4. | Status: the 10 final items verified against the paper (Table 3). Symbolization is not in the short version.</w:t>
            </w:r>
          </w:p>
        </w:tc>
      </w:tr>
    </w:tbl>
    <w:p>
      <w:pPr>
        <w:spacing w:after="80"/>
      </w:pPr>
    </w:p>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marker items (no published instrument) | Scoring: 7-point; mean; used only to assess common-method variance. | All items direct; no reverse items. | Status: researcher-made and deliberately unrelated to the topic.</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Principle for choosing instruments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Only items whose text is printed in a published paper are used, with a full citation of that paper; no licence or separate permission has been requested for any construct. For this reason commercial or licensed instruments (PCQ, MBI, the Lencioni assessment) were set aside and psychological capital is currently not in the questionnaire. An honest note: printing an item in a paper does not release the copyright; common academic practice is to cite the paper in full, but if a journal asks for permission, that decision rests with the authors.</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 Per the Methods section, the organizational scales are modified versions of Allen and Meyer (1990): affective with the two weakest items removed; continuance with three items removed (including two reverse-keyed) and item ACC5 added from the occupational scale; normative fully rewritten. The occupational scales are six items selected from 30 initial items in a student-nurse sample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Intention to leave the profession and the firm</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Methods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Description of 3+3 items verified against the Methods section (7-point, appropriately labelled). Wording and middle labels are ours, not verbatim</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Voice, loyalty, neglect, citizenship, sense of obligation, job satisfaction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Methods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25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Only 7 example items were in the text; 18 slots are empty and need verification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 (Lencioni)</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 slots left empty</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Intention to leave the profession and the firm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ITLP1–3, ITLO1–3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Voice, loyalty, neglect, citizenship, obligation, satisfaction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 LY, NG, OH, UT, SO, JS</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25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Directions unknown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178 real items (up to about 199 once the empty slots are filled) and takes 34–38 minutes (up to 42 with everything),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intention to leave the profession and the firm (6);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2026-10-08T19:10:49.976Z</dcterms:created>
  <dcterms:modified xsi:type="dcterms:W3CDTF">2026-10-08T19:10:49.976Z</dcterms:modified>
</cp:coreProperties>
</file>

<file path=docProps/custom.xml><?xml version="1.0" encoding="utf-8"?>
<Properties xmlns="http://schemas.openxmlformats.org/officeDocument/2006/custom-properties" xmlns:vt="http://schemas.openxmlformats.org/officeDocument/2006/docPropsVTypes"/>
</file>