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bidi/>
        <w:pStyle w:val="Title"/>
        <w:jc w:val="left"/>
      </w:pPr>
      <w:r>
        <w:rPr>
          <w:rFonts w:cs="B Nazanin"/>
          <w:rtl/>
          <w:szCs w:val="26"/>
        </w:rPr>
        <w:t xml:space="preserve">ردیابی</w:t>
      </w:r>
      <w:r>
        <w:rPr>
          <w:rFonts w:cs="B Nazanin"/>
          <w:rtl/>
          <w:szCs w:val="26"/>
        </w:rPr>
        <w:t xml:space="preserve"> </w:t>
      </w:r>
      <w:r>
        <w:rPr>
          <w:rFonts w:cs="B Nazanin"/>
          <w:rtl/>
          <w:szCs w:val="26"/>
        </w:rPr>
        <w:t xml:space="preserve">انحراف</w:t>
      </w:r>
      <w:r>
        <w:rPr>
          <w:rFonts w:cs="B Nazanin"/>
          <w:rtl/>
          <w:szCs w:val="26"/>
        </w:rPr>
        <w:t xml:space="preserve"> </w:t>
      </w:r>
      <w:r>
        <w:rPr>
          <w:rFonts w:cs="B Nazanin"/>
          <w:rtl/>
          <w:szCs w:val="26"/>
        </w:rPr>
        <w:t xml:space="preserve">مصرف</w:t>
      </w:r>
      <w:r>
        <w:rPr>
          <w:rFonts w:cs="B Nazanin"/>
          <w:rtl/>
          <w:szCs w:val="26"/>
        </w:rPr>
        <w:t xml:space="preserve"> </w:t>
      </w:r>
      <w:r>
        <w:rPr>
          <w:rFonts w:cs="B Nazanin"/>
          <w:rtl/>
          <w:szCs w:val="26"/>
        </w:rPr>
        <w:t xml:space="preserve">تسهیلات</w:t>
      </w:r>
      <w:r>
        <w:rPr>
          <w:rFonts w:cs="B Nazanin"/>
          <w:rtl/>
          <w:szCs w:val="26"/>
        </w:rPr>
        <w:t xml:space="preserve"> </w:t>
      </w:r>
      <w:r>
        <w:rPr>
          <w:rFonts w:cs="B Nazanin"/>
          <w:rtl/>
          <w:szCs w:val="26"/>
        </w:rPr>
        <w:t xml:space="preserve">بانکی</w:t>
      </w:r>
      <w:r>
        <w:rPr>
          <w:rFonts w:cs="B Nazanin"/>
          <w:rtl/>
          <w:szCs w:val="26"/>
        </w:rPr>
        <w:t xml:space="preserve"> </w:t>
      </w:r>
      <w:r>
        <w:rPr>
          <w:rFonts w:cs="B Nazanin"/>
          <w:rtl/>
          <w:szCs w:val="26"/>
        </w:rPr>
        <w:t xml:space="preserve">از</w:t>
      </w:r>
      <w:r>
        <w:rPr>
          <w:rFonts w:cs="B Nazanin"/>
          <w:rtl/>
          <w:szCs w:val="26"/>
        </w:rPr>
        <w:t xml:space="preserve"> </w:t>
      </w:r>
      <w:r>
        <w:rPr>
          <w:rFonts w:cs="B Nazanin"/>
          <w:rtl/>
          <w:szCs w:val="26"/>
        </w:rPr>
        <w:t xml:space="preserve">طریق</w:t>
      </w:r>
      <w:r>
        <w:rPr>
          <w:rFonts w:cs="B Nazanin"/>
          <w:rtl/>
          <w:szCs w:val="26"/>
        </w:rPr>
        <w:t xml:space="preserve"> </w:t>
      </w:r>
      <w:r>
        <w:rPr>
          <w:rFonts w:cs="B Nazanin"/>
          <w:rtl/>
          <w:szCs w:val="26"/>
        </w:rPr>
        <w:t xml:space="preserve">صورت‌های</w:t>
      </w:r>
      <w:r>
        <w:rPr>
          <w:rFonts w:cs="B Nazanin"/>
          <w:rtl/>
          <w:szCs w:val="26"/>
        </w:rPr>
        <w:t xml:space="preserve"> </w:t>
      </w:r>
      <w:r>
        <w:rPr>
          <w:rFonts w:cs="B Nazanin"/>
          <w:rtl/>
          <w:szCs w:val="26"/>
        </w:rPr>
        <w:t xml:space="preserve">مالی:</w:t>
      </w:r>
      <w:r>
        <w:rPr>
          <w:rFonts w:cs="B Nazanin"/>
          <w:rtl/>
          <w:szCs w:val="26"/>
        </w:rPr>
        <w:t xml:space="preserve"> </w:t>
      </w:r>
      <w:r>
        <w:rPr>
          <w:rFonts w:cs="B Nazanin"/>
          <w:rtl/>
          <w:szCs w:val="26"/>
        </w:rPr>
        <w:t xml:space="preserve">نقش</w:t>
      </w:r>
      <w:r>
        <w:rPr>
          <w:rFonts w:cs="B Nazanin"/>
          <w:rtl/>
          <w:szCs w:val="26"/>
        </w:rPr>
        <w:t xml:space="preserve"> </w:t>
      </w:r>
      <w:r>
        <w:rPr>
          <w:rFonts w:cs="B Nazanin"/>
          <w:rtl/>
          <w:szCs w:val="26"/>
        </w:rPr>
        <w:t xml:space="preserve">کیفیت</w:t>
      </w:r>
      <w:r>
        <w:rPr>
          <w:rFonts w:cs="B Nazanin"/>
          <w:rtl/>
          <w:szCs w:val="26"/>
        </w:rPr>
        <w:t xml:space="preserve"> </w:t>
      </w:r>
      <w:r>
        <w:rPr>
          <w:rFonts w:cs="B Nazanin"/>
          <w:rtl/>
          <w:szCs w:val="26"/>
        </w:rPr>
        <w:t xml:space="preserve">حسابرسی</w:t>
      </w:r>
      <w:r>
        <w:rPr>
          <w:rFonts w:cs="B Nazanin"/>
          <w:rtl/>
          <w:szCs w:val="26"/>
        </w:rPr>
        <w:t xml:space="preserve"> </w:t>
      </w:r>
      <w:r>
        <w:rPr>
          <w:rFonts w:cs="B Nazanin"/>
          <w:rtl/>
          <w:szCs w:val="26"/>
        </w:rPr>
        <w:t xml:space="preserve">و</w:t>
      </w:r>
      <w:r>
        <w:rPr>
          <w:rFonts w:cs="B Nazanin"/>
          <w:rtl/>
          <w:szCs w:val="26"/>
        </w:rPr>
        <w:t xml:space="preserve"> </w:t>
      </w:r>
      <w:r>
        <w:rPr>
          <w:rFonts w:cs="B Nazanin"/>
          <w:rtl/>
          <w:szCs w:val="26"/>
        </w:rPr>
        <w:t xml:space="preserve">ساختار</w:t>
      </w:r>
      <w:r>
        <w:rPr>
          <w:rFonts w:cs="B Nazanin"/>
          <w:rtl/>
          <w:szCs w:val="26"/>
        </w:rPr>
        <w:t xml:space="preserve"> </w:t>
      </w:r>
      <w:r>
        <w:rPr>
          <w:rFonts w:cs="B Nazanin"/>
          <w:rtl/>
          <w:szCs w:val="26"/>
        </w:rPr>
        <w:t xml:space="preserve">مالکیت</w:t>
      </w:r>
    </w:p>
    <w:p>
      <w:pPr>
        <w:bidi/>
        <w:jc w:val="left"/>
      </w:pPr>
      <w:r>
        <w:rPr>
          <w:rFonts w:cs="B Nazanin"/>
          <w:rtl/>
          <w:bCs/>
          <w:b/>
          <w:szCs w:val="26"/>
        </w:rPr>
        <w:t xml:space="preserve">عنوان انگلیسی:</w:t>
      </w:r>
      <w:r>
        <w:rPr>
          <w:rFonts w:cs="B Nazanin"/>
          <w:rtl/>
          <w:szCs w:val="26"/>
        </w:rPr>
        <w:t xml:space="preserve"> </w:t>
      </w:r>
      <w:r>
        <w:rPr>
          <w:rFonts w:cs="B Nazanin"/>
          <w:rtl/>
          <w:szCs w:val="26"/>
        </w:rPr>
        <w:t xml:space="preserve">Tracing Bank Loan Diversion through Financial Statements: The Role of Audit Quality and Ownership Structure</w:t>
      </w:r>
    </w:p>
    <w:p>
      <w:pPr>
        <w:bidi/>
        <w:jc w:val="left"/>
      </w:pPr>
      <w:r>
        <w:rPr>
          <w:rFonts w:cs="B Nazanin"/>
          <w:rtl/>
          <w:bCs/>
          <w:b/>
          <w:szCs w:val="26"/>
        </w:rPr>
        <w:t xml:space="preserve">نویسندگان:</w:t>
      </w:r>
      <w:r>
        <w:rPr>
          <w:rFonts w:cs="B Nazanin"/>
          <w:rtl/>
          <w:szCs w:val="26"/>
        </w:rPr>
        <w:t xml:space="preserve"> </w:t>
      </w:r>
      <w:r>
        <w:rPr>
          <w:rFonts w:cs="B Nazanin"/>
          <w:rtl/>
          <w:szCs w:val="26"/>
        </w:rPr>
        <w:t xml:space="preserve">[نام و نام خانوادگی نویسنده مسئول]</w:t>
      </w:r>
      <w:r>
        <w:rPr>
          <w:rFonts w:cs="B Nazanin"/>
          <w:rtl/>
          <w:szCs w:val="26"/>
        </w:rPr>
        <w:t xml:space="preserve"> </w:t>
      </w:r>
      <w:r>
        <w:rPr>
          <w:rFonts w:cs="B Nazanin"/>
          <w:rStyle w:val="FootnoteReference"/>
          <w:rtl/>
          <w:szCs w:val="26"/>
        </w:rPr>
        <w:footnoteReference w:id="20"/>
      </w:r>
      <w:r>
        <w:rPr>
          <w:rFonts w:cs="B Nazanin"/>
          <w:rtl/>
          <w:szCs w:val="26"/>
        </w:rPr>
        <w:t xml:space="preserve">، [نام نویسنده دوم]</w:t>
      </w:r>
    </w:p>
    <w:p>
      <w:pPr>
        <w:bidi/>
        <w:jc w:val="left"/>
      </w:pPr>
      <w:r>
        <w:rPr>
          <w:rFonts w:cs="B Nazanin"/>
          <w:rtl/>
          <w:bCs/>
          <w:b/>
          <w:szCs w:val="26"/>
        </w:rPr>
        <w:t xml:space="preserve">مجله هدف:</w:t>
      </w:r>
      <w:r>
        <w:rPr>
          <w:rFonts w:cs="B Nazanin"/>
          <w:rtl/>
          <w:szCs w:val="26"/>
        </w:rPr>
        <w:t xml:space="preserve"> </w:t>
      </w:r>
      <w:r>
        <w:rPr>
          <w:rFonts w:cs="B Nazanin"/>
          <w:rtl/>
          <w:szCs w:val="26"/>
        </w:rPr>
        <w:t xml:space="preserve">حسابداری و منافع اجتماعی (محور اول: کارکردهای حسابداری و حسابرسی در قراردادهای وام و کاهش ریسک‌های کژاخلاقی)</w:t>
      </w:r>
    </w:p>
    <w:p>
      <w:pPr>
        <w:bidi/>
        <w:pStyle w:val="BlockText"/>
        <w:jc w:val="left"/>
      </w:pPr>
      <w:r>
        <w:rPr>
          <w:rFonts w:cs="B Nazanin"/>
          <w:rtl/>
          <w:bCs/>
          <w:b/>
          <w:szCs w:val="26"/>
        </w:rPr>
        <w:t xml:space="preserve">یادداشت برای نویسنده (پیش از ارسال حذف شود):</w:t>
      </w:r>
      <w:r>
        <w:rPr>
          <w:rFonts w:cs="B Nazanin"/>
          <w:rtl/>
          <w:szCs w:val="26"/>
        </w:rPr>
        <w:t xml:space="preserve"> </w:t>
      </w:r>
      <w:r>
        <w:rPr>
          <w:rFonts w:cs="B Nazanin"/>
          <w:rtl/>
          <w:szCs w:val="26"/>
        </w:rPr>
        <w:t xml:space="preserve">این فایل چارچوب کامل مقاله (چکیده‌ها، مقدمه، مبانی نظری، توسعه فرضیه‌ها، روش‌شناسی، تعریف دقیق متغیرها و مدل‌ها، و منابع) است. بخش «یافته‌ها» عمداً با اعداد ساختگی پر نشده است؛ پس از اجرای مدل‌ها روی داده‌های واقعی، جدول‌ها و جمله‌های داخل کروشه [ ] باید با نتایج واقعی جایگزین شوند. منابع لاتین از متون شناخته‌شده انتخاب شده‌اند، اما پیش از ارسال شماره صفحه، شماره جلد و DOI هر مورد را از پایگاه ناشر تطبیق دهید. منابع فارسی را خودتان از پایگاه‌هایی مانند SID، Magiran و نمایه‌های داخلی اضافه کنید (بخش ۸ را ببینید).</w:t>
      </w:r>
    </w:p>
    <w:bookmarkStart w:id="22" w:name="چکیده"/>
    <w:p>
      <w:pPr>
        <w:bidi/>
        <w:pStyle w:val="Heading1"/>
        <w:jc w:val="left"/>
      </w:pPr>
      <w:r>
        <w:rPr>
          <w:rFonts w:cs="B Nazanin"/>
          <w:rtl/>
          <w:szCs w:val="26"/>
        </w:rPr>
        <w:t xml:space="preserve">چکیده</w:t>
      </w:r>
    </w:p>
    <w:p>
      <w:pPr>
        <w:bidi/>
        <w:jc w:val="left"/>
      </w:pPr>
      <w:r>
        <w:rPr>
          <w:rFonts w:cs="B Nazanin"/>
          <w:rtl/>
          <w:bCs/>
          <w:b/>
          <w:szCs w:val="26"/>
        </w:rPr>
        <w:t xml:space="preserve">هدف:</w:t>
      </w:r>
      <w:r>
        <w:rPr>
          <w:rFonts w:cs="B Nazanin"/>
          <w:rtl/>
          <w:szCs w:val="26"/>
        </w:rPr>
        <w:t xml:space="preserve"> </w:t>
      </w:r>
      <w:r>
        <w:rPr>
          <w:rFonts w:cs="B Nazanin"/>
          <w:rtl/>
          <w:szCs w:val="26"/>
        </w:rPr>
        <w:t xml:space="preserve">تأمین مالی از طریق تسهیلات بانکی بخش بزرگی از منابع مالی شرکت‌های ایرانی را تشکیل می‌دهد و یکی از مهم‌ترین نگرانی‌های نظام بانکی، انحراف مصرف تسهیلات</w:t>
      </w:r>
      <w:r>
        <w:rPr>
          <w:rFonts w:cs="B Nazanin"/>
          <w:rStyle w:val="FootnoteReference"/>
          <w:rtl/>
          <w:szCs w:val="26"/>
        </w:rPr>
        <w:footnoteReference w:id="21"/>
      </w:r>
      <w:r>
        <w:rPr>
          <w:rFonts w:cs="B Nazanin"/>
          <w:rtl/>
          <w:szCs w:val="26"/>
        </w:rPr>
        <w:t xml:space="preserve"> </w:t>
      </w:r>
      <w:r>
        <w:rPr>
          <w:rFonts w:cs="B Nazanin"/>
          <w:rtl/>
          <w:szCs w:val="26"/>
        </w:rPr>
        <w:t xml:space="preserve">از مقصد قراردادی است. بانک‌ها به‌دلیل نبود پایش دقیق مصرف وجوه، معمولاً پس از وقوع زیان از این انحراف آگاه می‌شوند. هدف این پژوهش ساخت شاخصی مبتنی بر صورت‌های مالی برای شناسایی انحراف مصرف تسهیلات و آزمون این است که کیفیت حسابرسی و ساختار مالکیت چگونه این رفتار را تعدیل می‌کنند.</w:t>
      </w:r>
    </w:p>
    <w:p>
      <w:pPr>
        <w:bidi/>
        <w:jc w:val="left"/>
      </w:pPr>
      <w:r>
        <w:rPr>
          <w:rFonts w:cs="B Nazanin"/>
          <w:rtl/>
          <w:bCs/>
          <w:b/>
          <w:szCs w:val="26"/>
        </w:rPr>
        <w:t xml:space="preserve">طراحی و روش‌شناسی:</w:t>
      </w:r>
      <w:r>
        <w:rPr>
          <w:rFonts w:cs="B Nazanin"/>
          <w:rtl/>
          <w:szCs w:val="26"/>
        </w:rPr>
        <w:t xml:space="preserve"> </w:t>
      </w:r>
      <w:r>
        <w:rPr>
          <w:rFonts w:cs="B Nazanin"/>
          <w:rtl/>
          <w:szCs w:val="26"/>
        </w:rPr>
        <w:t xml:space="preserve">نمونه شامل شرکت‌های غیرمالی پذیرفته‌شده در بورس اوراق بهادار تهران و فرابورس در بازه سال‌های ۱۳۹۳ تا ۱۴۰۲ است [دوره و تعداد نهایی پس از غربال‌گری تکمیل شود]. شاخص انحراف مصرف (DIV) بر پایه تفکیک دارایی‌ها به عملیاتی و غیرعملیاتی و با استفاده از صورت جریان وجوه نقد، ترازنامه و یادداشت‌های توضیحی ساخته می‌شود. مدل‌های رگرسیون داده‌های تابلویی با اثرات ثابت شرکت و سال، طرح رویدادپژوهی تفاضل در تفاضل با اجرای مرحله‌ای (رویکرد کالاوی و سنت‌آنا)، آزمون‌های درون‌زایی (تصحیح هکمن و متغیر ابزاری) و آزمون‌های اعتبار سازه به‌کار می‌روند. تمام تحلیل‌ها در نرم‌افزار استتا انجام می‌شود.</w:t>
      </w:r>
    </w:p>
    <w:p>
      <w:pPr>
        <w:bidi/>
        <w:jc w:val="left"/>
      </w:pPr>
      <w:r>
        <w:rPr>
          <w:rFonts w:cs="B Nazanin"/>
          <w:rtl/>
          <w:bCs/>
          <w:b/>
          <w:szCs w:val="26"/>
        </w:rPr>
        <w:t xml:space="preserve">یافته‌ها:</w:t>
      </w:r>
      <w:r>
        <w:rPr>
          <w:rFonts w:cs="B Nazanin"/>
          <w:rtl/>
          <w:szCs w:val="26"/>
        </w:rPr>
        <w:t xml:space="preserve"> </w:t>
      </w:r>
      <w:r>
        <w:rPr>
          <w:rFonts w:cs="B Nazanin"/>
          <w:rtl/>
          <w:szCs w:val="26"/>
        </w:rPr>
        <w:t xml:space="preserve">[پس از اجرای مدل‌ها تکمیل شود. چارچوب پیشنهادی: ضریب LOAN در مدل ۱ مثبت و معنادار است؛ ضریب اثر متقابل LOAN×AUDQ منفی و ضریب LOAN×STATE مثبت است؛ DIV با عملکرد عملیاتی سال بعد رابطه منفی دارد.]</w:t>
      </w:r>
    </w:p>
    <w:p>
      <w:pPr>
        <w:bidi/>
        <w:jc w:val="left"/>
      </w:pPr>
      <w:r>
        <w:rPr>
          <w:rFonts w:cs="B Nazanin"/>
          <w:rtl/>
          <w:bCs/>
          <w:b/>
          <w:szCs w:val="26"/>
        </w:rPr>
        <w:t xml:space="preserve">اصالت و نوآوری:</w:t>
      </w:r>
      <w:r>
        <w:rPr>
          <w:rFonts w:cs="B Nazanin"/>
          <w:rtl/>
          <w:szCs w:val="26"/>
        </w:rPr>
        <w:t xml:space="preserve"> </w:t>
      </w:r>
      <w:r>
        <w:rPr>
          <w:rFonts w:cs="B Nazanin"/>
          <w:rtl/>
          <w:szCs w:val="26"/>
        </w:rPr>
        <w:t xml:space="preserve">این پژوهش نخستین شاخص مبتنی بر صورت‌های مالی را برای سنجش انحراف مصرف تسهیلات بانکی در بازار سرمایه ایران ارائه می‌کند که بدون نیاز به داده‌های محرمانه بانکی (مانند گزارش مصرف وام) قابل محاسبه است. افزون بر آن، نقش حسابرسی مستقل را به‌عنوان سازوکار نظارتی در قرارداد وام بررسی می‌کند.</w:t>
      </w:r>
    </w:p>
    <w:p>
      <w:pPr>
        <w:bidi/>
        <w:jc w:val="left"/>
      </w:pPr>
      <w:r>
        <w:rPr>
          <w:rFonts w:cs="B Nazanin"/>
          <w:rtl/>
          <w:bCs/>
          <w:b/>
          <w:szCs w:val="26"/>
        </w:rPr>
        <w:t xml:space="preserve">دلالت‌های عملی و اجتماعی:</w:t>
      </w:r>
      <w:r>
        <w:rPr>
          <w:rFonts w:cs="B Nazanin"/>
          <w:rtl/>
          <w:szCs w:val="26"/>
        </w:rPr>
        <w:t xml:space="preserve"> </w:t>
      </w:r>
      <w:r>
        <w:rPr>
          <w:rFonts w:cs="B Nazanin"/>
          <w:rtl/>
          <w:szCs w:val="26"/>
        </w:rPr>
        <w:t xml:space="preserve">بانک‌ها و نهاد ناظر می‌توانند از این شاخص برای پایش پیوسته، تعیین سقف تسهیلات و طراحی بندهای نظارتی در قرارداد وام استفاده کنند. کاهش انحراف مصرف تسهیلات به تخصیص کارآمدتر منابع بانکی و حمایت از منافع سپرده‌گذاران و عموم جامعه کمک می‌کند.</w:t>
      </w:r>
    </w:p>
    <w:p>
      <w:pPr>
        <w:bidi/>
        <w:jc w:val="left"/>
      </w:pPr>
      <w:r>
        <w:rPr>
          <w:rFonts w:cs="B Nazanin"/>
          <w:rtl/>
          <w:bCs/>
          <w:b/>
          <w:szCs w:val="26"/>
        </w:rPr>
        <w:t xml:space="preserve">واژگان کلیدی:</w:t>
      </w:r>
      <w:r>
        <w:rPr>
          <w:rFonts w:cs="B Nazanin"/>
          <w:rtl/>
          <w:szCs w:val="26"/>
        </w:rPr>
        <w:t xml:space="preserve"> </w:t>
      </w:r>
      <w:r>
        <w:rPr>
          <w:rFonts w:cs="B Nazanin"/>
          <w:rtl/>
          <w:szCs w:val="26"/>
        </w:rPr>
        <w:t xml:space="preserve">انحراف مصرف تسهیلات، کژاخلاقی، دارایی‌های غیرعملیاتی، کیفیت حسابرسی، ساختار مالکیت، تسهیلات بانکی</w:t>
      </w:r>
    </w:p>
    <w:p>
      <w:pPr>
        <w:bidi/>
        <w:jc w:val="left"/>
      </w:pPr>
      <w:r>
        <w:rPr>
          <w:rFonts w:cs="B Nazanin"/>
          <w:rtl/>
          <w:bCs/>
          <w:b/>
          <w:szCs w:val="26"/>
        </w:rPr>
        <w:t xml:space="preserve">طبقه‌بندی JEL:</w:t>
      </w:r>
      <w:r>
        <w:rPr>
          <w:rFonts w:cs="B Nazanin"/>
          <w:rtl/>
          <w:szCs w:val="26"/>
        </w:rPr>
        <w:t xml:space="preserve"> </w:t>
      </w:r>
      <w:r>
        <w:rPr>
          <w:rFonts w:cs="B Nazanin"/>
          <w:rtl/>
          <w:szCs w:val="26"/>
        </w:rPr>
        <w:t xml:space="preserve">G21، G32، M41، M42، D82، L26</w:t>
      </w:r>
    </w:p>
    <w:bookmarkEnd w:id="22"/>
    <w:bookmarkStart w:id="26" w:name="مقدمه"/>
    <w:p>
      <w:pPr>
        <w:bidi/>
        <w:pStyle w:val="Heading1"/>
        <w:jc w:val="left"/>
      </w:pPr>
      <w:r>
        <w:rPr>
          <w:rFonts w:cs="B Nazanin"/>
          <w:rtl/>
          <w:szCs w:val="26"/>
        </w:rPr>
        <w:t xml:space="preserve">۱. مقدمه</w:t>
      </w:r>
    </w:p>
    <w:p>
      <w:pPr>
        <w:bidi/>
        <w:jc w:val="left"/>
      </w:pPr>
      <w:r>
        <w:rPr>
          <w:rFonts w:cs="B Nazanin"/>
          <w:rtl/>
          <w:szCs w:val="26"/>
        </w:rPr>
        <w:t xml:space="preserve">نظام مالی ایران، به‌دلیل کم‌عمق بودن بازار بدهی شرکتی و غلبه تأمین مالی بانک‌محور، به‌شدت به تسهیلات بانکی وابسته است. تسهیلات بانکی ابزار اصلی تأمین سرمایه در گردش و سرمایه‌گذاری ثابت بنگاه‌هاست و ترازنامه بانک‌ها نیز به‌طور عمده از همین دارایی‌ها تشکیل می‌شود. در این ساختار، سلامت نظام بانکی به این وابسته است که وام‌ها صرف همان اهدافی شوند که در زمان تصویب پیش‌بینی شده است. هرگاه وام‌گیرنده منابع را به دارایی‌های غیرمرتبط با فعالیت اصلی یا به سرمایه‌گذاری‌های سوداگرانه منتقل کند، احتمال نکول افزایش می‌یابد، مطالبات غیرجاری بانک رشد می‌کند و هزینه این وضعیت در نهایت بر سپرده‌گذاران، سهامداران بانک و اقتصاد ملی تحمیل می‌شود.</w:t>
      </w:r>
    </w:p>
    <w:p>
      <w:pPr>
        <w:bidi/>
        <w:jc w:val="left"/>
      </w:pPr>
      <w:r>
        <w:rPr>
          <w:rFonts w:cs="B Nazanin"/>
          <w:rtl/>
          <w:szCs w:val="26"/>
        </w:rPr>
        <w:t xml:space="preserve">در ادبیات اقتصاد اطلاعات، این مسئله «کژاخلاقی»</w:t>
      </w:r>
      <w:r>
        <w:rPr>
          <w:rFonts w:cs="B Nazanin"/>
          <w:rStyle w:val="FootnoteReference"/>
          <w:rtl/>
          <w:szCs w:val="26"/>
        </w:rPr>
        <w:footnoteReference w:id="23"/>
      </w:r>
      <w:r>
        <w:rPr>
          <w:rFonts w:cs="B Nazanin"/>
          <w:rtl/>
          <w:szCs w:val="26"/>
        </w:rPr>
        <w:t xml:space="preserve"> </w:t>
      </w:r>
      <w:r>
        <w:rPr>
          <w:rFonts w:cs="B Nazanin"/>
          <w:rtl/>
          <w:szCs w:val="26"/>
        </w:rPr>
        <w:t xml:space="preserve">نامیده می‌شود: وام‌گیرنده پس از دریافت تسهیلات رفتاری متفاوت از آنچه بانک انتظار داشته در پیش می‌گیرد و چون بانک نمی‌تواند رفتار او را به‌طور کامل مشاهده کند، بخشی از ریسک بر بانک منتقل می‌شود (Jensen &amp; Meckling, 1976). در مقابل، «کژگزینی»</w:t>
      </w:r>
      <w:r>
        <w:rPr>
          <w:rFonts w:cs="B Nazanin"/>
          <w:rStyle w:val="FootnoteReference"/>
          <w:rtl/>
          <w:szCs w:val="26"/>
        </w:rPr>
        <w:footnoteReference w:id="24"/>
      </w:r>
      <w:r>
        <w:rPr>
          <w:rFonts w:cs="B Nazanin"/>
          <w:rtl/>
          <w:szCs w:val="26"/>
        </w:rPr>
        <w:t xml:space="preserve"> </w:t>
      </w:r>
      <w:r>
        <w:rPr>
          <w:rFonts w:cs="B Nazanin"/>
          <w:rtl/>
          <w:szCs w:val="26"/>
        </w:rPr>
        <w:t xml:space="preserve">مربوط به پیش از اعطای وام است و در آن بانک نمی‌تواند وام‌گیرندگان مناسب را از نامناسب تفکیک کند (Akerlof, 1970; Stiglitz &amp; Weiss, 1981). هر دو مسئله برای سیاست‌گذار اهمیت دارد، اما پژوهش‌های حسابداری در ایران بیشتر بر کژگزینی (پیش‌بینی نکول و اعتبارسنجی) متمرکز بوده‌اند و ابزار کمّی کم‌هزینه و قابل‌تکراری برای سنجش کژاخلاقی پس از دریافت وام در دست نیست.</w:t>
      </w:r>
    </w:p>
    <w:p>
      <w:pPr>
        <w:bidi/>
        <w:jc w:val="left"/>
      </w:pPr>
      <w:r>
        <w:rPr>
          <w:rFonts w:cs="B Nazanin"/>
          <w:rtl/>
          <w:szCs w:val="26"/>
        </w:rPr>
        <w:t xml:space="preserve">مشکل عملی اینجاست که مصرف واقعی تسهیلات مستقیماً مشاهده‌پذیر نیست. بانک‌ها معمولاً مدارک مصرف (فاکتور، گزارش پیشرفت پروژه) را دریافت می‌کنند، اما پول قابل تعویض است</w:t>
      </w:r>
      <w:r>
        <w:rPr>
          <w:rFonts w:cs="B Nazanin"/>
          <w:rStyle w:val="FootnoteReference"/>
          <w:rtl/>
          <w:szCs w:val="26"/>
        </w:rPr>
        <w:footnoteReference w:id="25"/>
      </w:r>
      <w:r>
        <w:rPr>
          <w:rFonts w:cs="B Nazanin"/>
          <w:rtl/>
          <w:szCs w:val="26"/>
        </w:rPr>
        <w:t xml:space="preserve">: وام‌گیرنده می‌تواند وام را به نام یک پروژه مصرف کند و در همان زمان منابع داخلی خود را برای هدف دیگری آزاد کند. به همین دلیل بررسی مدارک مصرف، تصویر ناقصی از رفتار واقعی می‌دهد. با این حال، حسابداری ثبت جامعی از جریان‌ها و ماندهٔ منابع دارد. اگر وام‌گیرنده منابع را منحرف کند، در ترکیب دارایی‌ها، جریان‌های نقدی، و اقلام مربوط به اشخاص وابسته ردپایی باقی می‌ماند. پرسش اصلی این پژوهش آن است که آیا می‌توان این ردپا را در صورت‌های مالی ثبت‌شده شناسایی و اندازه‌گیری کرد.</w:t>
      </w:r>
    </w:p>
    <w:p>
      <w:pPr>
        <w:bidi/>
        <w:jc w:val="left"/>
      </w:pPr>
      <w:r>
        <w:rPr>
          <w:rFonts w:cs="B Nazanin"/>
          <w:rtl/>
          <w:szCs w:val="26"/>
        </w:rPr>
        <w:t xml:space="preserve">این مقاله چهار هدف را دنبال می‌کند. نخست، شاخصی مبتنی بر صورت‌های مالی (DIV) برای سنجش انحراف مصرف تسهیلات تعریف می‌کند. دوم، بررسی می‌کند که دریافت تسهیلات بزرگ تا چه اندازه با انتقال منابع به دارایی‌های غیرعملیاتی همراه است. سوم، نقش تعدیل‌کنندهٔ کیفیت حسابرسی و ساختار مالکیت (دولتی بودن و تمرکز مالکیت) را آزمون می‌کند. چهارم، با بررسی رابطه DIV و عملکرد عملیاتی آینده، اعتبار سازه شاخص را می‌سنجد.</w:t>
      </w:r>
    </w:p>
    <w:p>
      <w:pPr>
        <w:bidi/>
        <w:jc w:val="left"/>
      </w:pPr>
      <w:r>
        <w:rPr>
          <w:rFonts w:cs="B Nazanin"/>
          <w:rtl/>
          <w:szCs w:val="26"/>
        </w:rPr>
        <w:t xml:space="preserve">این پژوهش از سه جهت به ادبیات می‌افزاید. اول، برخلاف مطالعاتی که از داده‌های اعتباری محرمانه استفاده می‌کنند (مانند Khwaja &amp; Mian, 2005)، شاخص پیشنهادی صرفاً از صورت‌های مالی منتشرشده ساخته می‌شود و بنابراین برای ناظر، حسابرس و پژوهشگر خارج از بانک قابل محاسبه است. دوم، نقش حسابرسی مستقل را به‌عنوان سازوکار نظارتی در رابطه وام‌دهنده و وام‌گیرنده مطرح می‌کند و آن را از زاویه «منافع اجتماعی» (حمایت از سپرده‌گذاران) می‌نگرد. سوم، از طرح‌های رویدادپژوهی مدرن استفاده می‌کند که تورش رگرسیون‌های دوطرفه با زمان‌بندی مرحله‌ای را برطرف می‌کنند (Callaway &amp; Sant’Anna, 2021; Goodman-Bacon, 2021).</w:t>
      </w:r>
    </w:p>
    <w:p>
      <w:pPr>
        <w:bidi/>
        <w:jc w:val="left"/>
      </w:pPr>
      <w:r>
        <w:rPr>
          <w:rFonts w:cs="B Nazanin"/>
          <w:rtl/>
          <w:szCs w:val="26"/>
        </w:rPr>
        <w:t xml:space="preserve">ساختار مقاله به این شرح است: بخش ۲ مبانی نظری و پیشینه، بخش ۳ توسعه فرضیه‌ها، بخش ۴ روش‌شناسی و تعریف متغیرها، بخش ۵ طرح تحلیل و گزارش یافته‌ها، بخش ۶ آزمون‌های اعتبار و استحکام، بخش ۷ نتیجه‌گیری و پیشنهادها و بخش ۸ منابع را در بر دارد.</w:t>
      </w:r>
    </w:p>
    <w:bookmarkEnd w:id="26"/>
    <w:bookmarkStart w:id="37" w:name="مبانی-نظری-و-پیشینه-پژوهش"/>
    <w:p>
      <w:pPr>
        <w:bidi/>
        <w:pStyle w:val="Heading1"/>
        <w:jc w:val="left"/>
      </w:pPr>
      <w:r>
        <w:rPr>
          <w:rFonts w:cs="B Nazanin"/>
          <w:rtl/>
          <w:szCs w:val="26"/>
        </w:rPr>
        <w:t xml:space="preserve">۲. مبانی نظری و پیشینه پژوهش</w:t>
      </w:r>
    </w:p>
    <w:bookmarkStart w:id="29" w:name="Xbc25f13ef7356a8c3487bb4619d631cb59b6ba5"/>
    <w:p>
      <w:pPr>
        <w:bidi/>
        <w:pStyle w:val="Heading2"/>
        <w:jc w:val="left"/>
      </w:pPr>
      <w:r>
        <w:rPr>
          <w:rFonts w:cs="B Nazanin"/>
          <w:rtl/>
          <w:szCs w:val="26"/>
        </w:rPr>
        <w:t xml:space="preserve">۲-۱. نظریه نمایندگی و کژاخلاقی در قراردادهای بدهی</w:t>
      </w:r>
    </w:p>
    <w:p>
      <w:pPr>
        <w:bidi/>
        <w:jc w:val="left"/>
      </w:pPr>
      <w:r>
        <w:rPr>
          <w:rFonts w:cs="B Nazanin"/>
          <w:rtl/>
          <w:szCs w:val="26"/>
        </w:rPr>
        <w:t xml:space="preserve">بنیان نظری پژوهش، نظریه نمایندگی</w:t>
      </w:r>
      <w:r>
        <w:rPr>
          <w:rFonts w:cs="B Nazanin"/>
          <w:rStyle w:val="FootnoteReference"/>
          <w:rtl/>
          <w:szCs w:val="26"/>
        </w:rPr>
        <w:footnoteReference w:id="27"/>
      </w:r>
      <w:r>
        <w:rPr>
          <w:rFonts w:cs="B Nazanin"/>
          <w:rtl/>
          <w:szCs w:val="26"/>
        </w:rPr>
        <w:t xml:space="preserve"> </w:t>
      </w:r>
      <w:r>
        <w:rPr>
          <w:rFonts w:cs="B Nazanin"/>
          <w:rtl/>
          <w:szCs w:val="26"/>
        </w:rPr>
        <w:t xml:space="preserve">است. در ساختار بدهی، سهامداران (یا مدیران به نمایندگی از آنها) در برابر بستانکاران دارای انگیزه‌های متعارض‌اند، زیرا مسئولیت سهامداران محدود است و از سود بالقوه پروژه‌های پرریسک بهره می‌برند، در حالی که بخش بزرگی از زیان را بستانکار تحمل می‌کند (Jensen &amp; Meckling, 1976). این تعارض به‌صورت‌هایی چون جایگزینی دارایی</w:t>
      </w:r>
      <w:r>
        <w:rPr>
          <w:rFonts w:cs="B Nazanin"/>
          <w:rStyle w:val="FootnoteReference"/>
          <w:rtl/>
          <w:szCs w:val="26"/>
        </w:rPr>
        <w:footnoteReference w:id="28"/>
      </w:r>
      <w:r>
        <w:rPr>
          <w:rFonts w:cs="B Nazanin"/>
          <w:rtl/>
          <w:szCs w:val="26"/>
        </w:rPr>
        <w:t xml:space="preserve">، کم‌سرمایه‌گذاری (Myers, 1977) و پرداخت بیش‌ازحد سود تقسیمی ظاهر می‌شود. اسمیت و وارنر (1979) نشان دادند که قراردادهای بدهی با شروط محدودکننده (بندهای پیمان) برای مهار این رفتارها تنظیم می‌شوند.</w:t>
      </w:r>
    </w:p>
    <w:p>
      <w:pPr>
        <w:bidi/>
        <w:jc w:val="left"/>
      </w:pPr>
      <w:r>
        <w:rPr>
          <w:rFonts w:cs="B Nazanin"/>
          <w:rtl/>
          <w:szCs w:val="26"/>
        </w:rPr>
        <w:t xml:space="preserve">وقتی وام‌گیرنده بدهی را به دارایی‌های با ریسک بالا یا غیرمرتبط با فعالیت اصلی منتقل می‌کند، انحراف مصرف رخ داده است. ریشه این رفتار هم می‌تواند ریسک‌پذیری زیاد سهامداران باشد و هم منفعت‌طلبی کنترل‌کنندگان که منابع را به شرکت‌های وابسته و فعالیت‌های سوداگرانه منتقل می‌کنند.</w:t>
      </w:r>
    </w:p>
    <w:bookmarkEnd w:id="29"/>
    <w:bookmarkStart w:id="31" w:name="تونلزنی-و-معاملات-با-اشخاص-وابسته"/>
    <w:p>
      <w:pPr>
        <w:bidi/>
        <w:pStyle w:val="Heading2"/>
        <w:jc w:val="left"/>
      </w:pPr>
      <w:r>
        <w:rPr>
          <w:rFonts w:cs="B Nazanin"/>
          <w:rtl/>
          <w:szCs w:val="26"/>
        </w:rPr>
        <w:t xml:space="preserve">۲-۲. تونل‌زنی و معاملات با اشخاص وابسته</w:t>
      </w:r>
    </w:p>
    <w:p>
      <w:pPr>
        <w:bidi/>
        <w:jc w:val="left"/>
      </w:pPr>
      <w:r>
        <w:rPr>
          <w:rFonts w:cs="B Nazanin"/>
          <w:rtl/>
          <w:szCs w:val="26"/>
        </w:rPr>
        <w:t xml:space="preserve">در بازارهایی که حمایت از سرمایه‌گذاران ضعیف و مالکیت متمرکز است، سهامدار کنترل‌کننده انگیزه دارد منابع را از شرکت به نفع خود خارج کند؛ این پدیده «تونل‌زنی»</w:t>
      </w:r>
      <w:r>
        <w:rPr>
          <w:rFonts w:cs="B Nazanin"/>
          <w:rStyle w:val="FootnoteReference"/>
          <w:rtl/>
          <w:szCs w:val="26"/>
        </w:rPr>
        <w:footnoteReference w:id="30"/>
      </w:r>
      <w:r>
        <w:rPr>
          <w:rFonts w:cs="B Nazanin"/>
          <w:rtl/>
          <w:szCs w:val="26"/>
        </w:rPr>
        <w:t xml:space="preserve"> </w:t>
      </w:r>
      <w:r>
        <w:rPr>
          <w:rFonts w:cs="B Nazanin"/>
          <w:rtl/>
          <w:szCs w:val="26"/>
        </w:rPr>
        <w:t xml:space="preserve">نامیده می‌شود (Johnson, La Porta, Lopez-de-Silanes &amp; Shleifer, 2000). یکی از کانال‌های متداول، وام‌دهی به اشخاص وابسته است. جیان و وانگ (2010) و جیانگ، لی و یو (2010) نشان دادند که وام‌های بین‌شرکتی و دریافتنی‌های وابسته در بازار چین ابزار انتقال منابع بوده‌اند. بنابراین مطالبات از اشخاص وابسته، یکی از اجزای طبیعی دارایی‌های غیرعملیاتی در شاخص انحراف است.</w:t>
      </w:r>
    </w:p>
    <w:p>
      <w:pPr>
        <w:bidi/>
        <w:jc w:val="left"/>
      </w:pPr>
      <w:r>
        <w:rPr>
          <w:rFonts w:cs="B Nazanin"/>
          <w:rtl/>
          <w:szCs w:val="26"/>
        </w:rPr>
        <w:t xml:space="preserve">در ایران، استاندارد حسابداری شماره ۱۲ (افشای اطلاعات اشخاص وابسته) افشای ماهیت و مبلغ معاملات با اشخاص وابسته را الزامی می‌کند؛ این افشا امکان استخراج داده برای شاخص را فراهم می‌آورد.</w:t>
      </w:r>
    </w:p>
    <w:bookmarkEnd w:id="31"/>
    <w:bookmarkStart w:id="32" w:name="Xac2f1c466a2960983fbb1cb4c5991eae6a2aeb1"/>
    <w:p>
      <w:pPr>
        <w:bidi/>
        <w:pStyle w:val="Heading2"/>
        <w:jc w:val="left"/>
      </w:pPr>
      <w:r>
        <w:rPr>
          <w:rFonts w:cs="B Nazanin"/>
          <w:rtl/>
          <w:szCs w:val="26"/>
        </w:rPr>
        <w:t xml:space="preserve">۲-۳. محدودیت مالی، جریان نقد آزاد و سرمایه‌گذاری بیش‌ازحد</w:t>
      </w:r>
    </w:p>
    <w:p>
      <w:pPr>
        <w:bidi/>
        <w:jc w:val="left"/>
      </w:pPr>
      <w:r>
        <w:rPr>
          <w:rFonts w:cs="B Nazanin"/>
          <w:rtl/>
          <w:szCs w:val="26"/>
        </w:rPr>
        <w:t xml:space="preserve">فرضیه جریان نقد آزاد (Jensen, 1986) بیان می‌کند مدیران هنگام در اختیار داشتن وجوه مازاد، به‌جای بازگرداندن آن به سرمایه‌گذاران، در پروژه‌های با بازده پایین سرمایه‌گذاری می‌کنند. ریچاردسون (2006) سرمایه‌گذاری بیش‌ازحد را با بهره‌گیری از باقیمانده مدل سرمایه‌گذاری مورد انتظار اندازه می‌گیرد. در مقابل، فاززاری، هابارد و پیترسن (1988) نشان دادند حساسیت سرمایه‌گذاری به جریان نقد در بنگاه‌های محدودشده مالی بیشتر است. این ادبیات به ما یادآور می‌شود که صرف افزایش دارایی‌ها پس از وام الزاماً انحراف نیست و باید میان دارایی‌های مرتبط با فعالیت اصلی و دارایی‌های غیرعملیاتی تمایز قائل شد.</w:t>
      </w:r>
    </w:p>
    <w:bookmarkEnd w:id="32"/>
    <w:bookmarkStart w:id="33" w:name="X2a6f46233be56b4042edc0a4c6e75cdc0362590"/>
    <w:p>
      <w:pPr>
        <w:bidi/>
        <w:pStyle w:val="Heading2"/>
        <w:jc w:val="left"/>
      </w:pPr>
      <w:r>
        <w:rPr>
          <w:rFonts w:cs="B Nazanin"/>
          <w:rtl/>
          <w:szCs w:val="26"/>
        </w:rPr>
        <w:t xml:space="preserve">۲-۴. نقش حسابداری و حسابرسی در نظارت بر وام‌گیرنده</w:t>
      </w:r>
    </w:p>
    <w:p>
      <w:pPr>
        <w:bidi/>
        <w:jc w:val="left"/>
      </w:pPr>
      <w:r>
        <w:rPr>
          <w:rFonts w:cs="B Nazanin"/>
          <w:rtl/>
          <w:szCs w:val="26"/>
        </w:rPr>
        <w:t xml:space="preserve">اطلاعات حسابداری از دو مسیر کژاخلاقی را مهار می‌کند: نخست، از طریق مبنایی برای بندهای پیمان که با نقض آنها حق بازنگری یا مطالبه فوری وام برای بانک ایجاد می‌شود (Dichev &amp; Skinner, 2002; Chava &amp; Roberts, 2008; Nini, Smith &amp; Sufi, 2009; Roberts &amp; Sufi, 2009)؛ و دوم، از طریق شفافیت اطلاعاتی که احتمال کشف رفتار فرصت‌طلبانه را بالا می‌برد. بوشمن و اسمیت (2001) نشان دادند که اطلاعات حسابداری در حاکمیت شرکتی نقش نظارتی دارد. تحقیقات بعدی نشان داده‌اند کیفیت گزارشگری مالی، شرایط قرارداد وام را مساعدتر می‌کند (Bharath, Sunder &amp; Sunder, 2008; Graham, Li &amp; Qiu, 2008; Kim, Song &amp; Zhang, 2011; Costello &amp; Wittenberg-Moerman, 2011).</w:t>
      </w:r>
    </w:p>
    <w:p>
      <w:pPr>
        <w:bidi/>
        <w:jc w:val="left"/>
      </w:pPr>
      <w:r>
        <w:rPr>
          <w:rFonts w:cs="B Nazanin"/>
          <w:rtl/>
          <w:szCs w:val="26"/>
        </w:rPr>
        <w:t xml:space="preserve">حسابرسی مستقل نیز مکانیسمی برای کاهش هزینه نمایندگی است (Jensen &amp; Meckling, 1976; Watts &amp; Zimmerman, 1983). دیآنجلو (1981) کیفیت حسابرسی را احتمال کشف و گزارش تحریف عمده تعریف کرد و اندازه حسابرس را نماینده کیفیت دانست. مرور دیفوند و ژانگ (2014) نشان می‌دهد که پژوهش‌های حسابرسی به‌طور مستمر از اندازه، تخصص صنعتی و دوره تصدی حسابرس به‌عنوان نماینده کیفیت استفاده کرده‌اند. کراسول، فرانسیس و تیلور (1995) تخصص صنعتی حسابرس را با سهم بازار در صنعت می‌سنجند.</w:t>
      </w:r>
    </w:p>
    <w:bookmarkEnd w:id="33"/>
    <w:bookmarkStart w:id="35" w:name="ساختار-مالکیت"/>
    <w:p>
      <w:pPr>
        <w:bidi/>
        <w:pStyle w:val="Heading2"/>
        <w:jc w:val="left"/>
      </w:pPr>
      <w:r>
        <w:rPr>
          <w:rFonts w:cs="B Nazanin"/>
          <w:rtl/>
          <w:szCs w:val="26"/>
        </w:rPr>
        <w:t xml:space="preserve">۲-۵. ساختار مالکیت</w:t>
      </w:r>
    </w:p>
    <w:p>
      <w:pPr>
        <w:bidi/>
        <w:jc w:val="left"/>
      </w:pPr>
      <w:r>
        <w:rPr>
          <w:rFonts w:cs="B Nazanin"/>
          <w:rtl/>
          <w:szCs w:val="26"/>
        </w:rPr>
        <w:t xml:space="preserve">لاپورتا و همکاران (1999) نشان دادند که مالکیت متمرکز و هرمی در بسیاری از کشورها مرسوم است و کلسنز، جانکوف و لانگ (2000) انحراف حقوق جریان نقد از حقوق کنترل را زمینه انتقال منافع می‌دانند. در ایران، سهم شایان توجه مالکیت دولتی و شبه‌دولتی (نهادهای عمومی، بنیادها و بانک‌های دولتی) در بورس یک ویژگی نهادی خاص است. از دید نظریه نهادی، شرکت‌های وابسته به دولت ممکن است محدودیت بودجه نرم</w:t>
      </w:r>
      <w:r>
        <w:rPr>
          <w:rFonts w:cs="B Nazanin"/>
          <w:rStyle w:val="FootnoteReference"/>
          <w:rtl/>
          <w:szCs w:val="26"/>
        </w:rPr>
        <w:footnoteReference w:id="34"/>
      </w:r>
      <w:r>
        <w:rPr>
          <w:rFonts w:cs="B Nazanin"/>
          <w:rtl/>
          <w:szCs w:val="26"/>
        </w:rPr>
        <w:t xml:space="preserve"> </w:t>
      </w:r>
      <w:r>
        <w:rPr>
          <w:rFonts w:cs="B Nazanin"/>
          <w:rtl/>
          <w:szCs w:val="26"/>
        </w:rPr>
        <w:t xml:space="preserve">داشته باشند و با چشم‌انداز حمایت دولتی، انگیزه نظارتی بانک را کاهش دهند و بنابراین ریسک کژاخلاقی بالاتری ایجاد کنند. شواهد خوآجه و میان (2005) نیز نشان می‌دهد که وام‌دهی به شرکت‌های دارای ارتباط سیاسی با ملاحظات غیر از ریسک اعتباری همراه است.</w:t>
      </w:r>
    </w:p>
    <w:bookmarkEnd w:id="35"/>
    <w:bookmarkStart w:id="36" w:name="Xae54c14da8eed9198518a5637c0cb87e12aa6fe"/>
    <w:p>
      <w:pPr>
        <w:bidi/>
        <w:pStyle w:val="Heading2"/>
        <w:jc w:val="left"/>
      </w:pPr>
      <w:r>
        <w:rPr>
          <w:rFonts w:cs="B Nazanin"/>
          <w:rtl/>
          <w:szCs w:val="26"/>
        </w:rPr>
        <w:t xml:space="preserve">۲-۶. شواهد تجربی در خصوص انحراف و سوء‌استفاده از وام</w:t>
      </w:r>
    </w:p>
    <w:p>
      <w:pPr>
        <w:bidi/>
        <w:jc w:val="left"/>
      </w:pPr>
      <w:r>
        <w:rPr>
          <w:rFonts w:cs="B Nazanin"/>
          <w:rtl/>
          <w:szCs w:val="26"/>
        </w:rPr>
        <w:t xml:space="preserve">خوآجه و میان (2005) با استفاده از داده‌های اعتباری پاکستان نشان دادند که شرکت‌های دارای ارتباط سیاسی وام بیشتری با نرخ نکول بالاتر دریافت می‌کنند. چاوا و رابرتس (2008) نشان دادند نقض بندهای پیمان، سرمایه‌گذاری را کاهش می‌دهد، که گویای اثر نظارتی این بندهاست. نینی و همکاران (2009) نیز نشان دادند محدودیت‌های قراردادی بر ساختار مالی و سرمایه‌گذاری اثر می‌گذارند. در بازار چین، جیانگ و همکاران (2010) تونل‌زنی از طریق وام‌دهی بین‌شرکتی را گزارش کردند. با این همه، شاخصی استاندارد برای سنجش انحراف مصرف تسهیلات از صورت‌های مالی در ادبیات وجود ندارد؛ شکاف پژوهشی که مقاله حاضر به آن می‌پردازد.</w:t>
      </w:r>
    </w:p>
    <w:bookmarkEnd w:id="36"/>
    <w:bookmarkEnd w:id="37"/>
    <w:bookmarkStart w:id="38" w:name="توسعه-فرضیهها"/>
    <w:p>
      <w:pPr>
        <w:bidi/>
        <w:pStyle w:val="Heading1"/>
        <w:jc w:val="left"/>
      </w:pPr>
      <w:r>
        <w:rPr>
          <w:rFonts w:cs="B Nazanin"/>
          <w:rtl/>
          <w:szCs w:val="26"/>
        </w:rPr>
        <w:t xml:space="preserve">۳. توسعه فرضیه‌ها</w:t>
      </w:r>
    </w:p>
    <w:p>
      <w:pPr>
        <w:bidi/>
        <w:jc w:val="left"/>
      </w:pPr>
      <w:r>
        <w:rPr>
          <w:rFonts w:cs="B Nazanin"/>
          <w:rtl/>
          <w:szCs w:val="26"/>
        </w:rPr>
        <w:t xml:space="preserve">بر پایه نظریه نمایندگی و ادبیات تونل‌زنی، هرچه حجم وام جدید بیشتر باشد، فرصت و انگیزه انتقال بخشی از آن به دارایی‌های غیرعملیاتی بیشتر است. برای وام‌گیرندگان با دسترسی آسان به اعتبار، هزینه فرصت نگهداری وجوه در دارایی‌های بی‌ربط به فعالیت اصلی پایین است. بنابراین:</w:t>
      </w:r>
    </w:p>
    <w:p>
      <w:pPr>
        <w:bidi/>
        <w:jc w:val="left"/>
      </w:pPr>
      <w:r>
        <w:rPr>
          <w:rFonts w:cs="B Nazanin"/>
          <w:rtl/>
          <w:bCs/>
          <w:b/>
          <w:szCs w:val="26"/>
        </w:rPr>
        <w:t xml:space="preserve">فرضیه ۱:</w:t>
      </w:r>
      <w:r>
        <w:rPr>
          <w:rFonts w:cs="B Nazanin"/>
          <w:rtl/>
          <w:szCs w:val="26"/>
        </w:rPr>
        <w:t xml:space="preserve"> </w:t>
      </w:r>
      <w:r>
        <w:rPr>
          <w:rFonts w:cs="B Nazanin"/>
          <w:rtl/>
          <w:szCs w:val="26"/>
        </w:rPr>
        <w:t xml:space="preserve">میان خالص تسهیلات دریافتی و افزایش دارایی‌های غیرعملیاتی در همان سال رابطه مثبت و معنادار وجود دارد.</w:t>
      </w:r>
    </w:p>
    <w:p>
      <w:pPr>
        <w:bidi/>
        <w:jc w:val="left"/>
      </w:pPr>
      <w:r>
        <w:rPr>
          <w:rFonts w:cs="B Nazanin"/>
          <w:rtl/>
          <w:szCs w:val="26"/>
        </w:rPr>
        <w:t xml:space="preserve">حسابرس با افزایش احتمال کشف تحریف و افشای معاملات غیرعادی (از جمله معاملات با اشخاص وابسته) هزینه مورد انتظار انحراف را بالا می‌برد (DeAngelo, 1981; DeFond &amp; Zhang, 2014). همچنین حسابرسان با کیفیت بالاتر، اظهارنظر مشروط یا بند تأکید بر معاملات وابسته را محتمل‌تر می‌کنند. بنابراین:</w:t>
      </w:r>
    </w:p>
    <w:p>
      <w:pPr>
        <w:bidi/>
        <w:jc w:val="left"/>
      </w:pPr>
      <w:r>
        <w:rPr>
          <w:rFonts w:cs="B Nazanin"/>
          <w:rtl/>
          <w:bCs/>
          <w:b/>
          <w:szCs w:val="26"/>
        </w:rPr>
        <w:t xml:space="preserve">فرضیه ۲:</w:t>
      </w:r>
      <w:r>
        <w:rPr>
          <w:rFonts w:cs="B Nazanin"/>
          <w:rtl/>
          <w:szCs w:val="26"/>
        </w:rPr>
        <w:t xml:space="preserve"> </w:t>
      </w:r>
      <w:r>
        <w:rPr>
          <w:rFonts w:cs="B Nazanin"/>
          <w:rtl/>
          <w:szCs w:val="26"/>
        </w:rPr>
        <w:t xml:space="preserve">کیفیت بالاتر حسابرسی، رابطه مثبت میان تسهیلات دریافتی و دارایی‌های غیرعملیاتی را تضعیف می‌کند.</w:t>
      </w:r>
    </w:p>
    <w:p>
      <w:pPr>
        <w:bidi/>
        <w:jc w:val="left"/>
      </w:pPr>
      <w:r>
        <w:rPr>
          <w:rFonts w:cs="B Nazanin"/>
          <w:rtl/>
          <w:szCs w:val="26"/>
        </w:rPr>
        <w:t xml:space="preserve">در شرکت‌های دولتی، محدودیت بودجه نرم و انتظار حمایت، انگیزه پایش بانک و فشار بازار را کاهش می‌دهد، و در شرکت‌های دارای مالکیت متمرکز، سهامدار کنترل‌کننده توانایی بیشتری برای تونل‌زنی دارد. بنابراین:</w:t>
      </w:r>
    </w:p>
    <w:p>
      <w:pPr>
        <w:bidi/>
        <w:jc w:val="left"/>
      </w:pPr>
      <w:r>
        <w:rPr>
          <w:rFonts w:cs="B Nazanin"/>
          <w:rtl/>
          <w:bCs/>
          <w:b/>
          <w:szCs w:val="26"/>
        </w:rPr>
        <w:t xml:space="preserve">فرضیه ۳ (الف):</w:t>
      </w:r>
      <w:r>
        <w:rPr>
          <w:rFonts w:cs="B Nazanin"/>
          <w:rtl/>
          <w:szCs w:val="26"/>
        </w:rPr>
        <w:t xml:space="preserve"> </w:t>
      </w:r>
      <w:r>
        <w:rPr>
          <w:rFonts w:cs="B Nazanin"/>
          <w:rtl/>
          <w:szCs w:val="26"/>
        </w:rPr>
        <w:t xml:space="preserve">رابطه موضوع فرضیه ۱ در شرکت‌های با مالکیت دولتی قوی‌تر است.</w:t>
      </w:r>
    </w:p>
    <w:p>
      <w:pPr>
        <w:bidi/>
        <w:jc w:val="left"/>
      </w:pPr>
      <w:r>
        <w:rPr>
          <w:rFonts w:cs="B Nazanin"/>
          <w:rtl/>
          <w:bCs/>
          <w:b/>
          <w:szCs w:val="26"/>
        </w:rPr>
        <w:t xml:space="preserve">فرضیه ۳ (ب):</w:t>
      </w:r>
      <w:r>
        <w:rPr>
          <w:rFonts w:cs="B Nazanin"/>
          <w:rtl/>
          <w:szCs w:val="26"/>
        </w:rPr>
        <w:t xml:space="preserve"> </w:t>
      </w:r>
      <w:r>
        <w:rPr>
          <w:rFonts w:cs="B Nazanin"/>
          <w:rtl/>
          <w:szCs w:val="26"/>
        </w:rPr>
        <w:t xml:space="preserve">رابطه موضوع فرضیه ۱ در شرکت‌های با مالکیت متمرکزتر قوی‌تر است.</w:t>
      </w:r>
    </w:p>
    <w:p>
      <w:pPr>
        <w:bidi/>
        <w:jc w:val="left"/>
      </w:pPr>
      <w:r>
        <w:rPr>
          <w:rFonts w:cs="B Nazanin"/>
          <w:rtl/>
          <w:szCs w:val="26"/>
        </w:rPr>
        <w:t xml:space="preserve">اگر شاخص DIV واقعاً انحراف را اندازه بگیرد، باید با کاهش بازده منابع بنگاه در آینده همراه باشد، زیرا منابع منحرف‌شده در فعالیت اصلی به کار نمی‌روند (Richardson, 2006). این آزمون، «اعتبار پیش‌بینی» شاخص را می‌سنجد:</w:t>
      </w:r>
    </w:p>
    <w:p>
      <w:pPr>
        <w:bidi/>
        <w:jc w:val="left"/>
      </w:pPr>
      <w:r>
        <w:rPr>
          <w:rFonts w:cs="B Nazanin"/>
          <w:rtl/>
          <w:bCs/>
          <w:b/>
          <w:szCs w:val="26"/>
        </w:rPr>
        <w:t xml:space="preserve">فرضیه ۴:</w:t>
      </w:r>
      <w:r>
        <w:rPr>
          <w:rFonts w:cs="B Nazanin"/>
          <w:rtl/>
          <w:szCs w:val="26"/>
        </w:rPr>
        <w:t xml:space="preserve"> </w:t>
      </w:r>
      <w:r>
        <w:rPr>
          <w:rFonts w:cs="B Nazanin"/>
          <w:rtl/>
          <w:szCs w:val="26"/>
        </w:rPr>
        <w:t xml:space="preserve">شاخص انحراف مصرف تسهیلات (DIV) با عملکرد عملیاتی سال بعد رابطه منفی دارد.</w:t>
      </w:r>
    </w:p>
    <w:bookmarkEnd w:id="38"/>
    <w:bookmarkStart w:id="54" w:name="روششناسی-پژوهش"/>
    <w:p>
      <w:pPr>
        <w:bidi/>
        <w:pStyle w:val="Heading1"/>
        <w:jc w:val="left"/>
      </w:pPr>
      <w:r>
        <w:rPr>
          <w:rFonts w:cs="B Nazanin"/>
          <w:rtl/>
          <w:szCs w:val="26"/>
        </w:rPr>
        <w:t xml:space="preserve">۴. روش‌شناسی پژوهش</w:t>
      </w:r>
    </w:p>
    <w:bookmarkStart w:id="39" w:name="نوع-پژوهش-و-جامعه-آماری"/>
    <w:p>
      <w:pPr>
        <w:bidi/>
        <w:pStyle w:val="Heading2"/>
        <w:jc w:val="left"/>
      </w:pPr>
      <w:r>
        <w:rPr>
          <w:rFonts w:cs="B Nazanin"/>
          <w:rtl/>
          <w:szCs w:val="26"/>
        </w:rPr>
        <w:t xml:space="preserve">۴-۱. نوع پژوهش و جامعه آماری</w:t>
      </w:r>
    </w:p>
    <w:p>
      <w:pPr>
        <w:bidi/>
        <w:jc w:val="left"/>
      </w:pPr>
      <w:r>
        <w:rPr>
          <w:rFonts w:cs="B Nazanin"/>
          <w:rtl/>
          <w:szCs w:val="26"/>
        </w:rPr>
        <w:t xml:space="preserve">پژوهش از نظر هدف کاربردی و از نظر روش، توصیفی ـ همبستگی با رویکرد پس‌رویدادی (استفاده از داده‌های تاریخی) و بر پایه داده‌های تابلویی است. جامعه آماری شامل شرکت‌های پذیرفته‌شده در بورس اوراق بهادار تهران و فرابورس ایران است. دوره پژوهش سال‌های ۱۳۹۳ تا ۱۴۰۲ پیشنهاد می‌شود [با توجه به دسترسی به داده تغییر یابد].</w:t>
      </w:r>
    </w:p>
    <w:bookmarkEnd w:id="39"/>
    <w:bookmarkStart w:id="41" w:name="نمونهگیری-و-معیارهای-غربالگری"/>
    <w:p>
      <w:pPr>
        <w:bidi/>
        <w:pStyle w:val="Heading2"/>
        <w:jc w:val="left"/>
      </w:pPr>
      <w:r>
        <w:rPr>
          <w:rFonts w:cs="B Nazanin"/>
          <w:rtl/>
          <w:szCs w:val="26"/>
        </w:rPr>
        <w:t xml:space="preserve">۴-۲. نمونه‌گیری و معیارهای غربال‌گری</w:t>
      </w:r>
    </w:p>
    <w:p>
      <w:pPr>
        <w:bidi/>
        <w:jc w:val="left"/>
      </w:pPr>
      <w:r>
        <w:rPr>
          <w:rFonts w:cs="B Nazanin"/>
          <w:rtl/>
          <w:szCs w:val="26"/>
        </w:rPr>
        <w:t xml:space="preserve">نمونه به روش حذف سیستماتیک انتخاب می‌شود. شرکت‌ها در صورت دارا بودن همه شرایط زیر وارد نمونه می‌شوند:</w:t>
      </w:r>
    </w:p>
    <w:p>
      <w:pPr>
        <w:bidi/>
        <w:jc w:val="left"/>
      </w:pPr>
      <w:r>
        <w:rPr>
          <w:rFonts w:cs="B Nazanin"/>
          <w:rtl/>
          <w:szCs w:val="26"/>
        </w:rPr>
        <w:t xml:space="preserve">۱. پایان سال مالی ۲۹ اسفند و بدون تغییر سال مالی در دوره پژوهش (برای قابلیت مقایسه).</w:t>
      </w:r>
      <w:r>
        <w:rPr>
          <w:rFonts w:cs="B Nazanin"/>
          <w:rtl/>
          <w:szCs w:val="26"/>
        </w:rPr>
        <w:t xml:space="preserve"> </w:t>
      </w:r>
      <w:r>
        <w:rPr>
          <w:rFonts w:cs="B Nazanin"/>
          <w:rtl/>
          <w:szCs w:val="26"/>
        </w:rPr>
        <w:t xml:space="preserve">۲. غیرمالی بودن: بانک‌ها، بیمه‌ها، لیزینگ‌ها و نهادهای مالی کنار گذاشته می‌شوند، زیرا ساختار صورت‌های مالی و ماهیت تسهیلات آنها متفاوت است.</w:t>
      </w:r>
      <w:r>
        <w:rPr>
          <w:rFonts w:cs="B Nazanin"/>
          <w:rtl/>
          <w:szCs w:val="26"/>
        </w:rPr>
        <w:t xml:space="preserve"> </w:t>
      </w:r>
      <w:r>
        <w:rPr>
          <w:rFonts w:cs="B Nazanin"/>
          <w:rtl/>
          <w:szCs w:val="26"/>
        </w:rPr>
        <w:t xml:space="preserve">۳. حذف شرکت‌های سرمایه‌گذاری و هلدینگ‌ها، زیرا سرمایه‌گذاری در سهام و شرکت‌ها برای آنها دارایی عملیاتی است و شاخص DIV برای آنها بی‌معناست.</w:t>
      </w:r>
      <w:r>
        <w:rPr>
          <w:rFonts w:cs="B Nazanin"/>
          <w:rtl/>
          <w:szCs w:val="26"/>
        </w:rPr>
        <w:t xml:space="preserve"> </w:t>
      </w:r>
      <w:r>
        <w:rPr>
          <w:rFonts w:cs="B Nazanin"/>
          <w:rtl/>
          <w:szCs w:val="26"/>
        </w:rPr>
        <w:t xml:space="preserve">۴. در دسترس بودن داده‌های لازم برای محاسبه متغیرها در دست‌کم سه سال متوالی.</w:t>
      </w:r>
      <w:r>
        <w:rPr>
          <w:rFonts w:cs="B Nazanin"/>
          <w:rtl/>
          <w:szCs w:val="26"/>
        </w:rPr>
        <w:t xml:space="preserve"> </w:t>
      </w:r>
      <w:r>
        <w:rPr>
          <w:rFonts w:cs="B Nazanin"/>
          <w:rtl/>
          <w:szCs w:val="26"/>
        </w:rPr>
        <w:t xml:space="preserve">۵. دارا بودن تسهیلات مالی در یادداشت‌های توضیحی در حداقل یک سال از دوره.</w:t>
      </w:r>
    </w:p>
    <w:p>
      <w:pPr>
        <w:bidi/>
        <w:jc w:val="left"/>
      </w:pPr>
      <w:r>
        <w:rPr>
          <w:rFonts w:cs="B Nazanin"/>
          <w:rtl/>
          <w:szCs w:val="26"/>
        </w:rPr>
        <w:t xml:space="preserve">برای کاهش اثر مقادیر پرت، متغیرهای پیوسته در صدک‌های ۱ و ۹۹ وینزورایز می‌شوند.</w:t>
      </w:r>
      <w:r>
        <w:rPr>
          <w:rFonts w:cs="B Nazanin"/>
          <w:rStyle w:val="FootnoteReference"/>
          <w:rtl/>
          <w:szCs w:val="26"/>
        </w:rPr>
        <w:footnoteReference w:id="40"/>
      </w:r>
    </w:p>
    <w:bookmarkEnd w:id="41"/>
    <w:bookmarkStart w:id="42" w:name="منابع-گردآوری-داده"/>
    <w:p>
      <w:pPr>
        <w:bidi/>
        <w:pStyle w:val="Heading2"/>
        <w:jc w:val="left"/>
      </w:pPr>
      <w:r>
        <w:rPr>
          <w:rFonts w:cs="B Nazanin"/>
          <w:rtl/>
          <w:szCs w:val="26"/>
        </w:rPr>
        <w:t xml:space="preserve">۴-۳. منابع گردآوری داده</w:t>
      </w:r>
    </w:p>
    <w:p>
      <w:pPr>
        <w:bidi/>
        <w:jc w:val="left"/>
      </w:pPr>
      <w:r>
        <w:rPr>
          <w:rFonts w:cs="B Nazanin"/>
          <w:rtl/>
          <w:szCs w:val="26"/>
        </w:rPr>
        <w:t xml:space="preserve">داده‌ها از صورت‌های مالی حسابرسی‌شده و یادداشت‌های توضیحی منتشرشده در سامانه جامع اطلاع‌رسانی ناشران (کدال)، پایگاه‌های «رهاورد نوین» و «تدبیرپرداز»، و داده‌های مالکیت منتشرشده شرکت بورس و سازمان بورس و اوراق بهادار گردآوری می‌شود. داده‌های مربوط به حسابرس از گزارش حسابرس مستقل و بند اظهارنظر استخراج می‌شود. اقلام یادداشتی (دریافتنی‌های وابسته، تفکیک سرمایه‌گذاری‌ها) باید به‌صورت دستی یا از طریق خزش وب کنترل شوند.</w:t>
      </w:r>
    </w:p>
    <w:bookmarkEnd w:id="42"/>
    <w:bookmarkStart w:id="46" w:name="مدلهای-پژوهش"/>
    <w:p>
      <w:pPr>
        <w:bidi/>
        <w:pStyle w:val="Heading2"/>
        <w:jc w:val="left"/>
      </w:pPr>
      <w:r>
        <w:rPr>
          <w:rFonts w:cs="B Nazanin"/>
          <w:rtl/>
          <w:szCs w:val="26"/>
        </w:rPr>
        <w:t xml:space="preserve">۴-۴. مدل‌های پژوهش</w:t>
      </w:r>
    </w:p>
    <w:bookmarkStart w:id="43" w:name="مدل-۱-آزمون-فرضیه-۱-و-۲-و-۳"/>
    <w:p>
      <w:pPr>
        <w:bidi/>
        <w:pStyle w:val="Heading3"/>
        <w:jc w:val="left"/>
      </w:pPr>
      <w:r>
        <w:rPr>
          <w:rFonts w:cs="B Nazanin"/>
          <w:rtl/>
          <w:szCs w:val="26"/>
        </w:rPr>
        <w:t xml:space="preserve">مدل ۱: آزمون فرضیه ۱ و ۲ و ۳</w:t>
      </w:r>
    </w:p>
    <w:p>
      <w:pPr>
        <w:bidi/>
        <w:jc w:val="left"/>
      </w:pPr>
      <m:oMathPara>
        <m:oMathParaPr>
          <m:jc m:val="center"/>
        </m:oMathParaPr>
        <m:oMath>
          <m:r>
            <m:t>N</m:t>
          </m:r>
          <m:r>
            <m:t>O</m:t>
          </m:r>
          <m:r>
            <m:t>N</m:t>
          </m:r>
          <m:r>
            <m:t>O</m:t>
          </m:r>
          <m:sSub>
            <m:e>
              <m:r>
                <m:t>P</m:t>
              </m:r>
            </m:e>
            <m:sub>
              <m:r>
                <m:t>i</m:t>
              </m:r>
              <m:r>
                <m:t>t</m:t>
              </m:r>
            </m:sub>
          </m:sSub>
          <m:r>
            <m:rPr>
              <m:sty m:val="p"/>
            </m:rPr>
            <m:t>=</m:t>
          </m:r>
          <m:sSub>
            <m:e>
              <m:r>
                <m:t>α</m:t>
              </m:r>
            </m:e>
            <m:sub>
              <m:r>
                <m:t>0</m:t>
              </m:r>
            </m:sub>
          </m:sSub>
          <m:r>
            <m:rPr>
              <m:sty m:val="p"/>
            </m:rPr>
            <m:t>+</m:t>
          </m:r>
          <m:sSub>
            <m:e>
              <m:r>
                <m:t>α</m:t>
              </m:r>
            </m:e>
            <m:sub>
              <m:r>
                <m:t>1</m:t>
              </m:r>
            </m:sub>
          </m:sSub>
          <m:r>
            <m:t>L</m:t>
          </m:r>
          <m:r>
            <m:t>O</m:t>
          </m:r>
          <m:r>
            <m:t>A</m:t>
          </m:r>
          <m:sSub>
            <m:e>
              <m:r>
                <m:t>N</m:t>
              </m:r>
            </m:e>
            <m:sub>
              <m:r>
                <m:t>i</m:t>
              </m:r>
              <m:r>
                <m:t>t</m:t>
              </m:r>
            </m:sub>
          </m:sSub>
          <m:r>
            <m:rPr>
              <m:sty m:val="p"/>
            </m:rPr>
            <m:t>+</m:t>
          </m:r>
          <m:sSub>
            <m:e>
              <m:r>
                <m:t>α</m:t>
              </m:r>
            </m:e>
            <m:sub>
              <m:r>
                <m:t>2</m:t>
              </m:r>
            </m:sub>
          </m:sSub>
          <m:r>
            <m:t>A</m:t>
          </m:r>
          <m:r>
            <m:t>U</m:t>
          </m:r>
          <m:r>
            <m:t>D</m:t>
          </m:r>
          <m:sSub>
            <m:e>
              <m:r>
                <m:t>Q</m:t>
              </m:r>
            </m:e>
            <m:sub>
              <m:r>
                <m:t>i</m:t>
              </m:r>
              <m:r>
                <m:t>t</m:t>
              </m:r>
            </m:sub>
          </m:sSub>
          <m:r>
            <m:rPr>
              <m:sty m:val="p"/>
            </m:rPr>
            <m:t>+</m:t>
          </m:r>
          <m:sSub>
            <m:e>
              <m:r>
                <m:t>α</m:t>
              </m:r>
            </m:e>
            <m:sub>
              <m:r>
                <m:t>3</m:t>
              </m:r>
            </m:sub>
          </m:sSub>
          <m:d>
            <m:dPr>
              <m:begChr m:val="("/>
              <m:endChr m:val=")"/>
              <m:sepChr m:val=""/>
              <m:grow/>
            </m:dPr>
            <m:e>
              <m:r>
                <m:t>L</m:t>
              </m:r>
              <m:r>
                <m:t>O</m:t>
              </m:r>
              <m:r>
                <m:t>A</m:t>
              </m:r>
              <m:sSub>
                <m:e>
                  <m:r>
                    <m:t>N</m:t>
                  </m:r>
                </m:e>
                <m:sub>
                  <m:r>
                    <m:t>i</m:t>
                  </m:r>
                  <m:r>
                    <m:t>t</m:t>
                  </m:r>
                </m:sub>
              </m:sSub>
              <m:r>
                <m:rPr>
                  <m:sty m:val="p"/>
                </m:rPr>
                <m:t>×</m:t>
              </m:r>
              <m:r>
                <m:t>A</m:t>
              </m:r>
              <m:r>
                <m:t>U</m:t>
              </m:r>
              <m:r>
                <m:t>D</m:t>
              </m:r>
              <m:sSub>
                <m:e>
                  <m:r>
                    <m:t>Q</m:t>
                  </m:r>
                </m:e>
                <m:sub>
                  <m:r>
                    <m:t>i</m:t>
                  </m:r>
                  <m:r>
                    <m:t>t</m:t>
                  </m:r>
                </m:sub>
              </m:sSub>
            </m:e>
          </m:d>
          <m:r>
            <m:rPr>
              <m:sty m:val="p"/>
            </m:rPr>
            <m:t>+</m:t>
          </m:r>
          <m:sSub>
            <m:e>
              <m:r>
                <m:t>α</m:t>
              </m:r>
            </m:e>
            <m:sub>
              <m:r>
                <m:t>4</m:t>
              </m:r>
            </m:sub>
          </m:sSub>
          <m:r>
            <m:t>S</m:t>
          </m:r>
          <m:r>
            <m:t>T</m:t>
          </m:r>
          <m:r>
            <m:t>A</m:t>
          </m:r>
          <m:r>
            <m:t>T</m:t>
          </m:r>
          <m:sSub>
            <m:e>
              <m:r>
                <m:t>E</m:t>
              </m:r>
            </m:e>
            <m:sub>
              <m:r>
                <m:t>i</m:t>
              </m:r>
              <m:r>
                <m:t>t</m:t>
              </m:r>
            </m:sub>
          </m:sSub>
          <m:r>
            <m:rPr>
              <m:sty m:val="p"/>
            </m:rPr>
            <m:t>+</m:t>
          </m:r>
          <m:sSub>
            <m:e>
              <m:r>
                <m:t>α</m:t>
              </m:r>
            </m:e>
            <m:sub>
              <m:r>
                <m:t>5</m:t>
              </m:r>
            </m:sub>
          </m:sSub>
          <m:d>
            <m:dPr>
              <m:begChr m:val="("/>
              <m:endChr m:val=")"/>
              <m:sepChr m:val=""/>
              <m:grow/>
            </m:dPr>
            <m:e>
              <m:r>
                <m:t>L</m:t>
              </m:r>
              <m:r>
                <m:t>O</m:t>
              </m:r>
              <m:r>
                <m:t>A</m:t>
              </m:r>
              <m:sSub>
                <m:e>
                  <m:r>
                    <m:t>N</m:t>
                  </m:r>
                </m:e>
                <m:sub>
                  <m:r>
                    <m:t>i</m:t>
                  </m:r>
                  <m:r>
                    <m:t>t</m:t>
                  </m:r>
                </m:sub>
              </m:sSub>
              <m:r>
                <m:rPr>
                  <m:sty m:val="p"/>
                </m:rPr>
                <m:t>×</m:t>
              </m:r>
              <m:r>
                <m:t>S</m:t>
              </m:r>
              <m:r>
                <m:t>T</m:t>
              </m:r>
              <m:r>
                <m:t>A</m:t>
              </m:r>
              <m:r>
                <m:t>T</m:t>
              </m:r>
              <m:sSub>
                <m:e>
                  <m:r>
                    <m:t>E</m:t>
                  </m:r>
                </m:e>
                <m:sub>
                  <m:r>
                    <m:t>i</m:t>
                  </m:r>
                  <m:r>
                    <m:t>t</m:t>
                  </m:r>
                </m:sub>
              </m:sSub>
            </m:e>
          </m:d>
          <m:r>
            <m:rPr>
              <m:sty m:val="p"/>
            </m:rPr>
            <m:t>+</m:t>
          </m:r>
          <m:sSub>
            <m:e>
              <m:r>
                <m:t>α</m:t>
              </m:r>
            </m:e>
            <m:sub>
              <m:r>
                <m:t>6</m:t>
              </m:r>
            </m:sub>
          </m:sSub>
          <m:r>
            <m:t>C</m:t>
          </m:r>
          <m:r>
            <m:t>O</m:t>
          </m:r>
          <m:r>
            <m:t>N</m:t>
          </m:r>
          <m:sSub>
            <m:e>
              <m:r>
                <m:t>C</m:t>
              </m:r>
            </m:e>
            <m:sub>
              <m:r>
                <m:t>i</m:t>
              </m:r>
              <m:r>
                <m:t>t</m:t>
              </m:r>
            </m:sub>
          </m:sSub>
          <m:r>
            <m:rPr>
              <m:sty m:val="p"/>
            </m:rPr>
            <m:t>+</m:t>
          </m:r>
          <m:sSub>
            <m:e>
              <m:r>
                <m:t>α</m:t>
              </m:r>
            </m:e>
            <m:sub>
              <m:r>
                <m:t>7</m:t>
              </m:r>
            </m:sub>
          </m:sSub>
          <m:d>
            <m:dPr>
              <m:begChr m:val="("/>
              <m:endChr m:val=")"/>
              <m:sepChr m:val=""/>
              <m:grow/>
            </m:dPr>
            <m:e>
              <m:r>
                <m:t>L</m:t>
              </m:r>
              <m:r>
                <m:t>O</m:t>
              </m:r>
              <m:r>
                <m:t>A</m:t>
              </m:r>
              <m:sSub>
                <m:e>
                  <m:r>
                    <m:t>N</m:t>
                  </m:r>
                </m:e>
                <m:sub>
                  <m:r>
                    <m:t>i</m:t>
                  </m:r>
                  <m:r>
                    <m:t>t</m:t>
                  </m:r>
                </m:sub>
              </m:sSub>
              <m:r>
                <m:rPr>
                  <m:sty m:val="p"/>
                </m:rPr>
                <m:t>×</m:t>
              </m:r>
              <m:r>
                <m:t>C</m:t>
              </m:r>
              <m:r>
                <m:t>O</m:t>
              </m:r>
              <m:r>
                <m:t>N</m:t>
              </m:r>
              <m:sSub>
                <m:e>
                  <m:r>
                    <m:t>C</m:t>
                  </m:r>
                </m:e>
                <m:sub>
                  <m:r>
                    <m:t>i</m:t>
                  </m:r>
                  <m:r>
                    <m:t>t</m:t>
                  </m:r>
                </m:sub>
              </m:sSub>
            </m:e>
          </m:d>
          <m:r>
            <m:rPr>
              <m:sty m:val="p"/>
            </m:rPr>
            <m:t>+</m:t>
          </m:r>
          <m:nary>
            <m:naryPr>
              <m:chr m:val="∑"/>
              <m:limLoc m:val="undOvr"/>
              <m:subHide m:val="off"/>
              <m:supHide m:val="on"/>
            </m:naryPr>
            <m:sub>
              <m:r>
                <m:t>k</m:t>
              </m:r>
            </m:sub>
            <m:sup>
              <m:r>
                <m:t>​</m:t>
              </m:r>
            </m:sup>
            <m:e>
              <m:sSub>
                <m:e>
                  <m:r>
                    <m:t>γ</m:t>
                  </m:r>
                </m:e>
                <m:sub>
                  <m:r>
                    <m:t>k</m:t>
                  </m:r>
                </m:sub>
              </m:sSub>
            </m:e>
          </m:nary>
          <m:r>
            <m:t>C</m:t>
          </m:r>
          <m:r>
            <m:t>O</m:t>
          </m:r>
          <m:r>
            <m:t>N</m:t>
          </m:r>
          <m:r>
            <m:t>T</m:t>
          </m:r>
          <m:r>
            <m:t>R</m:t>
          </m:r>
          <m:r>
            <m:t>O</m:t>
          </m:r>
          <m:sSub>
            <m:e>
              <m:r>
                <m:t>L</m:t>
              </m:r>
            </m:e>
            <m:sub>
              <m:r>
                <m:t>k</m:t>
              </m:r>
              <m:r>
                <m:rPr>
                  <m:sty m:val="p"/>
                </m:rPr>
                <m:t>,</m:t>
              </m:r>
              <m:r>
                <m:t>i</m:t>
              </m:r>
              <m:r>
                <m:t>t</m:t>
              </m:r>
            </m:sub>
          </m:sSub>
          <m:r>
            <m:rPr>
              <m:sty m:val="p"/>
            </m:rPr>
            <m:t>+</m:t>
          </m:r>
          <m:sSub>
            <m:e>
              <m:r>
                <m:t>μ</m:t>
              </m:r>
            </m:e>
            <m:sub>
              <m:r>
                <m:t>i</m:t>
              </m:r>
            </m:sub>
          </m:sSub>
          <m:r>
            <m:rPr>
              <m:sty m:val="p"/>
            </m:rPr>
            <m:t>+</m:t>
          </m:r>
          <m:sSub>
            <m:e>
              <m:r>
                <m:t>τ</m:t>
              </m:r>
            </m:e>
            <m:sub>
              <m:r>
                <m:t>t</m:t>
              </m:r>
            </m:sub>
          </m:sSub>
          <m:r>
            <m:rPr>
              <m:sty m:val="p"/>
            </m:rPr>
            <m:t>+</m:t>
          </m:r>
          <m:sSub>
            <m:e>
              <m:r>
                <m:t>ε</m:t>
              </m:r>
            </m:e>
            <m:sub>
              <m:r>
                <m:t>i</m:t>
              </m:r>
              <m:r>
                <m:t>t</m:t>
              </m:r>
            </m:sub>
          </m:sSub>
        </m:oMath>
      </m:oMathPara>
    </w:p>
    <w:p>
      <w:pPr>
        <w:bidi/>
        <w:jc w:val="left"/>
      </w:pPr>
      <w:r>
        <w:rPr>
          <w:rFonts w:cs="B Nazanin"/>
          <w:rtl/>
          <w:szCs w:val="26"/>
        </w:rPr>
        <w:t xml:space="preserve">که در آن</w:t>
      </w:r>
      <w:r>
        <w:rPr>
          <w:rFonts w:cs="B Nazanin"/>
          <w:rtl/>
          <w:szCs w:val="26"/>
        </w:rPr>
        <w:t xml:space="preserve"> </w:t>
      </w:r>
      <m:oMath>
        <m:sSub>
          <m:e>
            <m:r>
              <m:t>μ</m:t>
            </m:r>
          </m:e>
          <m:sub>
            <m:r>
              <m:t>i</m:t>
            </m:r>
          </m:sub>
        </m:sSub>
      </m:oMath>
      <w:r>
        <w:rPr>
          <w:rFonts w:cs="B Nazanin"/>
          <w:rtl/>
          <w:szCs w:val="26"/>
        </w:rPr>
        <w:t xml:space="preserve"> </w:t>
      </w:r>
      <w:r>
        <w:rPr>
          <w:rFonts w:cs="B Nazanin"/>
          <w:rtl/>
          <w:szCs w:val="26"/>
        </w:rPr>
        <w:t xml:space="preserve">اثر ثابت شرکت،</w:t>
      </w:r>
      <w:r>
        <w:rPr>
          <w:rFonts w:cs="B Nazanin"/>
          <w:rtl/>
          <w:szCs w:val="26"/>
        </w:rPr>
        <w:t xml:space="preserve"> </w:t>
      </w:r>
      <m:oMath>
        <m:sSub>
          <m:e>
            <m:r>
              <m:t>τ</m:t>
            </m:r>
          </m:e>
          <m:sub>
            <m:r>
              <m:t>t</m:t>
            </m:r>
          </m:sub>
        </m:sSub>
      </m:oMath>
      <w:r>
        <w:rPr>
          <w:rFonts w:cs="B Nazanin"/>
          <w:rtl/>
          <w:szCs w:val="26"/>
        </w:rPr>
        <w:t xml:space="preserve"> </w:t>
      </w:r>
      <w:r>
        <w:rPr>
          <w:rFonts w:cs="B Nazanin"/>
          <w:rtl/>
          <w:szCs w:val="26"/>
        </w:rPr>
        <w:t xml:space="preserve">اثر ثابت سال و</w:t>
      </w:r>
      <w:r>
        <w:rPr>
          <w:rFonts w:cs="B Nazanin"/>
          <w:rtl/>
          <w:szCs w:val="26"/>
        </w:rPr>
        <w:t xml:space="preserve"> </w:t>
      </w:r>
      <m:oMath>
        <m:sSub>
          <m:e>
            <m:r>
              <m:t>ε</m:t>
            </m:r>
          </m:e>
          <m:sub>
            <m:r>
              <m:t>i</m:t>
            </m:r>
            <m:r>
              <m:t>t</m:t>
            </m:r>
          </m:sub>
        </m:sSub>
      </m:oMath>
      <w:r>
        <w:rPr>
          <w:rFonts w:cs="B Nazanin"/>
          <w:rtl/>
          <w:szCs w:val="26"/>
        </w:rPr>
        <w:t xml:space="preserve"> </w:t>
      </w:r>
      <w:r>
        <w:rPr>
          <w:rFonts w:cs="B Nazanin"/>
          <w:rtl/>
          <w:szCs w:val="26"/>
        </w:rPr>
        <w:t xml:space="preserve">جمله خطاست. طبق فرضیه‌ها انتظار می‌رود</w:t>
      </w:r>
      <w:r>
        <w:rPr>
          <w:rFonts w:cs="B Nazanin"/>
          <w:rtl/>
          <w:szCs w:val="26"/>
        </w:rPr>
        <w:t xml:space="preserve"> </w:t>
      </w:r>
      <m:oMath>
        <m:sSub>
          <m:e>
            <m:r>
              <m:t>α</m:t>
            </m:r>
          </m:e>
          <m:sub>
            <m:r>
              <m:t>1</m:t>
            </m:r>
          </m:sub>
        </m:sSub>
        <m:r>
          <m:rPr>
            <m:sty m:val="p"/>
          </m:rPr>
          <m:t>&gt;</m:t>
        </m:r>
        <m:r>
          <m:t>0</m:t>
        </m:r>
      </m:oMath>
      <w:r>
        <w:rPr>
          <w:rFonts w:cs="B Nazanin"/>
          <w:rtl/>
          <w:szCs w:val="26"/>
        </w:rPr>
        <w:t xml:space="preserve">،</w:t>
      </w:r>
      <w:r>
        <w:rPr>
          <w:rFonts w:cs="B Nazanin"/>
          <w:rtl/>
          <w:szCs w:val="26"/>
        </w:rPr>
        <w:t xml:space="preserve"> </w:t>
      </w:r>
      <m:oMath>
        <m:sSub>
          <m:e>
            <m:r>
              <m:t>α</m:t>
            </m:r>
          </m:e>
          <m:sub>
            <m:r>
              <m:t>3</m:t>
            </m:r>
          </m:sub>
        </m:sSub>
        <m:r>
          <m:rPr>
            <m:sty m:val="p"/>
          </m:rPr>
          <m:t>&lt;</m:t>
        </m:r>
        <m:r>
          <m:t>0</m:t>
        </m:r>
      </m:oMath>
      <w:r>
        <w:rPr>
          <w:rFonts w:cs="B Nazanin"/>
          <w:rtl/>
          <w:szCs w:val="26"/>
        </w:rPr>
        <w:t xml:space="preserve">،</w:t>
      </w:r>
      <w:r>
        <w:rPr>
          <w:rFonts w:cs="B Nazanin"/>
          <w:rtl/>
          <w:szCs w:val="26"/>
        </w:rPr>
        <w:t xml:space="preserve"> </w:t>
      </w:r>
      <m:oMath>
        <m:sSub>
          <m:e>
            <m:r>
              <m:t>α</m:t>
            </m:r>
          </m:e>
          <m:sub>
            <m:r>
              <m:t>5</m:t>
            </m:r>
          </m:sub>
        </m:sSub>
        <m:r>
          <m:rPr>
            <m:sty m:val="p"/>
          </m:rPr>
          <m:t>&gt;</m:t>
        </m:r>
        <m:r>
          <m:t>0</m:t>
        </m:r>
      </m:oMath>
      <w:r>
        <w:rPr>
          <w:rFonts w:cs="B Nazanin"/>
          <w:rtl/>
          <w:szCs w:val="26"/>
        </w:rPr>
        <w:t xml:space="preserve"> </w:t>
      </w:r>
      <w:r>
        <w:rPr>
          <w:rFonts w:cs="B Nazanin"/>
          <w:rtl/>
          <w:szCs w:val="26"/>
        </w:rPr>
        <w:t xml:space="preserve">و</w:t>
      </w:r>
      <w:r>
        <w:rPr>
          <w:rFonts w:cs="B Nazanin"/>
          <w:rtl/>
          <w:szCs w:val="26"/>
        </w:rPr>
        <w:t xml:space="preserve"> </w:t>
      </w:r>
      <m:oMath>
        <m:sSub>
          <m:e>
            <m:r>
              <m:t>α</m:t>
            </m:r>
          </m:e>
          <m:sub>
            <m:r>
              <m:t>7</m:t>
            </m:r>
          </m:sub>
        </m:sSub>
        <m:r>
          <m:rPr>
            <m:sty m:val="p"/>
          </m:rPr>
          <m:t>&gt;</m:t>
        </m:r>
        <m:r>
          <m:t>0</m:t>
        </m:r>
      </m:oMath>
      <w:r>
        <w:rPr>
          <w:rFonts w:cs="B Nazanin"/>
          <w:rtl/>
          <w:szCs w:val="26"/>
        </w:rPr>
        <w:t xml:space="preserve"> </w:t>
      </w:r>
      <w:r>
        <w:rPr>
          <w:rFonts w:cs="B Nazanin"/>
          <w:rtl/>
          <w:szCs w:val="26"/>
        </w:rPr>
        <w:t xml:space="preserve">باشد. برای جلوگیری از چندهم‌خطی ناشی از اثر متقابل، متغیرهای پیوسته مرکزی‌سازی می‌شوند.</w:t>
      </w:r>
    </w:p>
    <w:bookmarkEnd w:id="43"/>
    <w:bookmarkStart w:id="44" w:name="X1e9b64cd34e091c177861ab1aa8d9bf218078dd"/>
    <w:p>
      <w:pPr>
        <w:bidi/>
        <w:pStyle w:val="Heading3"/>
        <w:jc w:val="left"/>
      </w:pPr>
      <w:r>
        <w:rPr>
          <w:rFonts w:cs="B Nazanin"/>
          <w:rtl/>
          <w:szCs w:val="26"/>
        </w:rPr>
        <w:t xml:space="preserve">مدل ۲: طرح رویدادپژوهی (تفاضل در تفاضل با اجرای مرحله‌ای)</w:t>
      </w:r>
    </w:p>
    <w:p>
      <w:pPr>
        <w:bidi/>
        <w:jc w:val="left"/>
      </w:pPr>
      <w:r>
        <w:rPr>
          <w:rFonts w:cs="B Nazanin"/>
          <w:rtl/>
          <w:szCs w:val="26"/>
        </w:rPr>
        <w:t xml:space="preserve">برای کاهش نگرانی‌های مربوط به رابطه علّی، رویداد «دریافت تسهیلات بزرگ» تعریف می‌شود. شرکتی در سال</w:t>
      </w:r>
      <w:r>
        <w:rPr>
          <w:rFonts w:cs="B Nazanin"/>
          <w:rtl/>
          <w:szCs w:val="26"/>
        </w:rPr>
        <w:t xml:space="preserve"> </w:t>
      </w:r>
      <m:oMath>
        <m:r>
          <m:t>g</m:t>
        </m:r>
      </m:oMath>
      <w:r>
        <w:rPr>
          <w:rFonts w:cs="B Nazanin"/>
          <w:rtl/>
          <w:szCs w:val="26"/>
        </w:rPr>
        <w:t xml:space="preserve"> </w:t>
      </w:r>
      <w:r>
        <w:rPr>
          <w:rFonts w:cs="B Nazanin"/>
          <w:rtl/>
          <w:szCs w:val="26"/>
        </w:rPr>
        <w:t xml:space="preserve">تیمار می‌شود که برای نخستین بار</w:t>
      </w:r>
      <w:r>
        <w:rPr>
          <w:rFonts w:cs="B Nazanin"/>
          <w:rtl/>
          <w:szCs w:val="26"/>
        </w:rPr>
        <w:t xml:space="preserve"> </w:t>
      </w:r>
      <m:oMath>
        <m:r>
          <m:t>L</m:t>
        </m:r>
        <m:r>
          <m:t>O</m:t>
        </m:r>
        <m:r>
          <m:t>A</m:t>
        </m:r>
        <m:sSub>
          <m:e>
            <m:r>
              <m:t>N</m:t>
            </m:r>
          </m:e>
          <m:sub>
            <m:r>
              <m:t>i</m:t>
            </m:r>
            <m:r>
              <m:t>t</m:t>
            </m:r>
          </m:sub>
        </m:sSub>
      </m:oMath>
      <w:r>
        <w:rPr>
          <w:rFonts w:cs="B Nazanin"/>
          <w:rtl/>
          <w:szCs w:val="26"/>
        </w:rPr>
        <w:t xml:space="preserve"> </w:t>
      </w:r>
      <w:r>
        <w:rPr>
          <w:rFonts w:cs="B Nazanin"/>
          <w:rtl/>
          <w:szCs w:val="26"/>
        </w:rPr>
        <w:t xml:space="preserve">آن از ۵٪ دارایی‌های ابتدای دوره فراتر برود. از برآوردگر کالاوی و سنت‌آنا (2021) استفاده می‌شود که اثر میانگین تیمار برای هر گروه زمانی و دوره</w:t>
      </w:r>
      <w:r>
        <w:rPr>
          <w:rFonts w:cs="B Nazanin"/>
          <w:rtl/>
          <w:szCs w:val="26"/>
        </w:rPr>
        <w:t xml:space="preserve"> </w:t>
      </w:r>
      <m:oMath>
        <m:r>
          <m:t>A</m:t>
        </m:r>
        <m:r>
          <m:t>T</m:t>
        </m:r>
        <m:r>
          <m:t>T</m:t>
        </m:r>
        <m:d>
          <m:dPr>
            <m:begChr m:val="("/>
            <m:endChr m:val=")"/>
            <m:sepChr m:val=""/>
            <m:grow/>
          </m:dPr>
          <m:e>
            <m:r>
              <m:t>g</m:t>
            </m:r>
            <m:r>
              <m:rPr>
                <m:sty m:val="p"/>
              </m:rPr>
              <m:t>,</m:t>
            </m:r>
            <m:r>
              <m:t>t</m:t>
            </m:r>
          </m:e>
        </m:d>
      </m:oMath>
      <w:r>
        <w:rPr>
          <w:rFonts w:cs="B Nazanin"/>
          <w:rtl/>
          <w:szCs w:val="26"/>
        </w:rPr>
        <w:t xml:space="preserve"> </w:t>
      </w:r>
      <w:r>
        <w:rPr>
          <w:rFonts w:cs="B Nazanin"/>
          <w:rtl/>
          <w:szCs w:val="26"/>
        </w:rPr>
        <w:t xml:space="preserve">را با به‌کارگیری گروه‌های «هرگز تیمارنشده» یا «هنوز تیمارنشده» برآورد و سپس تجمیع می‌کند.</w:t>
      </w:r>
    </w:p>
    <w:p>
      <w:pPr>
        <w:bidi/>
        <w:jc w:val="left"/>
      </w:pPr>
      <m:oMathPara>
        <m:oMathParaPr>
          <m:jc m:val="center"/>
        </m:oMathParaPr>
        <m:oMath>
          <m:r>
            <m:t>A</m:t>
          </m:r>
          <m:r>
            <m:t>T</m:t>
          </m:r>
          <m:r>
            <m:t>T</m:t>
          </m:r>
          <m:d>
            <m:dPr>
              <m:begChr m:val="("/>
              <m:endChr m:val=")"/>
              <m:sepChr m:val=""/>
              <m:grow/>
            </m:dPr>
            <m:e>
              <m:r>
                <m:t>g</m:t>
              </m:r>
              <m:r>
                <m:rPr>
                  <m:sty m:val="p"/>
                </m:rPr>
                <m:t>,</m:t>
              </m:r>
              <m:r>
                <m:t>t</m:t>
              </m:r>
            </m:e>
          </m:d>
          <m:r>
            <m:rPr>
              <m:sty m:val="p"/>
            </m:rPr>
            <m:t>=</m:t>
          </m:r>
          <m:r>
            <m:t>E</m:t>
          </m:r>
          <m:d>
            <m:dPr>
              <m:begChr m:val="["/>
              <m:endChr m:val="]"/>
              <m:sepChr m:val=""/>
              <m:grow/>
            </m:dPr>
            <m:e>
              <m:r>
                <m:t>N</m:t>
              </m:r>
              <m:r>
                <m:t>O</m:t>
              </m:r>
              <m:r>
                <m:t>N</m:t>
              </m:r>
              <m:r>
                <m:t>O</m:t>
              </m:r>
              <m:sSub>
                <m:e>
                  <m:r>
                    <m:t>P</m:t>
                  </m:r>
                </m:e>
                <m:sub>
                  <m:r>
                    <m:t>t</m:t>
                  </m:r>
                </m:sub>
              </m:sSub>
              <m:r>
                <m:rPr>
                  <m:sty m:val="p"/>
                </m:rPr>
                <m:t>−</m:t>
              </m:r>
              <m:r>
                <m:t>N</m:t>
              </m:r>
              <m:r>
                <m:t>O</m:t>
              </m:r>
              <m:r>
                <m:t>N</m:t>
              </m:r>
              <m:r>
                <m:t>O</m:t>
              </m:r>
              <m:sSub>
                <m:e>
                  <m:r>
                    <m:t>P</m:t>
                  </m:r>
                </m:e>
                <m:sub>
                  <m:r>
                    <m:t>g</m:t>
                  </m:r>
                  <m:r>
                    <m:rPr>
                      <m:sty m:val="p"/>
                    </m:rPr>
                    <m:t>−</m:t>
                  </m:r>
                  <m:r>
                    <m:t>1</m:t>
                  </m:r>
                </m:sub>
              </m:sSub>
              <m:r>
                <m:rPr>
                  <m:sty m:val="p"/>
                </m:rPr>
                <m:t>∣</m:t>
              </m:r>
              <m:sSub>
                <m:e>
                  <m:r>
                    <m:t>G</m:t>
                  </m:r>
                </m:e>
                <m:sub>
                  <m:r>
                    <m:t>g</m:t>
                  </m:r>
                </m:sub>
              </m:sSub>
              <m:r>
                <m:rPr>
                  <m:sty m:val="p"/>
                </m:rPr>
                <m:t>=</m:t>
              </m:r>
              <m:r>
                <m:t>1</m:t>
              </m:r>
            </m:e>
          </m:d>
          <m:r>
            <m:rPr>
              <m:sty m:val="p"/>
            </m:rPr>
            <m:t>−</m:t>
          </m:r>
          <m:r>
            <m:t>E</m:t>
          </m:r>
          <m:d>
            <m:dPr>
              <m:begChr m:val="["/>
              <m:endChr m:val="]"/>
              <m:sepChr m:val=""/>
              <m:grow/>
            </m:dPr>
            <m:e>
              <m:r>
                <m:t>N</m:t>
              </m:r>
              <m:r>
                <m:t>O</m:t>
              </m:r>
              <m:r>
                <m:t>N</m:t>
              </m:r>
              <m:r>
                <m:t>O</m:t>
              </m:r>
              <m:sSub>
                <m:e>
                  <m:r>
                    <m:t>P</m:t>
                  </m:r>
                </m:e>
                <m:sub>
                  <m:r>
                    <m:t>t</m:t>
                  </m:r>
                </m:sub>
              </m:sSub>
              <m:r>
                <m:rPr>
                  <m:sty m:val="p"/>
                </m:rPr>
                <m:t>−</m:t>
              </m:r>
              <m:r>
                <m:t>N</m:t>
              </m:r>
              <m:r>
                <m:t>O</m:t>
              </m:r>
              <m:r>
                <m:t>N</m:t>
              </m:r>
              <m:r>
                <m:t>O</m:t>
              </m:r>
              <m:sSub>
                <m:e>
                  <m:r>
                    <m:t>P</m:t>
                  </m:r>
                </m:e>
                <m:sub>
                  <m:r>
                    <m:t>g</m:t>
                  </m:r>
                  <m:r>
                    <m:rPr>
                      <m:sty m:val="p"/>
                    </m:rPr>
                    <m:t>−</m:t>
                  </m:r>
                  <m:r>
                    <m:t>1</m:t>
                  </m:r>
                </m:sub>
              </m:sSub>
              <m:r>
                <m:rPr>
                  <m:sty m:val="p"/>
                </m:rPr>
                <m:t>∣</m:t>
              </m:r>
              <m:r>
                <m:t>C</m:t>
              </m:r>
              <m:r>
                <m:rPr>
                  <m:sty m:val="p"/>
                </m:rPr>
                <m:t>=</m:t>
              </m:r>
              <m:r>
                <m:t>1</m:t>
              </m:r>
            </m:e>
          </m:d>
        </m:oMath>
      </m:oMathPara>
    </w:p>
    <w:p>
      <w:pPr>
        <w:bidi/>
        <w:jc w:val="left"/>
      </w:pPr>
      <w:r>
        <w:rPr>
          <w:rFonts w:cs="B Nazanin"/>
          <w:rtl/>
          <w:szCs w:val="26"/>
        </w:rPr>
        <w:t xml:space="preserve">استفاده از این روش به‌جای رگرسیون دوطرفه ساده، تورش ناشی از وزن‌های منفی در اثرهای ناهمگن را برطرف می‌کند (Goodman-Bacon, 2021; Sun &amp; Abraham, 2021). آزمون روند موازی پیش از رویداد با ضرایب دوره‌های</w:t>
      </w:r>
      <w:r>
        <w:rPr>
          <w:rFonts w:cs="B Nazanin"/>
          <w:rtl/>
          <w:szCs w:val="26"/>
        </w:rPr>
        <w:t xml:space="preserve"> </w:t>
      </w:r>
      <m:oMath>
        <m:r>
          <m:rPr>
            <m:sty m:val="p"/>
          </m:rPr>
          <m:t>−</m:t>
        </m:r>
        <m:r>
          <m:t>3</m:t>
        </m:r>
      </m:oMath>
      <w:r>
        <w:rPr>
          <w:rFonts w:cs="B Nazanin"/>
          <w:rtl/>
          <w:szCs w:val="26"/>
        </w:rPr>
        <w:t xml:space="preserve"> </w:t>
      </w:r>
      <w:r>
        <w:rPr>
          <w:rFonts w:cs="B Nazanin"/>
          <w:rtl/>
          <w:szCs w:val="26"/>
        </w:rPr>
        <w:t xml:space="preserve">تا</w:t>
      </w:r>
      <w:r>
        <w:rPr>
          <w:rFonts w:cs="B Nazanin"/>
          <w:rtl/>
          <w:szCs w:val="26"/>
        </w:rPr>
        <w:t xml:space="preserve"> </w:t>
      </w:r>
      <m:oMath>
        <m:r>
          <m:rPr>
            <m:sty m:val="p"/>
          </m:rPr>
          <m:t>−</m:t>
        </m:r>
        <m:r>
          <m:t>1</m:t>
        </m:r>
      </m:oMath>
      <w:r>
        <w:rPr>
          <w:rFonts w:cs="B Nazanin"/>
          <w:rtl/>
          <w:szCs w:val="26"/>
        </w:rPr>
        <w:t xml:space="preserve"> </w:t>
      </w:r>
      <w:r>
        <w:rPr>
          <w:rFonts w:cs="B Nazanin"/>
          <w:rtl/>
          <w:szCs w:val="26"/>
        </w:rPr>
        <w:t xml:space="preserve">انجام می‌شود.</w:t>
      </w:r>
    </w:p>
    <w:bookmarkEnd w:id="44"/>
    <w:bookmarkStart w:id="45" w:name="مدل-۳-اعتبار-پیشبینی-فرضیه-۴"/>
    <w:p>
      <w:pPr>
        <w:bidi/>
        <w:pStyle w:val="Heading3"/>
        <w:jc w:val="left"/>
      </w:pPr>
      <w:r>
        <w:rPr>
          <w:rFonts w:cs="B Nazanin"/>
          <w:rtl/>
          <w:szCs w:val="26"/>
        </w:rPr>
        <w:t xml:space="preserve">مدل ۳: اعتبار پیش‌بینی (فرضیه ۴)</w:t>
      </w:r>
    </w:p>
    <w:p>
      <w:pPr>
        <w:bidi/>
        <w:jc w:val="left"/>
      </w:pPr>
      <m:oMathPara>
        <m:oMathParaPr>
          <m:jc m:val="center"/>
        </m:oMathParaPr>
        <m:oMath>
          <m:r>
            <m:t>R</m:t>
          </m:r>
          <m:r>
            <m:t>O</m:t>
          </m:r>
          <m:sSub>
            <m:e>
              <m:r>
                <m:t>A</m:t>
              </m:r>
            </m:e>
            <m:sub>
              <m:r>
                <m:t>i</m:t>
              </m:r>
              <m:r>
                <m:rPr>
                  <m:sty m:val="p"/>
                </m:rPr>
                <m:t>,</m:t>
              </m:r>
              <m:r>
                <m:t>t</m:t>
              </m:r>
              <m:r>
                <m:rPr>
                  <m:sty m:val="p"/>
                </m:rPr>
                <m:t>+</m:t>
              </m:r>
              <m:r>
                <m:t>1</m:t>
              </m:r>
            </m:sub>
          </m:sSub>
          <m:r>
            <m:rPr>
              <m:sty m:val="p"/>
            </m:rPr>
            <m:t>=</m:t>
          </m:r>
          <m:sSub>
            <m:e>
              <m:r>
                <m:t>β</m:t>
              </m:r>
            </m:e>
            <m:sub>
              <m:r>
                <m:t>0</m:t>
              </m:r>
            </m:sub>
          </m:sSub>
          <m:r>
            <m:rPr>
              <m:sty m:val="p"/>
            </m:rPr>
            <m:t>+</m:t>
          </m:r>
          <m:sSub>
            <m:e>
              <m:r>
                <m:t>β</m:t>
              </m:r>
            </m:e>
            <m:sub>
              <m:r>
                <m:t>1</m:t>
              </m:r>
            </m:sub>
          </m:sSub>
          <m:r>
            <m:t>D</m:t>
          </m:r>
          <m:r>
            <m:t>I</m:t>
          </m:r>
          <m:sSub>
            <m:e>
              <m:r>
                <m:t>V</m:t>
              </m:r>
            </m:e>
            <m:sub>
              <m:r>
                <m:t>i</m:t>
              </m:r>
              <m:r>
                <m:t>t</m:t>
              </m:r>
            </m:sub>
          </m:sSub>
          <m:r>
            <m:rPr>
              <m:sty m:val="p"/>
            </m:rPr>
            <m:t>+</m:t>
          </m:r>
          <m:sSub>
            <m:e>
              <m:r>
                <m:t>β</m:t>
              </m:r>
            </m:e>
            <m:sub>
              <m:r>
                <m:t>2</m:t>
              </m:r>
            </m:sub>
          </m:sSub>
          <m:r>
            <m:t>R</m:t>
          </m:r>
          <m:r>
            <m:t>O</m:t>
          </m:r>
          <m:sSub>
            <m:e>
              <m:r>
                <m:t>A</m:t>
              </m:r>
            </m:e>
            <m:sub>
              <m:r>
                <m:t>i</m:t>
              </m:r>
              <m:r>
                <m:t>t</m:t>
              </m:r>
            </m:sub>
          </m:sSub>
          <m:r>
            <m:rPr>
              <m:sty m:val="p"/>
            </m:rPr>
            <m:t>+</m:t>
          </m:r>
          <m:sSub>
            <m:e>
              <m:r>
                <m:t>β</m:t>
              </m:r>
            </m:e>
            <m:sub>
              <m:r>
                <m:t>3</m:t>
              </m:r>
            </m:sub>
          </m:sSub>
          <m:r>
            <m:t>L</m:t>
          </m:r>
          <m:r>
            <m:t>O</m:t>
          </m:r>
          <m:r>
            <m:t>A</m:t>
          </m:r>
          <m:sSub>
            <m:e>
              <m:r>
                <m:t>N</m:t>
              </m:r>
            </m:e>
            <m:sub>
              <m:r>
                <m:t>i</m:t>
              </m:r>
              <m:r>
                <m:t>t</m:t>
              </m:r>
            </m:sub>
          </m:sSub>
          <m:r>
            <m:rPr>
              <m:sty m:val="p"/>
            </m:rPr>
            <m:t>+</m:t>
          </m:r>
          <m:nary>
            <m:naryPr>
              <m:chr m:val="∑"/>
              <m:limLoc m:val="undOvr"/>
              <m:subHide m:val="off"/>
              <m:supHide m:val="on"/>
            </m:naryPr>
            <m:sub>
              <m:r>
                <m:t>k</m:t>
              </m:r>
            </m:sub>
            <m:sup>
              <m:r>
                <m:t>​</m:t>
              </m:r>
            </m:sup>
            <m:e>
              <m:sSub>
                <m:e>
                  <m:r>
                    <m:t>γ</m:t>
                  </m:r>
                </m:e>
                <m:sub>
                  <m:r>
                    <m:t>k</m:t>
                  </m:r>
                </m:sub>
              </m:sSub>
            </m:e>
          </m:nary>
          <m:r>
            <m:t>C</m:t>
          </m:r>
          <m:r>
            <m:t>O</m:t>
          </m:r>
          <m:r>
            <m:t>N</m:t>
          </m:r>
          <m:r>
            <m:t>T</m:t>
          </m:r>
          <m:r>
            <m:t>R</m:t>
          </m:r>
          <m:r>
            <m:t>O</m:t>
          </m:r>
          <m:sSub>
            <m:e>
              <m:r>
                <m:t>L</m:t>
              </m:r>
            </m:e>
            <m:sub>
              <m:r>
                <m:t>k</m:t>
              </m:r>
              <m:r>
                <m:rPr>
                  <m:sty m:val="p"/>
                </m:rPr>
                <m:t>,</m:t>
              </m:r>
              <m:r>
                <m:t>i</m:t>
              </m:r>
              <m:r>
                <m:t>t</m:t>
              </m:r>
            </m:sub>
          </m:sSub>
          <m:r>
            <m:rPr>
              <m:sty m:val="p"/>
            </m:rPr>
            <m:t>+</m:t>
          </m:r>
          <m:sSub>
            <m:e>
              <m:r>
                <m:t>μ</m:t>
              </m:r>
            </m:e>
            <m:sub>
              <m:r>
                <m:t>i</m:t>
              </m:r>
            </m:sub>
          </m:sSub>
          <m:r>
            <m:rPr>
              <m:sty m:val="p"/>
            </m:rPr>
            <m:t>+</m:t>
          </m:r>
          <m:sSub>
            <m:e>
              <m:r>
                <m:t>τ</m:t>
              </m:r>
            </m:e>
            <m:sub>
              <m:r>
                <m:t>t</m:t>
              </m:r>
            </m:sub>
          </m:sSub>
          <m:r>
            <m:rPr>
              <m:sty m:val="p"/>
            </m:rPr>
            <m:t>+</m:t>
          </m:r>
          <m:sSub>
            <m:e>
              <m:r>
                <m:t>ε</m:t>
              </m:r>
            </m:e>
            <m:sub>
              <m:r>
                <m:t>i</m:t>
              </m:r>
              <m:r>
                <m:t>t</m:t>
              </m:r>
            </m:sub>
          </m:sSub>
        </m:oMath>
      </m:oMathPara>
    </w:p>
    <w:p>
      <w:pPr>
        <w:bidi/>
        <w:jc w:val="left"/>
      </w:pPr>
      <w:r>
        <w:rPr>
          <w:rFonts w:cs="B Nazanin"/>
          <w:rtl/>
          <w:szCs w:val="26"/>
        </w:rPr>
        <w:t xml:space="preserve">انتظار می‌رود</w:t>
      </w:r>
      <w:r>
        <w:rPr>
          <w:rFonts w:cs="B Nazanin"/>
          <w:rtl/>
          <w:szCs w:val="26"/>
        </w:rPr>
        <w:t xml:space="preserve"> </w:t>
      </w:r>
      <m:oMath>
        <m:sSub>
          <m:e>
            <m:r>
              <m:t>β</m:t>
            </m:r>
          </m:e>
          <m:sub>
            <m:r>
              <m:t>1</m:t>
            </m:r>
          </m:sub>
        </m:sSub>
        <m:r>
          <m:rPr>
            <m:sty m:val="p"/>
          </m:rPr>
          <m:t>&lt;</m:t>
        </m:r>
        <m:r>
          <m:t>0</m:t>
        </m:r>
      </m:oMath>
      <w:r>
        <w:rPr>
          <w:rFonts w:cs="B Nazanin"/>
          <w:rtl/>
          <w:szCs w:val="26"/>
        </w:rPr>
        <w:t xml:space="preserve">. برای استحکام، متغیر وابسته می‌تواند تغییر ROA، بازده فروش عملیاتی یا گردش دارایی باشد.</w:t>
      </w:r>
    </w:p>
    <w:bookmarkEnd w:id="45"/>
    <w:bookmarkEnd w:id="46"/>
    <w:bookmarkStart w:id="52" w:name="تعریف-و-اندازهگیری-متغیرها"/>
    <w:p>
      <w:pPr>
        <w:bidi/>
        <w:pStyle w:val="Heading2"/>
        <w:jc w:val="left"/>
      </w:pPr>
      <w:r>
        <w:rPr>
          <w:rFonts w:cs="B Nazanin"/>
          <w:rtl/>
          <w:szCs w:val="26"/>
        </w:rPr>
        <w:t xml:space="preserve">۴-۵. تعریف و اندازه‌گیری متغیرها</w:t>
      </w:r>
    </w:p>
    <w:bookmarkStart w:id="47" w:name="Xf9fd2e31e6f8e5a150e47c1c0f8d5f906736421"/>
    <w:p>
      <w:pPr>
        <w:bidi/>
        <w:pStyle w:val="Heading3"/>
        <w:jc w:val="left"/>
      </w:pPr>
      <w:r>
        <w:rPr>
          <w:rFonts w:cs="B Nazanin"/>
          <w:rtl/>
          <w:szCs w:val="26"/>
        </w:rPr>
        <w:t xml:space="preserve">۴-۵-۱. متغیر وابسته: دارایی‌های غیرعملیاتی (NONOP) و شاخص انحراف (DIV)</w:t>
      </w:r>
    </w:p>
    <w:p>
      <w:pPr>
        <w:bidi/>
        <w:jc w:val="left"/>
      </w:pPr>
      <w:r>
        <w:rPr>
          <w:rFonts w:cs="B Nazanin"/>
          <w:rtl/>
          <w:szCs w:val="26"/>
        </w:rPr>
        <w:t xml:space="preserve">دارایی‌های غیرعملیاتی شامل اقلامی هستند که مستقیماً در چرخه عملیات اصلی (تولید، فروش) مشارکت ندارند. بر پایه اقلام ترازنامه ایران، این اقلام عبارت‌اند از:</w:t>
      </w:r>
    </w:p>
    <w:p>
      <w:pPr>
        <w:bidi/>
        <w:jc w:val="left"/>
      </w:pPr>
      <w:r>
        <w:rPr>
          <w:rFonts w:cs="B Nazanin"/>
          <w:rtl/>
          <w:szCs w:val="26"/>
        </w:rPr>
        <w:t xml:space="preserve">۱. سرمایه‌گذاری‌های کوتاه‌مدت،</w:t>
      </w:r>
      <w:r>
        <w:rPr>
          <w:rFonts w:cs="B Nazanin"/>
          <w:rtl/>
          <w:szCs w:val="26"/>
        </w:rPr>
        <w:t xml:space="preserve"> </w:t>
      </w:r>
      <w:r>
        <w:rPr>
          <w:rFonts w:cs="B Nazanin"/>
          <w:rtl/>
          <w:szCs w:val="26"/>
        </w:rPr>
        <w:t xml:space="preserve">۲. سرمایه‌گذاری‌های بلندمدت (در سهام و سایر اوراق، غیر از شرکت‌های فرعی و وابسته که در فعالیت اصلی مشارکت عملیاتی دارند—تفکیک در یادداشت‌ها انجام می‌شود)،</w:t>
      </w:r>
      <w:r>
        <w:rPr>
          <w:rFonts w:cs="B Nazanin"/>
          <w:rtl/>
          <w:szCs w:val="26"/>
        </w:rPr>
        <w:t xml:space="preserve"> </w:t>
      </w:r>
      <w:r>
        <w:rPr>
          <w:rFonts w:cs="B Nazanin"/>
          <w:rtl/>
          <w:szCs w:val="26"/>
        </w:rPr>
        <w:t xml:space="preserve">۳. دریافتنی‌ها از اشخاص وابسته (از یادداشت معاملات با اشخاص وابسته)،</w:t>
      </w:r>
      <w:r>
        <w:rPr>
          <w:rFonts w:cs="B Nazanin"/>
          <w:rtl/>
          <w:szCs w:val="26"/>
        </w:rPr>
        <w:t xml:space="preserve"> </w:t>
      </w:r>
      <w:r>
        <w:rPr>
          <w:rFonts w:cs="B Nazanin"/>
          <w:rtl/>
          <w:szCs w:val="26"/>
        </w:rPr>
        <w:t xml:space="preserve">۴. املاک سرمایه‌گذاری و زمین‌های غیرعملیاتی،</w:t>
      </w:r>
      <w:r>
        <w:rPr>
          <w:rFonts w:cs="B Nazanin"/>
          <w:rtl/>
          <w:szCs w:val="26"/>
        </w:rPr>
        <w:t xml:space="preserve"> </w:t>
      </w:r>
      <w:r>
        <w:rPr>
          <w:rFonts w:cs="B Nazanin"/>
          <w:rtl/>
          <w:szCs w:val="26"/>
        </w:rPr>
        <w:t xml:space="preserve">۵. سپرده‌های سرمایه‌گذاری بلندمدت بانکی.</w:t>
      </w:r>
    </w:p>
    <w:p>
      <w:pPr>
        <w:bidi/>
        <w:jc w:val="left"/>
      </w:pPr>
      <m:oMathPara>
        <m:oMathParaPr>
          <m:jc m:val="center"/>
        </m:oMathParaPr>
        <m:oMath>
          <m:r>
            <m:t>N</m:t>
          </m:r>
          <m:r>
            <m:t>O</m:t>
          </m:r>
          <m:r>
            <m:t>N</m:t>
          </m:r>
          <m:r>
            <m:t>O</m:t>
          </m:r>
          <m:sSub>
            <m:e>
              <m:r>
                <m:t>P</m:t>
              </m:r>
            </m:e>
            <m:sub>
              <m:r>
                <m:t>i</m:t>
              </m:r>
              <m:r>
                <m:t>t</m:t>
              </m:r>
            </m:sub>
          </m:sSub>
          <m:r>
            <m:rPr>
              <m:sty m:val="p"/>
            </m:rPr>
            <m:t>=</m:t>
          </m:r>
          <m:f>
            <m:fPr>
              <m:type m:val="bar"/>
            </m:fPr>
            <m:num>
              <m:r>
                <m:t>Δ</m:t>
              </m:r>
              <m:sSub>
                <m:e>
                  <m:d>
                    <m:dPr>
                      <m:begChr m:val="("/>
                      <m:endChr m:val=")"/>
                      <m:sepChr m:val=""/>
                      <m:grow/>
                    </m:dPr>
                    <m:e>
                      <m:r>
                        <m:rPr>
                          <m:nor/>
                          <m:sty m:val="p"/>
                        </m:rPr>
                        <m:t>دارایی‌های غیرعملیاتی</m:t>
                      </m:r>
                    </m:e>
                  </m:d>
                </m:e>
                <m:sub>
                  <m:r>
                    <m:t>i</m:t>
                  </m:r>
                  <m:r>
                    <m:t>t</m:t>
                  </m:r>
                </m:sub>
              </m:sSub>
            </m:num>
            <m:den>
              <m:r>
                <m:t>T</m:t>
              </m:r>
              <m:sSub>
                <m:e>
                  <m:r>
                    <m:t>A</m:t>
                  </m:r>
                </m:e>
                <m:sub>
                  <m:r>
                    <m:t>i</m:t>
                  </m:r>
                  <m:r>
                    <m:rPr>
                      <m:sty m:val="p"/>
                    </m:rPr>
                    <m:t>,</m:t>
                  </m:r>
                  <m:r>
                    <m:t>t</m:t>
                  </m:r>
                  <m:r>
                    <m:rPr>
                      <m:sty m:val="p"/>
                    </m:rPr>
                    <m:t>−</m:t>
                  </m:r>
                  <m:r>
                    <m:t>1</m:t>
                  </m:r>
                </m:sub>
              </m:sSub>
            </m:den>
          </m:f>
        </m:oMath>
      </m:oMathPara>
    </w:p>
    <w:p>
      <w:pPr>
        <w:bidi/>
        <w:jc w:val="left"/>
      </w:pPr>
      <w:r>
        <w:rPr>
          <w:rFonts w:cs="B Nazanin"/>
          <w:rtl/>
          <w:szCs w:val="26"/>
        </w:rPr>
        <w:t xml:space="preserve">شاخص انحراف مصرف (DIV) سهم افزایش دارایی‌های غیرعملیاتی از وام خالص را در سال‌هایی که وام خالص مثبت و بزرگ است اندازه می‌گیرد:</w:t>
      </w:r>
    </w:p>
    <w:p>
      <w:pPr>
        <w:bidi/>
        <w:jc w:val="left"/>
      </w:pPr>
      <m:oMathPara>
        <m:oMathParaPr>
          <m:jc m:val="center"/>
        </m:oMathParaPr>
        <m:oMath>
          <m:r>
            <m:t>D</m:t>
          </m:r>
          <m:r>
            <m:t>I</m:t>
          </m:r>
          <m:sSub>
            <m:e>
              <m:r>
                <m:t>V</m:t>
              </m:r>
            </m:e>
            <m:sub>
              <m:r>
                <m:t>i</m:t>
              </m:r>
              <m:r>
                <m:t>t</m:t>
              </m:r>
            </m:sub>
          </m:sSub>
          <m:r>
            <m:rPr>
              <m:sty m:val="p"/>
            </m:rPr>
            <m:t>=</m:t>
          </m:r>
          <m:d>
            <m:dPr>
              <m:begChr m:val="{"/>
              <m:endChr m:val=""/>
              <m:sepChr m:val=""/>
              <m:grow/>
            </m:dPr>
            <m:e>
              <m:m>
                <m:mPr>
                  <m:baseJc m:val="center"/>
                  <m:plcHide m:val="on"/>
                  <m:mcs>
                    <m:mc>
                      <m:mcPr>
                        <m:mcJc m:val="left"/>
                        <m:count m:val="1"/>
                      </m:mcPr>
                    </m:mc>
                    <m:mc>
                      <m:mcPr>
                        <m:mcJc m:val="left"/>
                        <m:count m:val="1"/>
                      </m:mcPr>
                    </m:mc>
                  </m:mcs>
                </m:mPr>
                <m:mr>
                  <m:e>
                    <m:f>
                      <m:fPr>
                        <m:type m:val="bar"/>
                      </m:fPr>
                      <m:num>
                        <m:r>
                          <m:t>Δ</m:t>
                        </m:r>
                        <m:r>
                          <m:t>N</m:t>
                        </m:r>
                        <m:r>
                          <m:t>O</m:t>
                        </m:r>
                        <m:r>
                          <m:t>N</m:t>
                        </m:r>
                        <m:r>
                          <m:t>O</m:t>
                        </m:r>
                        <m:r>
                          <m:t>P</m:t>
                        </m:r>
                        <m:r>
                          <m:rPr>
                            <m:sty m:val="p"/>
                          </m:rPr>
                          <m:t>_</m:t>
                        </m:r>
                        <m:r>
                          <m:t>A</m:t>
                        </m:r>
                        <m:r>
                          <m:t>M</m:t>
                        </m:r>
                        <m:sSub>
                          <m:e>
                            <m:r>
                              <m:t>T</m:t>
                            </m:r>
                          </m:e>
                          <m:sub>
                            <m:r>
                              <m:t>i</m:t>
                            </m:r>
                            <m:r>
                              <m:t>t</m:t>
                            </m:r>
                          </m:sub>
                        </m:sSub>
                      </m:num>
                      <m:den>
                        <m:r>
                          <m:t>N</m:t>
                        </m:r>
                        <m:r>
                          <m:t>E</m:t>
                        </m:r>
                        <m:r>
                          <m:t>T</m:t>
                        </m:r>
                        <m:r>
                          <m:t>L</m:t>
                        </m:r>
                        <m:r>
                          <m:t>O</m:t>
                        </m:r>
                        <m:r>
                          <m:t>A</m:t>
                        </m:r>
                        <m:sSub>
                          <m:e>
                            <m:r>
                              <m:t>N</m:t>
                            </m:r>
                          </m:e>
                          <m:sub>
                            <m:r>
                              <m:t>i</m:t>
                            </m:r>
                            <m:r>
                              <m:t>t</m:t>
                            </m:r>
                          </m:sub>
                        </m:sSub>
                      </m:den>
                    </m:f>
                  </m:e>
                  <m:e>
                    <m:r>
                      <m:rPr>
                        <m:nor/>
                        <m:sty m:val="p"/>
                      </m:rPr>
                      <m:t>اگر </m:t>
                    </m:r>
                    <m:r>
                      <m:t>L</m:t>
                    </m:r>
                    <m:r>
                      <m:t>O</m:t>
                    </m:r>
                    <m:r>
                      <m:t>A</m:t>
                    </m:r>
                    <m:sSub>
                      <m:e>
                        <m:r>
                          <m:t>N</m:t>
                        </m:r>
                      </m:e>
                      <m:sub>
                        <m:r>
                          <m:t>i</m:t>
                        </m:r>
                        <m:r>
                          <m:t>t</m:t>
                        </m:r>
                      </m:sub>
                    </m:sSub>
                    <m:r>
                      <m:rPr>
                        <m:sty m:val="p"/>
                      </m:rPr>
                      <m:t>≥</m:t>
                    </m:r>
                    <m:r>
                      <m:t>0.02</m:t>
                    </m:r>
                  </m:e>
                </m:mr>
                <m:mr>
                  <m:e>
                    <m:r>
                      <m:t>0</m:t>
                    </m:r>
                  </m:e>
                  <m:e>
                    <m:r>
                      <m:rPr>
                        <m:nor/>
                        <m:sty m:val="p"/>
                      </m:rPr>
                      <m:t>در غیر این صورت</m:t>
                    </m:r>
                  </m:e>
                </m:mr>
              </m:m>
            </m:e>
          </m:d>
        </m:oMath>
      </m:oMathPara>
    </w:p>
    <w:p>
      <w:pPr>
        <w:bidi/>
        <w:jc w:val="left"/>
      </w:pPr>
      <w:r>
        <w:rPr>
          <w:rFonts w:cs="B Nazanin"/>
          <w:rtl/>
          <w:szCs w:val="26"/>
        </w:rPr>
        <w:t xml:space="preserve">که در آن</w:t>
      </w:r>
      <w:r>
        <w:rPr>
          <w:rFonts w:cs="B Nazanin"/>
          <w:rtl/>
          <w:szCs w:val="26"/>
        </w:rPr>
        <w:t xml:space="preserve"> </w:t>
      </w:r>
      <m:oMath>
        <m:r>
          <m:t>N</m:t>
        </m:r>
        <m:r>
          <m:t>E</m:t>
        </m:r>
        <m:r>
          <m:t>T</m:t>
        </m:r>
        <m:r>
          <m:t>L</m:t>
        </m:r>
        <m:r>
          <m:t>O</m:t>
        </m:r>
        <m:r>
          <m:t>A</m:t>
        </m:r>
        <m:sSub>
          <m:e>
            <m:r>
              <m:t>N</m:t>
            </m:r>
          </m:e>
          <m:sub>
            <m:r>
              <m:t>i</m:t>
            </m:r>
            <m:r>
              <m:t>t</m:t>
            </m:r>
          </m:sub>
        </m:sSub>
      </m:oMath>
      <w:r>
        <w:rPr>
          <w:rFonts w:cs="B Nazanin"/>
          <w:rtl/>
          <w:szCs w:val="26"/>
        </w:rPr>
        <w:t xml:space="preserve"> </w:t>
      </w:r>
      <w:r>
        <w:rPr>
          <w:rFonts w:cs="B Nazanin"/>
          <w:rtl/>
          <w:szCs w:val="26"/>
        </w:rPr>
        <w:t xml:space="preserve">مبلغ ریالی خالص دریافت تسهیلات است. مقدار DIV بین صفر و یک (وینزورایز) محدود می‌شود. آستانه ۲٪ برای جلوگیری از بی‌ثباتی نسبت در وام‌های ناچیز انتخاب شده و در آزمون‌های استحکام تغییر می‌کند. این رویکرد با ایده «تخصیص منابع بر پایه ردیابی جریان‌ها» (Sources and Uses of Funds) در تحلیل صورت جریان وجوه نقد سازگار است.</w:t>
      </w:r>
    </w:p>
    <w:bookmarkEnd w:id="47"/>
    <w:bookmarkStart w:id="48" w:name="متغیر-مستقل-خالص-تسهیلات-دریافتی-loan"/>
    <w:p>
      <w:pPr>
        <w:bidi/>
        <w:pStyle w:val="Heading3"/>
        <w:jc w:val="left"/>
      </w:pPr>
      <w:r>
        <w:rPr>
          <w:rFonts w:cs="B Nazanin"/>
          <w:rtl/>
          <w:szCs w:val="26"/>
        </w:rPr>
        <w:t xml:space="preserve">۴-۵-۲. متغیر مستقل: خالص تسهیلات دریافتی (LOAN)</w:t>
      </w:r>
    </w:p>
    <w:p>
      <w:pPr>
        <w:bidi/>
        <w:jc w:val="left"/>
      </w:pPr>
      <m:oMathPara>
        <m:oMathParaPr>
          <m:jc m:val="center"/>
        </m:oMathParaPr>
        <m:oMath>
          <m:r>
            <m:t>L</m:t>
          </m:r>
          <m:r>
            <m:t>O</m:t>
          </m:r>
          <m:r>
            <m:t>A</m:t>
          </m:r>
          <m:sSub>
            <m:e>
              <m:r>
                <m:t>N</m:t>
              </m:r>
            </m:e>
            <m:sub>
              <m:r>
                <m:t>i</m:t>
              </m:r>
              <m:r>
                <m:t>t</m:t>
              </m:r>
            </m:sub>
          </m:sSub>
          <m:r>
            <m:rPr>
              <m:sty m:val="p"/>
            </m:rPr>
            <m:t>=</m:t>
          </m:r>
          <m:f>
            <m:fPr>
              <m:type m:val="bar"/>
            </m:fPr>
            <m:num>
              <m:sSub>
                <m:e>
                  <m:r>
                    <m:rPr>
                      <m:nor/>
                      <m:sty m:val="p"/>
                    </m:rPr>
                    <m:t>دریافت تسهیلات مالی</m:t>
                  </m:r>
                </m:e>
                <m:sub>
                  <m:r>
                    <m:t>i</m:t>
                  </m:r>
                  <m:r>
                    <m:t>t</m:t>
                  </m:r>
                </m:sub>
              </m:sSub>
              <m:r>
                <m:rPr>
                  <m:sty m:val="p"/>
                </m:rPr>
                <m:t>−</m:t>
              </m:r>
              <m:sSub>
                <m:e>
                  <m:r>
                    <m:rPr>
                      <m:nor/>
                      <m:sty m:val="p"/>
                    </m:rPr>
                    <m:t>بازپرداخت اصل تسهیلات</m:t>
                  </m:r>
                </m:e>
                <m:sub>
                  <m:r>
                    <m:t>i</m:t>
                  </m:r>
                  <m:r>
                    <m:t>t</m:t>
                  </m:r>
                </m:sub>
              </m:sSub>
            </m:num>
            <m:den>
              <m:r>
                <m:t>T</m:t>
              </m:r>
              <m:sSub>
                <m:e>
                  <m:r>
                    <m:t>A</m:t>
                  </m:r>
                </m:e>
                <m:sub>
                  <m:r>
                    <m:t>i</m:t>
                  </m:r>
                  <m:r>
                    <m:rPr>
                      <m:sty m:val="p"/>
                    </m:rPr>
                    <m:t>,</m:t>
                  </m:r>
                  <m:r>
                    <m:t>t</m:t>
                  </m:r>
                  <m:r>
                    <m:rPr>
                      <m:sty m:val="p"/>
                    </m:rPr>
                    <m:t>−</m:t>
                  </m:r>
                  <m:r>
                    <m:t>1</m:t>
                  </m:r>
                </m:sub>
              </m:sSub>
            </m:den>
          </m:f>
        </m:oMath>
      </m:oMathPara>
    </w:p>
    <w:p>
      <w:pPr>
        <w:bidi/>
        <w:jc w:val="left"/>
      </w:pPr>
      <w:r>
        <w:rPr>
          <w:rFonts w:cs="B Nazanin"/>
          <w:rtl/>
          <w:szCs w:val="26"/>
        </w:rPr>
        <w:t xml:space="preserve">این مقادیر از بخش فعالیت‌های تأمین مالی در صورت جریان وجوه نقد (استاندارد حسابداری شماره ۲) استخراج می‌شود. شاخص جایگزین، تغییر مانده تسهیلات مالی در ترازنامه تقسیم بر دارایی‌های ابتدای دوره است. تعریف مبتنی بر جریان نقد برای تفکیک اثر تجدید ارزیابی و سود و کارمزد تعهدی ترجیح داده می‌شود. متغیر دوتایی LARGELOAN برای رویداد پژوهی: ۱ اگر</w:t>
      </w:r>
      <w:r>
        <w:rPr>
          <w:rFonts w:cs="B Nazanin"/>
          <w:rtl/>
          <w:szCs w:val="26"/>
        </w:rPr>
        <w:t xml:space="preserve"> </w:t>
      </w:r>
      <m:oMath>
        <m:r>
          <m:t>L</m:t>
        </m:r>
        <m:r>
          <m:t>O</m:t>
        </m:r>
        <m:r>
          <m:t>A</m:t>
        </m:r>
        <m:sSub>
          <m:e>
            <m:r>
              <m:t>N</m:t>
            </m:r>
          </m:e>
          <m:sub>
            <m:r>
              <m:t>i</m:t>
            </m:r>
            <m:r>
              <m:t>t</m:t>
            </m:r>
          </m:sub>
        </m:sSub>
        <m:r>
          <m:rPr>
            <m:sty m:val="p"/>
          </m:rPr>
          <m:t>≥</m:t>
        </m:r>
        <m:r>
          <m:t>0.05</m:t>
        </m:r>
      </m:oMath>
      <w:r>
        <w:rPr>
          <w:rFonts w:cs="B Nazanin"/>
          <w:rtl/>
          <w:szCs w:val="26"/>
        </w:rPr>
        <w:t xml:space="preserve">.</w:t>
      </w:r>
    </w:p>
    <w:bookmarkEnd w:id="48"/>
    <w:bookmarkStart w:id="49" w:name="کیفیت-حسابرسی-audq"/>
    <w:p>
      <w:pPr>
        <w:bidi/>
        <w:pStyle w:val="Heading3"/>
        <w:jc w:val="left"/>
      </w:pPr>
      <w:r>
        <w:rPr>
          <w:rFonts w:cs="B Nazanin"/>
          <w:rtl/>
          <w:szCs w:val="26"/>
        </w:rPr>
        <w:t xml:space="preserve">۴-۵-۳. کیفیت حسابرسی (AUDQ)</w:t>
      </w:r>
    </w:p>
    <w:p>
      <w:pPr>
        <w:bidi/>
        <w:jc w:val="left"/>
      </w:pPr>
      <w:r>
        <w:rPr>
          <w:rFonts w:cs="B Nazanin"/>
          <w:rtl/>
          <w:szCs w:val="26"/>
        </w:rPr>
        <w:t xml:space="preserve">برای سنجش کیفیت حسابرسی از چند نماینده استفاده می‌شود و شاخص ترکیبی با تحلیل مؤلفه‌های اصلی ساخته می‌شود:</w:t>
      </w:r>
    </w:p>
    <w:p>
      <w:pPr>
        <w:bidi/>
        <w:numPr>
          <w:ilvl w:val="0"/>
          <w:numId w:val="1001"/>
        </w:numPr>
        <w:pStyle w:val="Compact"/>
        <w:jc w:val="left"/>
      </w:pPr>
      <w:r>
        <w:rPr>
          <w:rFonts w:cs="B Nazanin"/>
          <w:rtl/>
          <w:bCs/>
          <w:b/>
          <w:szCs w:val="26"/>
        </w:rPr>
        <w:t xml:space="preserve">AUDSIZE:</w:t>
      </w:r>
      <w:r>
        <w:rPr>
          <w:rFonts w:cs="B Nazanin"/>
          <w:rtl/>
          <w:szCs w:val="26"/>
        </w:rPr>
        <w:t xml:space="preserve"> </w:t>
      </w:r>
      <w:r>
        <w:rPr>
          <w:rFonts w:cs="B Nazanin"/>
          <w:rtl/>
          <w:szCs w:val="26"/>
        </w:rPr>
        <w:t xml:space="preserve">۱ اگر حسابرس سازمان حسابرسی یا از مؤسسات بزرگ (مبتنی بر مجموع دارایی‌های صاحبکاران، چارک بالا) باشد، در غیر این صورت ۰ (DeAngelo, 1981).</w:t>
      </w:r>
    </w:p>
    <w:p>
      <w:pPr>
        <w:bidi/>
        <w:numPr>
          <w:ilvl w:val="0"/>
          <w:numId w:val="1001"/>
        </w:numPr>
        <w:pStyle w:val="Compact"/>
        <w:jc w:val="left"/>
      </w:pPr>
      <w:r>
        <w:rPr>
          <w:rFonts w:cs="B Nazanin"/>
          <w:rtl/>
          <w:bCs/>
          <w:b/>
          <w:szCs w:val="26"/>
        </w:rPr>
        <w:t xml:space="preserve">AUDSPEC:</w:t>
      </w:r>
      <w:r>
        <w:rPr>
          <w:rFonts w:cs="B Nazanin"/>
          <w:rtl/>
          <w:szCs w:val="26"/>
        </w:rPr>
        <w:t xml:space="preserve"> </w:t>
      </w:r>
      <w:r>
        <w:rPr>
          <w:rFonts w:cs="B Nazanin"/>
          <w:rtl/>
          <w:szCs w:val="26"/>
        </w:rPr>
        <w:t xml:space="preserve">۱ اگر سهم بازار حسابرس در صنعت (بر پایه مجموع دارایی‌های صاحبکاران صنعت) بیش از ۱۵٪ باشد (Craswell et al., 1995).</w:t>
      </w:r>
    </w:p>
    <w:p>
      <w:pPr>
        <w:bidi/>
        <w:numPr>
          <w:ilvl w:val="0"/>
          <w:numId w:val="1001"/>
        </w:numPr>
        <w:pStyle w:val="Compact"/>
        <w:jc w:val="left"/>
      </w:pPr>
      <w:r>
        <w:rPr>
          <w:rFonts w:cs="B Nazanin"/>
          <w:rtl/>
          <w:bCs/>
          <w:b/>
          <w:szCs w:val="26"/>
        </w:rPr>
        <w:t xml:space="preserve">AUDTEN:</w:t>
      </w:r>
      <w:r>
        <w:rPr>
          <w:rFonts w:cs="B Nazanin"/>
          <w:rtl/>
          <w:szCs w:val="26"/>
        </w:rPr>
        <w:t xml:space="preserve"> </w:t>
      </w:r>
      <w:r>
        <w:rPr>
          <w:rFonts w:cs="B Nazanin"/>
          <w:rtl/>
          <w:szCs w:val="26"/>
        </w:rPr>
        <w:t xml:space="preserve">لگاریتم طبیعی دوره تصدی حسابرس به سال.</w:t>
      </w:r>
    </w:p>
    <w:p>
      <w:pPr>
        <w:bidi/>
        <w:numPr>
          <w:ilvl w:val="0"/>
          <w:numId w:val="1001"/>
        </w:numPr>
        <w:pStyle w:val="Compact"/>
        <w:jc w:val="left"/>
      </w:pPr>
      <w:r>
        <w:rPr>
          <w:rFonts w:cs="B Nazanin"/>
          <w:rtl/>
          <w:bCs/>
          <w:b/>
          <w:szCs w:val="26"/>
        </w:rPr>
        <w:t xml:space="preserve">AUDOPN:</w:t>
      </w:r>
      <w:r>
        <w:rPr>
          <w:rFonts w:cs="B Nazanin"/>
          <w:rtl/>
          <w:szCs w:val="26"/>
        </w:rPr>
        <w:t xml:space="preserve"> </w:t>
      </w:r>
      <w:r>
        <w:rPr>
          <w:rFonts w:cs="B Nazanin"/>
          <w:rtl/>
          <w:szCs w:val="26"/>
        </w:rPr>
        <w:t xml:space="preserve">۱ اگر اظهارنظر حسابرس مقبول نباشد (مشروط، مردود یا عدم اظهارنظر).</w:t>
      </w:r>
    </w:p>
    <w:bookmarkEnd w:id="49"/>
    <w:bookmarkStart w:id="50" w:name="ساختار-مالکیت-1"/>
    <w:p>
      <w:pPr>
        <w:bidi/>
        <w:pStyle w:val="Heading3"/>
        <w:jc w:val="left"/>
      </w:pPr>
      <w:r>
        <w:rPr>
          <w:rFonts w:cs="B Nazanin"/>
          <w:rtl/>
          <w:szCs w:val="26"/>
        </w:rPr>
        <w:t xml:space="preserve">۴-۵-۴. ساختار مالکیت</w:t>
      </w:r>
    </w:p>
    <w:p>
      <w:pPr>
        <w:bidi/>
        <w:numPr>
          <w:ilvl w:val="0"/>
          <w:numId w:val="1002"/>
        </w:numPr>
        <w:pStyle w:val="Compact"/>
        <w:jc w:val="left"/>
      </w:pPr>
      <w:r>
        <w:rPr>
          <w:rFonts w:cs="B Nazanin"/>
          <w:rtl/>
          <w:bCs/>
          <w:b/>
          <w:szCs w:val="26"/>
        </w:rPr>
        <w:t xml:space="preserve">STATE:</w:t>
      </w:r>
      <w:r>
        <w:rPr>
          <w:rFonts w:cs="B Nazanin"/>
          <w:rtl/>
          <w:szCs w:val="26"/>
        </w:rPr>
        <w:t xml:space="preserve"> </w:t>
      </w:r>
      <w:r>
        <w:rPr>
          <w:rFonts w:cs="B Nazanin"/>
          <w:rtl/>
          <w:szCs w:val="26"/>
        </w:rPr>
        <w:t xml:space="preserve">درصد مالکیت مستقیم و غیرمستقیم نهادهای دولتی و شبه‌دولتی (وزارتخانه‌ها، شرکت‌های دولتی، بنیادها، بانک‌ها و صندوق‌های بازنشستگی) یا متغیر دوتایی با آستانه ۵۰٪.</w:t>
      </w:r>
    </w:p>
    <w:p>
      <w:pPr>
        <w:bidi/>
        <w:numPr>
          <w:ilvl w:val="0"/>
          <w:numId w:val="1002"/>
        </w:numPr>
        <w:pStyle w:val="Compact"/>
        <w:jc w:val="left"/>
      </w:pPr>
      <w:r>
        <w:rPr>
          <w:rFonts w:cs="B Nazanin"/>
          <w:rtl/>
          <w:bCs/>
          <w:b/>
          <w:szCs w:val="26"/>
        </w:rPr>
        <w:t xml:space="preserve">CONC:</w:t>
      </w:r>
      <w:r>
        <w:rPr>
          <w:rFonts w:cs="B Nazanin"/>
          <w:rtl/>
          <w:szCs w:val="26"/>
        </w:rPr>
        <w:t xml:space="preserve"> </w:t>
      </w:r>
      <w:r>
        <w:rPr>
          <w:rFonts w:cs="B Nazanin"/>
          <w:rtl/>
          <w:szCs w:val="26"/>
        </w:rPr>
        <w:t xml:space="preserve">شاخص هرفیندال‌ـ‌هیرشمن مالکیت پنج سهامدار عمده:</w:t>
      </w:r>
      <w:r>
        <w:rPr>
          <w:rFonts w:cs="B Nazanin"/>
          <w:rtl/>
          <w:szCs w:val="26"/>
        </w:rPr>
        <w:t xml:space="preserve"> </w:t>
      </w:r>
      <m:oMath>
        <m:r>
          <m:t>C</m:t>
        </m:r>
        <m:r>
          <m:t>O</m:t>
        </m:r>
        <m:r>
          <m:t>N</m:t>
        </m:r>
        <m:r>
          <m:t>C</m:t>
        </m:r>
        <m:r>
          <m:rPr>
            <m:sty m:val="p"/>
          </m:rPr>
          <m:t>=</m:t>
        </m:r>
        <m:nary>
          <m:naryPr>
            <m:chr m:val="∑"/>
            <m:limLoc m:val="undOvr"/>
            <m:subHide m:val="off"/>
            <m:supHide m:val="off"/>
          </m:naryPr>
          <m:sub>
            <m:r>
              <m:t>j</m:t>
            </m:r>
            <m:r>
              <m:rPr>
                <m:sty m:val="p"/>
              </m:rPr>
              <m:t>=</m:t>
            </m:r>
            <m:r>
              <m:t>1</m:t>
            </m:r>
          </m:sub>
          <m:sup>
            <m:r>
              <m:t>5</m:t>
            </m:r>
          </m:sup>
          <m:e>
            <m:sSubSup>
              <m:e>
                <m:r>
                  <m:t>s</m:t>
                </m:r>
              </m:e>
              <m:sub>
                <m:r>
                  <m:t>j</m:t>
                </m:r>
              </m:sub>
              <m:sup>
                <m:r>
                  <m:t>2</m:t>
                </m:r>
              </m:sup>
            </m:sSubSup>
          </m:e>
        </m:nary>
      </m:oMath>
      <w:r>
        <w:rPr>
          <w:rFonts w:cs="B Nazanin"/>
          <w:rtl/>
          <w:szCs w:val="26"/>
        </w:rPr>
        <w:t xml:space="preserve"> </w:t>
      </w:r>
      <w:r>
        <w:rPr>
          <w:rFonts w:cs="B Nazanin"/>
          <w:rtl/>
          <w:szCs w:val="26"/>
        </w:rPr>
        <w:t xml:space="preserve">که</w:t>
      </w:r>
      <w:r>
        <w:rPr>
          <w:rFonts w:cs="B Nazanin"/>
          <w:rtl/>
          <w:szCs w:val="26"/>
        </w:rPr>
        <w:t xml:space="preserve"> </w:t>
      </w:r>
      <m:oMath>
        <m:sSub>
          <m:e>
            <m:r>
              <m:t>s</m:t>
            </m:r>
          </m:e>
          <m:sub>
            <m:r>
              <m:t>j</m:t>
            </m:r>
          </m:sub>
        </m:sSub>
      </m:oMath>
      <w:r>
        <w:rPr>
          <w:rFonts w:cs="B Nazanin"/>
          <w:rtl/>
          <w:szCs w:val="26"/>
        </w:rPr>
        <w:t xml:space="preserve"> </w:t>
      </w:r>
      <w:r>
        <w:rPr>
          <w:rFonts w:cs="B Nazanin"/>
          <w:rtl/>
          <w:szCs w:val="26"/>
        </w:rPr>
        <w:t xml:space="preserve">درصد مالکیت سهامدار</w:t>
      </w:r>
      <w:r>
        <w:rPr>
          <w:rFonts w:cs="B Nazanin"/>
          <w:rtl/>
          <w:szCs w:val="26"/>
        </w:rPr>
        <w:t xml:space="preserve"> </w:t>
      </w:r>
      <m:oMath>
        <m:r>
          <m:t>j</m:t>
        </m:r>
      </m:oMath>
      <w:r>
        <w:rPr>
          <w:rFonts w:cs="B Nazanin"/>
          <w:rtl/>
          <w:szCs w:val="26"/>
        </w:rPr>
        <w:t xml:space="preserve"> </w:t>
      </w:r>
      <w:r>
        <w:rPr>
          <w:rFonts w:cs="B Nazanin"/>
          <w:rtl/>
          <w:szCs w:val="26"/>
        </w:rPr>
        <w:t xml:space="preserve">است (La Porta et al., 1999).</w:t>
      </w:r>
    </w:p>
    <w:p>
      <w:pPr>
        <w:bidi/>
        <w:numPr>
          <w:ilvl w:val="0"/>
          <w:numId w:val="1002"/>
        </w:numPr>
        <w:pStyle w:val="Compact"/>
        <w:jc w:val="left"/>
      </w:pPr>
      <w:r>
        <w:rPr>
          <w:rFonts w:cs="B Nazanin"/>
          <w:rtl/>
          <w:bCs/>
          <w:b/>
          <w:szCs w:val="26"/>
        </w:rPr>
        <w:t xml:space="preserve">INST:</w:t>
      </w:r>
      <w:r>
        <w:rPr>
          <w:rFonts w:cs="B Nazanin"/>
          <w:rtl/>
          <w:szCs w:val="26"/>
        </w:rPr>
        <w:t xml:space="preserve"> </w:t>
      </w:r>
      <w:r>
        <w:rPr>
          <w:rFonts w:cs="B Nazanin"/>
          <w:rtl/>
          <w:szCs w:val="26"/>
        </w:rPr>
        <w:t xml:space="preserve">درصد مالکیت سرمایه‌گذاران نهادی (در تحلیل‌های تکمیلی).</w:t>
      </w:r>
    </w:p>
    <w:bookmarkEnd w:id="50"/>
    <w:bookmarkStart w:id="51" w:name="متغیرهای-کنترلی"/>
    <w:p>
      <w:pPr>
        <w:bidi/>
        <w:pStyle w:val="Heading3"/>
        <w:jc w:val="left"/>
      </w:pPr>
      <w:r>
        <w:rPr>
          <w:rFonts w:cs="B Nazanin"/>
          <w:rtl/>
          <w:szCs w:val="26"/>
        </w:rPr>
        <w:t xml:space="preserve">۴-۵-۵. متغیرهای کنترلی</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rtl/>
              </w:rPr>
              <w:t xml:space="preserve">متغیر</w:t>
            </w:r>
          </w:p>
        </w:tc>
        <w:tc>
          <w:tcPr/>
          <w:p>
            <w:pPr>
              <w:pStyle w:val="Compact"/>
              <w:jc w:val="left"/>
            </w:pPr>
            <w:r>
              <w:rPr>
                <w:rtl/>
              </w:rPr>
              <w:t xml:space="preserve">نماد</w:t>
            </w:r>
          </w:p>
        </w:tc>
        <w:tc>
          <w:tcPr/>
          <w:p>
            <w:pPr>
              <w:pStyle w:val="Compact"/>
              <w:jc w:val="left"/>
            </w:pPr>
            <w:r>
              <w:rPr>
                <w:rtl/>
              </w:rPr>
              <w:t xml:space="preserve">اندازه‌گیری</w:t>
            </w:r>
          </w:p>
        </w:tc>
        <w:tc>
          <w:tcPr/>
          <w:p>
            <w:pPr>
              <w:pStyle w:val="Compact"/>
              <w:jc w:val="left"/>
            </w:pPr>
            <w:r>
              <w:rPr>
                <w:rtl/>
              </w:rPr>
              <w:t xml:space="preserve">مرجع</w:t>
            </w:r>
          </w:p>
        </w:tc>
      </w:tr>
      <w:tr>
        <w:tc>
          <w:tcPr/>
          <w:p>
            <w:pPr>
              <w:pStyle w:val="Compact"/>
              <w:jc w:val="left"/>
            </w:pPr>
            <w:r>
              <w:rPr>
                <w:rtl/>
              </w:rPr>
              <w:t xml:space="preserve">اندازه شرکت</w:t>
            </w:r>
          </w:p>
        </w:tc>
        <w:tc>
          <w:tcPr/>
          <w:p>
            <w:pPr>
              <w:pStyle w:val="Compact"/>
              <w:jc w:val="left"/>
            </w:pPr>
            <w:r>
              <w:rPr>
                <w:rtl/>
              </w:rPr>
              <w:t xml:space="preserve">SIZE</w:t>
            </w:r>
          </w:p>
        </w:tc>
        <w:tc>
          <w:tcPr/>
          <w:p>
            <w:pPr>
              <w:pStyle w:val="Compact"/>
              <w:jc w:val="left"/>
            </w:pPr>
            <w:r>
              <w:rPr>
                <w:rtl/>
              </w:rPr>
              <w:t xml:space="preserve">لگاریتم طبیعی کل دارایی‌ها</w:t>
            </w:r>
          </w:p>
        </w:tc>
        <w:tc>
          <w:tcPr/>
          <w:p>
            <w:pPr>
              <w:pStyle w:val="Compact"/>
              <w:jc w:val="left"/>
            </w:pPr>
            <w:r>
              <w:rPr>
                <w:rtl/>
              </w:rPr>
              <w:t xml:space="preserve">Dichev &amp; Skinner (2002)</w:t>
            </w:r>
          </w:p>
        </w:tc>
      </w:tr>
      <w:tr>
        <w:tc>
          <w:tcPr/>
          <w:p>
            <w:pPr>
              <w:pStyle w:val="Compact"/>
              <w:jc w:val="left"/>
            </w:pPr>
            <w:r>
              <w:rPr>
                <w:rtl/>
              </w:rPr>
              <w:t xml:space="preserve">اهرم مالی</w:t>
            </w:r>
          </w:p>
        </w:tc>
        <w:tc>
          <w:tcPr/>
          <w:p>
            <w:pPr>
              <w:pStyle w:val="Compact"/>
              <w:jc w:val="left"/>
            </w:pPr>
            <w:r>
              <w:rPr>
                <w:rtl/>
              </w:rPr>
              <w:t xml:space="preserve">LEV</w:t>
            </w:r>
          </w:p>
        </w:tc>
        <w:tc>
          <w:tcPr/>
          <w:p>
            <w:pPr>
              <w:pStyle w:val="Compact"/>
              <w:jc w:val="left"/>
            </w:pPr>
            <w:r>
              <w:rPr>
                <w:rtl/>
              </w:rPr>
              <w:t xml:space="preserve">کل بدهی‌ها به کل دارایی‌ها</w:t>
            </w:r>
          </w:p>
        </w:tc>
        <w:tc>
          <w:tcPr/>
          <w:p>
            <w:pPr>
              <w:pStyle w:val="Compact"/>
              <w:jc w:val="left"/>
            </w:pPr>
            <w:r>
              <w:rPr>
                <w:rtl/>
              </w:rPr>
              <w:t xml:space="preserve">Chava &amp; Roberts (2008)</w:t>
            </w:r>
          </w:p>
        </w:tc>
      </w:tr>
      <w:tr>
        <w:tc>
          <w:tcPr/>
          <w:p>
            <w:pPr>
              <w:pStyle w:val="Compact"/>
              <w:jc w:val="left"/>
            </w:pPr>
            <w:r>
              <w:rPr>
                <w:rtl/>
              </w:rPr>
              <w:t xml:space="preserve">سودآوری</w:t>
            </w:r>
          </w:p>
        </w:tc>
        <w:tc>
          <w:tcPr/>
          <w:p>
            <w:pPr>
              <w:pStyle w:val="Compact"/>
              <w:jc w:val="left"/>
            </w:pPr>
            <w:r>
              <w:rPr>
                <w:rtl/>
              </w:rPr>
              <w:t xml:space="preserve">ROA</w:t>
            </w:r>
          </w:p>
        </w:tc>
        <w:tc>
          <w:tcPr/>
          <w:p>
            <w:pPr>
              <w:pStyle w:val="Compact"/>
              <w:jc w:val="left"/>
            </w:pPr>
            <w:r>
              <w:rPr>
                <w:rtl/>
              </w:rPr>
              <w:t xml:space="preserve">سود عملیاتی به کل دارایی‌های ابتدای دوره</w:t>
            </w:r>
          </w:p>
        </w:tc>
        <w:tc>
          <w:tcPr/>
          <w:p>
            <w:pPr>
              <w:pStyle w:val="Compact"/>
              <w:jc w:val="left"/>
            </w:pPr>
            <w:r>
              <w:rPr>
                <w:rtl/>
              </w:rPr>
              <w:t xml:space="preserve">Richardson (2006)</w:t>
            </w:r>
          </w:p>
        </w:tc>
      </w:tr>
      <w:tr>
        <w:tc>
          <w:tcPr/>
          <w:p>
            <w:pPr>
              <w:pStyle w:val="Compact"/>
              <w:jc w:val="left"/>
            </w:pPr>
            <w:r>
              <w:rPr>
                <w:rtl/>
              </w:rPr>
              <w:t xml:space="preserve">فرصت رشد</w:t>
            </w:r>
          </w:p>
        </w:tc>
        <w:tc>
          <w:tcPr/>
          <w:p>
            <w:pPr>
              <w:pStyle w:val="Compact"/>
              <w:jc w:val="left"/>
            </w:pPr>
            <w:r>
              <w:rPr>
                <w:rtl/>
              </w:rPr>
              <w:t xml:space="preserve">GROW</w:t>
            </w:r>
          </w:p>
        </w:tc>
        <w:tc>
          <w:tcPr/>
          <w:p>
            <w:pPr>
              <w:pStyle w:val="Compact"/>
              <w:jc w:val="left"/>
            </w:pPr>
            <w:r>
              <w:rPr>
                <w:rtl/>
              </w:rPr>
              <w:t xml:space="preserve">رشد فروش سالانه</w:t>
            </w:r>
          </w:p>
        </w:tc>
        <w:tc>
          <w:tcPr/>
          <w:p>
            <w:pPr>
              <w:pStyle w:val="Compact"/>
              <w:jc w:val="left"/>
            </w:pPr>
            <w:r>
              <w:rPr>
                <w:rtl/>
              </w:rPr>
              <w:t xml:space="preserve">Myers (1977)</w:t>
            </w:r>
          </w:p>
        </w:tc>
      </w:tr>
      <w:tr>
        <w:tc>
          <w:tcPr/>
          <w:p>
            <w:pPr>
              <w:pStyle w:val="Compact"/>
              <w:jc w:val="left"/>
            </w:pPr>
            <w:r>
              <w:rPr>
                <w:rtl/>
              </w:rPr>
              <w:t xml:space="preserve">نسبت ارزش بازار به دفتری</w:t>
            </w:r>
          </w:p>
        </w:tc>
        <w:tc>
          <w:tcPr/>
          <w:p>
            <w:pPr>
              <w:pStyle w:val="Compact"/>
              <w:jc w:val="left"/>
            </w:pPr>
            <w:r>
              <w:rPr>
                <w:rtl/>
              </w:rPr>
              <w:t xml:space="preserve">MTB</w:t>
            </w:r>
          </w:p>
        </w:tc>
        <w:tc>
          <w:tcPr/>
          <w:p>
            <w:pPr>
              <w:pStyle w:val="Compact"/>
              <w:jc w:val="left"/>
            </w:pPr>
            <w:r>
              <w:rPr>
                <w:rtl/>
              </w:rPr>
              <w:t xml:space="preserve">ارزش بازار حقوق صاحبان سهام به ارزش دفتری</w:t>
            </w:r>
          </w:p>
        </w:tc>
        <w:tc>
          <w:tcPr/>
          <w:p>
            <w:pPr>
              <w:pStyle w:val="Compact"/>
              <w:jc w:val="left"/>
            </w:pPr>
            <w:r>
              <w:rPr>
                <w:rtl/>
              </w:rPr>
              <w:t xml:space="preserve">Richardson (2006)</w:t>
            </w:r>
          </w:p>
        </w:tc>
      </w:tr>
      <w:tr>
        <w:tc>
          <w:tcPr/>
          <w:p>
            <w:pPr>
              <w:pStyle w:val="Compact"/>
              <w:jc w:val="left"/>
            </w:pPr>
            <w:r>
              <w:rPr>
                <w:rtl/>
              </w:rPr>
              <w:t xml:space="preserve">جریان نقد عملیاتی</w:t>
            </w:r>
          </w:p>
        </w:tc>
        <w:tc>
          <w:tcPr/>
          <w:p>
            <w:pPr>
              <w:pStyle w:val="Compact"/>
              <w:jc w:val="left"/>
            </w:pPr>
            <w:r>
              <w:rPr>
                <w:rtl/>
              </w:rPr>
              <w:t xml:space="preserve">CFO</w:t>
            </w:r>
          </w:p>
        </w:tc>
        <w:tc>
          <w:tcPr/>
          <w:p>
            <w:pPr>
              <w:pStyle w:val="Compact"/>
              <w:jc w:val="left"/>
            </w:pPr>
            <w:r>
              <w:rPr>
                <w:rtl/>
              </w:rPr>
              <w:t xml:space="preserve">جریان نقد عملیاتی به دارایی‌های ابتدای دوره</w:t>
            </w:r>
          </w:p>
        </w:tc>
        <w:tc>
          <w:tcPr/>
          <w:p>
            <w:pPr>
              <w:pStyle w:val="Compact"/>
              <w:jc w:val="left"/>
            </w:pPr>
            <w:r>
              <w:rPr>
                <w:rtl/>
              </w:rPr>
              <w:t xml:space="preserve">Jensen (1986)</w:t>
            </w:r>
          </w:p>
        </w:tc>
      </w:tr>
      <w:tr>
        <w:tc>
          <w:tcPr/>
          <w:p>
            <w:pPr>
              <w:pStyle w:val="Compact"/>
              <w:jc w:val="left"/>
            </w:pPr>
            <w:r>
              <w:rPr>
                <w:rtl/>
              </w:rPr>
              <w:t xml:space="preserve">وجه نقد</w:t>
            </w:r>
          </w:p>
        </w:tc>
        <w:tc>
          <w:tcPr/>
          <w:p>
            <w:pPr>
              <w:pStyle w:val="Compact"/>
              <w:jc w:val="left"/>
            </w:pPr>
            <w:r>
              <w:rPr>
                <w:rtl/>
              </w:rPr>
              <w:t xml:space="preserve">CASH</w:t>
            </w:r>
          </w:p>
        </w:tc>
        <w:tc>
          <w:tcPr/>
          <w:p>
            <w:pPr>
              <w:pStyle w:val="Compact"/>
              <w:jc w:val="left"/>
            </w:pPr>
            <w:r>
              <w:rPr>
                <w:rtl/>
              </w:rPr>
              <w:t xml:space="preserve">وجه نقد و معادل آن به دارایی‌ها</w:t>
            </w:r>
          </w:p>
        </w:tc>
        <w:tc>
          <w:tcPr/>
          <w:p>
            <w:pPr>
              <w:pStyle w:val="Compact"/>
              <w:jc w:val="left"/>
            </w:pPr>
            <w:r>
              <w:rPr>
                <w:rtl/>
              </w:rPr>
              <w:t xml:space="preserve">Opler et al. (1999)</w:t>
            </w:r>
          </w:p>
        </w:tc>
      </w:tr>
      <w:tr>
        <w:tc>
          <w:tcPr/>
          <w:p>
            <w:pPr>
              <w:pStyle w:val="Compact"/>
              <w:jc w:val="left"/>
            </w:pPr>
            <w:r>
              <w:rPr>
                <w:rtl/>
              </w:rPr>
              <w:t xml:space="preserve">ملموس بودن دارایی</w:t>
            </w:r>
          </w:p>
        </w:tc>
        <w:tc>
          <w:tcPr/>
          <w:p>
            <w:pPr>
              <w:pStyle w:val="Compact"/>
              <w:jc w:val="left"/>
            </w:pPr>
            <w:r>
              <w:rPr>
                <w:rtl/>
              </w:rPr>
              <w:t xml:space="preserve">TANG</w:t>
            </w:r>
          </w:p>
        </w:tc>
        <w:tc>
          <w:tcPr/>
          <w:p>
            <w:pPr>
              <w:pStyle w:val="Compact"/>
              <w:jc w:val="left"/>
            </w:pPr>
            <w:r>
              <w:rPr>
                <w:rtl/>
              </w:rPr>
              <w:t xml:space="preserve">دارایی‌های ثابت مشهود به کل دارایی‌ها</w:t>
            </w:r>
          </w:p>
        </w:tc>
        <w:tc>
          <w:tcPr/>
          <w:p>
            <w:pPr>
              <w:pStyle w:val="Compact"/>
              <w:jc w:val="left"/>
            </w:pPr>
            <w:r>
              <w:rPr>
                <w:rtl/>
              </w:rPr>
              <w:t xml:space="preserve">Rajan &amp; Zingales (1995)</w:t>
            </w:r>
          </w:p>
        </w:tc>
      </w:tr>
      <w:tr>
        <w:tc>
          <w:tcPr/>
          <w:p>
            <w:pPr>
              <w:pStyle w:val="Compact"/>
              <w:jc w:val="left"/>
            </w:pPr>
            <w:r>
              <w:rPr>
                <w:rtl/>
              </w:rPr>
              <w:t xml:space="preserve">سن شرکت</w:t>
            </w:r>
          </w:p>
        </w:tc>
        <w:tc>
          <w:tcPr/>
          <w:p>
            <w:pPr>
              <w:pStyle w:val="Compact"/>
              <w:jc w:val="left"/>
            </w:pPr>
            <w:r>
              <w:rPr>
                <w:rtl/>
              </w:rPr>
              <w:t xml:space="preserve">AGE</w:t>
            </w:r>
          </w:p>
        </w:tc>
        <w:tc>
          <w:tcPr/>
          <w:p>
            <w:pPr>
              <w:pStyle w:val="Compact"/>
              <w:jc w:val="left"/>
            </w:pPr>
            <w:r>
              <w:rPr>
                <w:rtl/>
              </w:rPr>
              <w:t xml:space="preserve">لگاریتم طبیعی تعداد سال‌های از تأسیس</w:t>
            </w:r>
          </w:p>
        </w:tc>
        <w:tc>
          <w:tcPr/>
          <w:p>
            <w:pPr>
              <w:pStyle w:val="Compact"/>
              <w:jc w:val="left"/>
            </w:pPr>
            <w:r>
              <w:rPr>
                <w:rtl/>
              </w:rPr>
              <w:t xml:space="preserve">Fazzari et al. (1988)</w:t>
            </w:r>
          </w:p>
        </w:tc>
      </w:tr>
      <w:tr>
        <w:tc>
          <w:tcPr/>
          <w:p>
            <w:pPr>
              <w:pStyle w:val="Compact"/>
              <w:jc w:val="left"/>
            </w:pPr>
            <w:r>
              <w:rPr>
                <w:rtl/>
              </w:rPr>
              <w:t xml:space="preserve">زیان</w:t>
            </w:r>
          </w:p>
        </w:tc>
        <w:tc>
          <w:tcPr/>
          <w:p>
            <w:pPr>
              <w:pStyle w:val="Compact"/>
              <w:jc w:val="left"/>
            </w:pPr>
            <w:r>
              <w:rPr>
                <w:rtl/>
              </w:rPr>
              <w:t xml:space="preserve">LOSS</w:t>
            </w:r>
          </w:p>
        </w:tc>
        <w:tc>
          <w:tcPr/>
          <w:p>
            <w:pPr>
              <w:pStyle w:val="Compact"/>
              <w:jc w:val="left"/>
            </w:pPr>
            <w:r>
              <w:rPr>
                <w:rtl/>
              </w:rPr>
              <w:t xml:space="preserve">۱ اگر سود خالص منفی باشد</w:t>
            </w:r>
          </w:p>
        </w:tc>
        <w:tc>
          <w:tcPr/>
          <w:p>
            <w:pPr>
              <w:pStyle w:val="Compact"/>
              <w:jc w:val="left"/>
            </w:pPr>
            <w:r>
              <w:rPr>
                <w:rtl/>
              </w:rPr>
              <w:t xml:space="preserve">Dichev &amp; Skinner (2002)</w:t>
            </w:r>
          </w:p>
        </w:tc>
      </w:tr>
      <w:tr>
        <w:tc>
          <w:tcPr/>
          <w:p>
            <w:pPr>
              <w:pStyle w:val="Compact"/>
              <w:jc w:val="left"/>
            </w:pPr>
            <w:r>
              <w:rPr>
                <w:rtl/>
              </w:rPr>
              <w:t xml:space="preserve">پوشش بهره</w:t>
            </w:r>
          </w:p>
        </w:tc>
        <w:tc>
          <w:tcPr/>
          <w:p>
            <w:pPr>
              <w:pStyle w:val="Compact"/>
              <w:jc w:val="left"/>
            </w:pPr>
            <w:r>
              <w:rPr>
                <w:rtl/>
              </w:rPr>
              <w:t xml:space="preserve">ICR</w:t>
            </w:r>
          </w:p>
        </w:tc>
        <w:tc>
          <w:tcPr/>
          <w:p>
            <w:pPr>
              <w:pStyle w:val="Compact"/>
              <w:jc w:val="left"/>
            </w:pPr>
            <w:r>
              <w:rPr>
                <w:rtl/>
              </w:rPr>
              <w:t xml:space="preserve">سود قبل از بهره و مالیات به هزینه مالی</w:t>
            </w:r>
          </w:p>
        </w:tc>
        <w:tc>
          <w:tcPr/>
          <w:p>
            <w:pPr>
              <w:pStyle w:val="Compact"/>
              <w:jc w:val="left"/>
            </w:pPr>
            <w:r>
              <w:rPr>
                <w:rtl/>
              </w:rPr>
              <w:t xml:space="preserve">Chava &amp; Roberts (2008)</w:t>
            </w:r>
          </w:p>
        </w:tc>
      </w:tr>
    </w:tbl>
    <w:p>
      <w:pPr>
        <w:bidi/>
        <w:jc w:val="left"/>
      </w:pPr>
      <w:r>
        <w:rPr>
          <w:rFonts w:cs="B Nazanin"/>
          <w:rtl/>
          <w:szCs w:val="26"/>
        </w:rPr>
        <w:t xml:space="preserve">تورم بالا در ایران ارزش ریالی اقلام ترازنامه را دگرگون می‌کند؛ از این‌رو همه متغیرها بر دارایی‌های ابتدای دوره مقیاس‌بندی و اثر ثابت سال کنترل می‌شود. در آزمون استحکام، مدل‌ها بدون سال‌های تورمی شدید و با کنترل بازنگری ارزش دارایی‌ها اجرا می‌شود.</w:t>
      </w:r>
    </w:p>
    <w:bookmarkEnd w:id="51"/>
    <w:bookmarkEnd w:id="52"/>
    <w:bookmarkStart w:id="53" w:name="روش-برآورد-و-آزمونهای-تشخیصی"/>
    <w:p>
      <w:pPr>
        <w:bidi/>
        <w:pStyle w:val="Heading2"/>
        <w:jc w:val="left"/>
      </w:pPr>
      <w:r>
        <w:rPr>
          <w:rFonts w:cs="B Nazanin"/>
          <w:rtl/>
          <w:szCs w:val="26"/>
        </w:rPr>
        <w:t xml:space="preserve">۴-۶. روش برآورد و آزمون‌های تشخیصی</w:t>
      </w:r>
    </w:p>
    <w:p>
      <w:pPr>
        <w:bidi/>
        <w:jc w:val="left"/>
      </w:pPr>
      <w:r>
        <w:rPr>
          <w:rFonts w:cs="B Nazanin"/>
          <w:rtl/>
          <w:szCs w:val="26"/>
        </w:rPr>
        <w:t xml:space="preserve">۱.</w:t>
      </w:r>
      <w:r>
        <w:rPr>
          <w:rFonts w:cs="B Nazanin"/>
          <w:rtl/>
          <w:szCs w:val="26"/>
        </w:rPr>
        <w:t xml:space="preserve"> </w:t>
      </w:r>
      <w:r>
        <w:rPr>
          <w:rFonts w:cs="B Nazanin"/>
          <w:rtl/>
          <w:bCs/>
          <w:b/>
          <w:szCs w:val="26"/>
        </w:rPr>
        <w:t xml:space="preserve">انتخاب مدل تابلویی:</w:t>
      </w:r>
      <w:r>
        <w:rPr>
          <w:rFonts w:cs="B Nazanin"/>
          <w:rtl/>
          <w:szCs w:val="26"/>
        </w:rPr>
        <w:t xml:space="preserve"> </w:t>
      </w:r>
      <w:r>
        <w:rPr>
          <w:rFonts w:cs="B Nazanin"/>
          <w:rtl/>
          <w:szCs w:val="26"/>
        </w:rPr>
        <w:t xml:space="preserve">آزمون F لیمر برای تشخیص داده‌های تلفیقی در برابر تابلویی، آزمون هاسمن برای انتخاب بین اثرات ثابت و تصادفی (Hausman, 1978).</w:t>
      </w:r>
      <w:r>
        <w:rPr>
          <w:rFonts w:cs="B Nazanin"/>
          <w:rtl/>
          <w:szCs w:val="26"/>
        </w:rPr>
        <w:t xml:space="preserve"> </w:t>
      </w:r>
      <w:r>
        <w:rPr>
          <w:rFonts w:cs="B Nazanin"/>
          <w:rtl/>
          <w:szCs w:val="26"/>
        </w:rPr>
        <w:t xml:space="preserve">۲.</w:t>
      </w:r>
      <w:r>
        <w:rPr>
          <w:rFonts w:cs="B Nazanin"/>
          <w:rtl/>
          <w:szCs w:val="26"/>
        </w:rPr>
        <w:t xml:space="preserve"> </w:t>
      </w:r>
      <w:r>
        <w:rPr>
          <w:rFonts w:cs="B Nazanin"/>
          <w:rtl/>
          <w:bCs/>
          <w:b/>
          <w:szCs w:val="26"/>
        </w:rPr>
        <w:t xml:space="preserve">خطای استاندارد:</w:t>
      </w:r>
      <w:r>
        <w:rPr>
          <w:rFonts w:cs="B Nazanin"/>
          <w:rtl/>
          <w:szCs w:val="26"/>
        </w:rPr>
        <w:t xml:space="preserve"> </w:t>
      </w:r>
      <w:r>
        <w:rPr>
          <w:rFonts w:cs="B Nazanin"/>
          <w:rtl/>
          <w:szCs w:val="26"/>
        </w:rPr>
        <w:t xml:space="preserve">به‌دلیل همبستگی سریالی و ناهمسانی واریانس، خطای استاندارد خوشه‌ای در سطح شرکت (Petersen, 2009) و در آزمون استحکام خوشه‌بندی دوطرفه شرکت و سال (Cameron, Gelbach &amp; Miller, 2011; Thompson, 2011).</w:t>
      </w:r>
      <w:r>
        <w:rPr>
          <w:rFonts w:cs="B Nazanin"/>
          <w:rtl/>
          <w:szCs w:val="26"/>
        </w:rPr>
        <w:t xml:space="preserve"> </w:t>
      </w:r>
      <w:r>
        <w:rPr>
          <w:rFonts w:cs="B Nazanin"/>
          <w:rtl/>
          <w:szCs w:val="26"/>
        </w:rPr>
        <w:t xml:space="preserve">۳.</w:t>
      </w:r>
      <w:r>
        <w:rPr>
          <w:rFonts w:cs="B Nazanin"/>
          <w:rtl/>
          <w:szCs w:val="26"/>
        </w:rPr>
        <w:t xml:space="preserve"> </w:t>
      </w:r>
      <w:r>
        <w:rPr>
          <w:rFonts w:cs="B Nazanin"/>
          <w:rtl/>
          <w:bCs/>
          <w:b/>
          <w:szCs w:val="26"/>
        </w:rPr>
        <w:t xml:space="preserve">هم‌خطی:</w:t>
      </w:r>
      <w:r>
        <w:rPr>
          <w:rFonts w:cs="B Nazanin"/>
          <w:rtl/>
          <w:szCs w:val="26"/>
        </w:rPr>
        <w:t xml:space="preserve"> </w:t>
      </w:r>
      <w:r>
        <w:rPr>
          <w:rFonts w:cs="B Nazanin"/>
          <w:rtl/>
          <w:szCs w:val="26"/>
        </w:rPr>
        <w:t xml:space="preserve">عامل تورم واریانس (VIF) با آستانه ۱۰.</w:t>
      </w:r>
      <w:r>
        <w:rPr>
          <w:rFonts w:cs="B Nazanin"/>
          <w:rtl/>
          <w:szCs w:val="26"/>
        </w:rPr>
        <w:t xml:space="preserve"> </w:t>
      </w:r>
      <w:r>
        <w:rPr>
          <w:rFonts w:cs="B Nazanin"/>
          <w:rtl/>
          <w:szCs w:val="26"/>
        </w:rPr>
        <w:t xml:space="preserve">۴.</w:t>
      </w:r>
      <w:r>
        <w:rPr>
          <w:rFonts w:cs="B Nazanin"/>
          <w:rtl/>
          <w:szCs w:val="26"/>
        </w:rPr>
        <w:t xml:space="preserve"> </w:t>
      </w:r>
      <w:r>
        <w:rPr>
          <w:rFonts w:cs="B Nazanin"/>
          <w:rtl/>
          <w:bCs/>
          <w:b/>
          <w:szCs w:val="26"/>
        </w:rPr>
        <w:t xml:space="preserve">درون‌زایی انتخاب:</w:t>
      </w:r>
      <w:r>
        <w:rPr>
          <w:rFonts w:cs="B Nazanin"/>
          <w:rtl/>
          <w:szCs w:val="26"/>
        </w:rPr>
        <w:t xml:space="preserve"> </w:t>
      </w:r>
      <w:r>
        <w:rPr>
          <w:rFonts w:cs="B Nazanin"/>
          <w:rtl/>
          <w:szCs w:val="26"/>
        </w:rPr>
        <w:t xml:space="preserve">دریافت وام تصادفی نیست و شرکت‌های با ویژگی‌های خاص آن را دریافت می‌کنند. دو راهکار به کار می‌رود: (الف) مدل انتخاب دومرحله‌ای هکمن (1979) با پروبیت برای رویداد دریافت وام بزرگ و افزودن نسبت معکوس میلز، به‌همراه شرط استثنا مناسب (Lennox, Francis &amp; Wang, 2012)؛ (ب) متغیر ابزاری میانگین خروج‌از‌یکی وام خالص هم‌صنعت‌ها در همان سال (شبیه Hausman et al., 1994)، که انعکاس‌دهنده عرضه اعتبار صنعت است و به رفتار تک‌شرکت وابسته نیست. اعتبار ابزار با آماره F مرحله اول (بیش از ۱۰) و آزمون سارگان/هانسن در صورت ابزارهای متعدد سنجیده می‌شود.</w:t>
      </w:r>
      <w:r>
        <w:rPr>
          <w:rFonts w:cs="B Nazanin"/>
          <w:rtl/>
          <w:szCs w:val="26"/>
        </w:rPr>
        <w:t xml:space="preserve"> </w:t>
      </w:r>
      <w:r>
        <w:rPr>
          <w:rFonts w:cs="B Nazanin"/>
          <w:rtl/>
          <w:szCs w:val="26"/>
        </w:rPr>
        <w:t xml:space="preserve">۵.</w:t>
      </w:r>
      <w:r>
        <w:rPr>
          <w:rFonts w:cs="B Nazanin"/>
          <w:rtl/>
          <w:szCs w:val="26"/>
        </w:rPr>
        <w:t xml:space="preserve"> </w:t>
      </w:r>
      <w:r>
        <w:rPr>
          <w:rFonts w:cs="B Nazanin"/>
          <w:rtl/>
          <w:bCs/>
          <w:b/>
          <w:szCs w:val="26"/>
        </w:rPr>
        <w:t xml:space="preserve">اعتبار سازه:</w:t>
      </w:r>
      <w:r>
        <w:rPr>
          <w:rFonts w:cs="B Nazanin"/>
          <w:rtl/>
          <w:szCs w:val="26"/>
        </w:rPr>
        <w:t xml:space="preserve"> </w:t>
      </w:r>
      <w:r>
        <w:rPr>
          <w:rFonts w:cs="B Nazanin"/>
          <w:rtl/>
          <w:szCs w:val="26"/>
        </w:rPr>
        <w:t xml:space="preserve">DIV با ملاک‌های مستقل مقایسه می‌شود: همبستگی با معاملات وابسته افشاشده، افزایش مانده تسهیلات سررسیدگذشته در سال بعد و اظهارنظر مشروط حسابرس.</w:t>
      </w:r>
    </w:p>
    <w:bookmarkEnd w:id="53"/>
    <w:bookmarkEnd w:id="54"/>
    <w:bookmarkStart w:id="55" w:name="طرح-تحلیل-و-ساختار-گزارش-یافتهها"/>
    <w:p>
      <w:pPr>
        <w:bidi/>
        <w:pStyle w:val="Heading1"/>
        <w:jc w:val="left"/>
      </w:pPr>
      <w:r>
        <w:rPr>
          <w:rFonts w:cs="B Nazanin"/>
          <w:rtl/>
          <w:szCs w:val="26"/>
        </w:rPr>
        <w:t xml:space="preserve">۵. طرح تحلیل و ساختار گزارش یافته‌ها</w:t>
      </w:r>
    </w:p>
    <w:p>
      <w:pPr>
        <w:bidi/>
        <w:jc w:val="left"/>
      </w:pPr>
      <w:r>
        <w:rPr>
          <w:rFonts w:cs="B Nazanin"/>
          <w:rtl/>
          <w:szCs w:val="26"/>
        </w:rPr>
        <w:t xml:space="preserve">یافته‌ها پس از اجرای مدل‌ها در پنج جدول گزارش می‌شوند:</w:t>
      </w:r>
    </w:p>
    <w:p>
      <w:pPr>
        <w:bidi/>
        <w:jc w:val="left"/>
      </w:pPr>
      <w:r>
        <w:rPr>
          <w:rFonts w:cs="B Nazanin"/>
          <w:rtl/>
          <w:bCs/>
          <w:b/>
          <w:szCs w:val="26"/>
        </w:rPr>
        <w:t xml:space="preserve">جدول ۱ ـ آمار توصیفی:</w:t>
      </w:r>
      <w:r>
        <w:rPr>
          <w:rFonts w:cs="B Nazanin"/>
          <w:rtl/>
          <w:szCs w:val="26"/>
        </w:rPr>
        <w:t xml:space="preserve"> </w:t>
      </w:r>
      <w:r>
        <w:rPr>
          <w:rFonts w:cs="B Nazanin"/>
          <w:rtl/>
          <w:szCs w:val="26"/>
        </w:rPr>
        <w:t xml:space="preserve">میانگین، میانه، انحراف معیار، حداقل و حداکثر متغیرها؛ [با داده واقعی تکمیل شود].</w:t>
      </w:r>
    </w:p>
    <w:p>
      <w:pPr>
        <w:bidi/>
        <w:jc w:val="left"/>
      </w:pPr>
      <w:r>
        <w:rPr>
          <w:rFonts w:cs="B Nazanin"/>
          <w:rtl/>
          <w:bCs/>
          <w:b/>
          <w:szCs w:val="26"/>
        </w:rPr>
        <w:t xml:space="preserve">جدول ۲ ـ ماتریس همبستگی (پیرسون و اسپیرمن):</w:t>
      </w:r>
      <w:r>
        <w:rPr>
          <w:rFonts w:cs="B Nazanin"/>
          <w:rtl/>
          <w:szCs w:val="26"/>
        </w:rPr>
        <w:t xml:space="preserve"> </w:t>
      </w:r>
      <w:r>
        <w:rPr>
          <w:rFonts w:cs="B Nazanin"/>
          <w:rtl/>
          <w:szCs w:val="26"/>
        </w:rPr>
        <w:t xml:space="preserve">[تکمیل شود].</w:t>
      </w:r>
    </w:p>
    <w:p>
      <w:pPr>
        <w:bidi/>
        <w:jc w:val="left"/>
      </w:pPr>
      <w:r>
        <w:rPr>
          <w:rFonts w:cs="B Nazanin"/>
          <w:rtl/>
          <w:bCs/>
          <w:b/>
          <w:szCs w:val="26"/>
        </w:rPr>
        <w:t xml:space="preserve">جدول ۳ ـ نتایج مدل ۱:</w:t>
      </w:r>
      <w:r>
        <w:rPr>
          <w:rFonts w:cs="B Nazanin"/>
          <w:rtl/>
          <w:szCs w:val="26"/>
        </w:rPr>
        <w:t xml:space="preserve"> </w:t>
      </w:r>
      <w:r>
        <w:rPr>
          <w:rFonts w:cs="B Nazanin"/>
          <w:rtl/>
          <w:szCs w:val="26"/>
        </w:rPr>
        <w:t xml:space="preserve">ستون‌ها شامل اثر اصلی، اثر متقابل حسابرسی، اثر متقابل دولتی و تمرکز و مدل کامل؛ [تکمیل شود].</w:t>
      </w:r>
    </w:p>
    <w:p>
      <w:pPr>
        <w:bidi/>
        <w:jc w:val="left"/>
      </w:pPr>
      <w:r>
        <w:rPr>
          <w:rFonts w:cs="B Nazanin"/>
          <w:rtl/>
          <w:bCs/>
          <w:b/>
          <w:szCs w:val="26"/>
        </w:rPr>
        <w:t xml:space="preserve">جدول ۴ ـ نتایج رویدادپژوهی:</w:t>
      </w:r>
      <w:r>
        <w:rPr>
          <w:rFonts w:cs="B Nazanin"/>
          <w:rtl/>
          <w:szCs w:val="26"/>
        </w:rPr>
        <w:t xml:space="preserve"> </w:t>
      </w:r>
      <m:oMath>
        <m:r>
          <m:t>A</m:t>
        </m:r>
        <m:r>
          <m:t>T</m:t>
        </m:r>
        <m:r>
          <m:t>T</m:t>
        </m:r>
        <m:d>
          <m:dPr>
            <m:begChr m:val="("/>
            <m:endChr m:val=")"/>
            <m:sepChr m:val=""/>
            <m:grow/>
          </m:dPr>
          <m:e>
            <m:r>
              <m:t>g</m:t>
            </m:r>
            <m:r>
              <m:rPr>
                <m:sty m:val="p"/>
              </m:rPr>
              <m:t>,</m:t>
            </m:r>
            <m:r>
              <m:t>t</m:t>
            </m:r>
          </m:e>
        </m:d>
      </m:oMath>
      <w:r>
        <w:rPr>
          <w:rFonts w:cs="B Nazanin"/>
          <w:rtl/>
          <w:szCs w:val="26"/>
        </w:rPr>
        <w:t xml:space="preserve"> </w:t>
      </w:r>
      <w:r>
        <w:rPr>
          <w:rFonts w:cs="B Nazanin"/>
          <w:rtl/>
          <w:szCs w:val="26"/>
        </w:rPr>
        <w:t xml:space="preserve">و شکل رویدادنگار (Event-study plot) همراه آزمون روند موازی؛ [تکمیل شود].</w:t>
      </w:r>
    </w:p>
    <w:p>
      <w:pPr>
        <w:bidi/>
        <w:jc w:val="left"/>
      </w:pPr>
      <w:r>
        <w:rPr>
          <w:rFonts w:cs="B Nazanin"/>
          <w:rtl/>
          <w:bCs/>
          <w:b/>
          <w:szCs w:val="26"/>
        </w:rPr>
        <w:t xml:space="preserve">جدول ۵ ـ نتایج مدل ۳ و آزمون‌های استحکام:</w:t>
      </w:r>
      <w:r>
        <w:rPr>
          <w:rFonts w:cs="B Nazanin"/>
          <w:rtl/>
          <w:szCs w:val="26"/>
        </w:rPr>
        <w:t xml:space="preserve"> </w:t>
      </w:r>
      <w:r>
        <w:rPr>
          <w:rFonts w:cs="B Nazanin"/>
          <w:rtl/>
          <w:szCs w:val="26"/>
        </w:rPr>
        <w:t xml:space="preserve">[تکمیل شود].</w:t>
      </w:r>
    </w:p>
    <w:p>
      <w:pPr>
        <w:bidi/>
        <w:jc w:val="left"/>
      </w:pPr>
      <w:r>
        <w:rPr>
          <w:rFonts w:cs="B Nazanin"/>
          <w:rtl/>
          <w:szCs w:val="26"/>
        </w:rPr>
        <w:t xml:space="preserve">نمونه فرمت تفسیر: «اگر</w:t>
      </w:r>
      <w:r>
        <w:rPr>
          <w:rFonts w:cs="B Nazanin"/>
          <w:rtl/>
          <w:szCs w:val="26"/>
        </w:rPr>
        <w:t xml:space="preserve"> </w:t>
      </w:r>
      <m:oMath>
        <m:sSub>
          <m:e>
            <m:r>
              <m:t>α</m:t>
            </m:r>
          </m:e>
          <m:sub>
            <m:r>
              <m:t>1</m:t>
            </m:r>
          </m:sub>
        </m:sSub>
      </m:oMath>
      <w:r>
        <w:rPr>
          <w:rFonts w:cs="B Nazanin"/>
          <w:rtl/>
          <w:szCs w:val="26"/>
        </w:rPr>
        <w:t xml:space="preserve"> </w:t>
      </w:r>
      <w:r>
        <w:rPr>
          <w:rFonts w:cs="B Nazanin"/>
          <w:rtl/>
          <w:szCs w:val="26"/>
        </w:rPr>
        <w:t xml:space="preserve">برابر</w:t>
      </w:r>
      <w:r>
        <w:rPr>
          <w:rFonts w:cs="B Nazanin"/>
          <w:rtl/>
          <w:szCs w:val="26"/>
        </w:rPr>
        <w:t xml:space="preserve"> </w:t>
      </w:r>
      <m:oMath>
        <m:r>
          <m:t>0</m:t>
        </m:r>
        <m:r>
          <m:rPr>
            <m:sty m:val="p"/>
          </m:rPr>
          <m:t>/</m:t>
        </m:r>
        <m:r>
          <m:t>​</m:t>
        </m:r>
        <m:r>
          <m:t>x</m:t>
        </m:r>
        <m:r>
          <m:t>x</m:t>
        </m:r>
      </m:oMath>
      <w:r>
        <w:rPr>
          <w:rFonts w:cs="B Nazanin"/>
          <w:rtl/>
          <w:szCs w:val="26"/>
        </w:rPr>
        <w:t xml:space="preserve"> </w:t>
      </w:r>
      <w:r>
        <w:rPr>
          <w:rFonts w:cs="B Nazanin"/>
          <w:rtl/>
          <w:szCs w:val="26"/>
        </w:rPr>
        <w:t xml:space="preserve">و معنادار باشد، یک واحد افزایش خالص تسهیلات به دارایی‌ها با افزایش</w:t>
      </w:r>
      <w:r>
        <w:rPr>
          <w:rFonts w:cs="B Nazanin"/>
          <w:rtl/>
          <w:szCs w:val="26"/>
        </w:rPr>
        <w:t xml:space="preserve"> </w:t>
      </w:r>
      <m:oMath>
        <m:r>
          <m:t>0</m:t>
        </m:r>
        <m:r>
          <m:rPr>
            <m:sty m:val="p"/>
          </m:rPr>
          <m:t>/</m:t>
        </m:r>
        <m:r>
          <m:t>​</m:t>
        </m:r>
        <m:r>
          <m:t>x</m:t>
        </m:r>
        <m:r>
          <m:t>x</m:t>
        </m:r>
      </m:oMath>
      <w:r>
        <w:rPr>
          <w:rFonts w:cs="B Nazanin"/>
          <w:rtl/>
          <w:szCs w:val="26"/>
        </w:rPr>
        <w:t xml:space="preserve"> </w:t>
      </w:r>
      <w:r>
        <w:rPr>
          <w:rFonts w:cs="B Nazanin"/>
          <w:rtl/>
          <w:szCs w:val="26"/>
        </w:rPr>
        <w:t xml:space="preserve">واحدی دارایی‌های غیرعملیاتی همراه است که نشان‌دهنده شواهدی از کژاخلاقی است.» تفسیر باید همواره با احتیاط علّی همراه باشد و از عبارت «همراه است با» به جای «باعث می‌شود» استفاده شود، مگر آنکه طرح رویدادپژوهی و آزمون‌های روند موازی پشتیبان آن باشند.</w:t>
      </w:r>
    </w:p>
    <w:bookmarkEnd w:id="55"/>
    <w:bookmarkStart w:id="56" w:name="آزمونهای-اعتبار-و-استحکام"/>
    <w:p>
      <w:pPr>
        <w:bidi/>
        <w:pStyle w:val="Heading1"/>
        <w:jc w:val="left"/>
      </w:pPr>
      <w:r>
        <w:rPr>
          <w:rFonts w:cs="B Nazanin"/>
          <w:rtl/>
          <w:szCs w:val="26"/>
        </w:rPr>
        <w:t xml:space="preserve">۶. آزمون‌های اعتبار و استحکام</w:t>
      </w:r>
    </w:p>
    <w:p>
      <w:pPr>
        <w:bidi/>
        <w:jc w:val="left"/>
      </w:pPr>
      <w:r>
        <w:rPr>
          <w:rFonts w:cs="B Nazanin"/>
          <w:rtl/>
          <w:szCs w:val="26"/>
        </w:rPr>
        <w:t xml:space="preserve">۱. تعریف‌های جایگزین NONOP: با و بدون وجه نقد مازاد، با و بدون مطالبات وابسته.</w:t>
      </w:r>
      <w:r>
        <w:rPr>
          <w:rFonts w:cs="B Nazanin"/>
          <w:rtl/>
          <w:szCs w:val="26"/>
        </w:rPr>
        <w:t xml:space="preserve"> </w:t>
      </w:r>
      <w:r>
        <w:rPr>
          <w:rFonts w:cs="B Nazanin"/>
          <w:rtl/>
          <w:szCs w:val="26"/>
        </w:rPr>
        <w:t xml:space="preserve">۲. تغییر آستانه LARGELOAN (۳٪، ۵٪، ۱۰٪) و آستانه DIV (۱٪ تا ۵٪).</w:t>
      </w:r>
      <w:r>
        <w:rPr>
          <w:rFonts w:cs="B Nazanin"/>
          <w:rtl/>
          <w:szCs w:val="26"/>
        </w:rPr>
        <w:t xml:space="preserve"> </w:t>
      </w:r>
      <w:r>
        <w:rPr>
          <w:rFonts w:cs="B Nazanin"/>
          <w:rtl/>
          <w:szCs w:val="26"/>
        </w:rPr>
        <w:t xml:space="preserve">۳. آزمون پلاسبو: انتقال تصادفی سال رویداد و بررسی نبود اثر.</w:t>
      </w:r>
      <w:r>
        <w:rPr>
          <w:rFonts w:cs="B Nazanin"/>
          <w:rtl/>
          <w:szCs w:val="26"/>
        </w:rPr>
        <w:t xml:space="preserve"> </w:t>
      </w:r>
      <w:r>
        <w:rPr>
          <w:rFonts w:cs="B Nazanin"/>
          <w:rtl/>
          <w:szCs w:val="26"/>
        </w:rPr>
        <w:t xml:space="preserve">۴. حذف صنایع با دارایی غیرعملیاتی ذاتاً بالا (مثلاً خودرو و قطعات با سپرده‌های واردات).</w:t>
      </w:r>
      <w:r>
        <w:rPr>
          <w:rFonts w:cs="B Nazanin"/>
          <w:rtl/>
          <w:szCs w:val="26"/>
        </w:rPr>
        <w:t xml:space="preserve"> </w:t>
      </w:r>
      <w:r>
        <w:rPr>
          <w:rFonts w:cs="B Nazanin"/>
          <w:rtl/>
          <w:szCs w:val="26"/>
        </w:rPr>
        <w:t xml:space="preserve">۵. اجرای جداگانه برای شرکت‌های بورسی بزرگ و کوچک، و برای دوره‌های قبل و بعد از تغییرات شدید ارزی.</w:t>
      </w:r>
      <w:r>
        <w:rPr>
          <w:rFonts w:cs="B Nazanin"/>
          <w:rtl/>
          <w:szCs w:val="26"/>
        </w:rPr>
        <w:t xml:space="preserve"> </w:t>
      </w:r>
      <w:r>
        <w:rPr>
          <w:rFonts w:cs="B Nazanin"/>
          <w:rtl/>
          <w:szCs w:val="26"/>
        </w:rPr>
        <w:t xml:space="preserve">۶. بررسی تفاوت دارایی غیرعملیاتی در شرکت‌های با و بدون تسهیلات سررسید گذشته.</w:t>
      </w:r>
      <w:r>
        <w:rPr>
          <w:rFonts w:cs="B Nazanin"/>
          <w:rtl/>
          <w:szCs w:val="26"/>
        </w:rPr>
        <w:t xml:space="preserve"> </w:t>
      </w:r>
      <w:r>
        <w:rPr>
          <w:rFonts w:cs="B Nazanin"/>
          <w:rtl/>
          <w:szCs w:val="26"/>
        </w:rPr>
        <w:t xml:space="preserve">۷. کنترل ماهیت وام: وام‌های ارزی، تسهیلات تکلیفی و وام‌های عادی (در صورت تفکیک در یادداشت‌ها).</w:t>
      </w:r>
    </w:p>
    <w:bookmarkEnd w:id="56"/>
    <w:bookmarkStart w:id="57" w:name="نتیجهگیری-و-پیشنهادها"/>
    <w:p>
      <w:pPr>
        <w:bidi/>
        <w:pStyle w:val="Heading1"/>
        <w:jc w:val="left"/>
      </w:pPr>
      <w:r>
        <w:rPr>
          <w:rFonts w:cs="B Nazanin"/>
          <w:rtl/>
          <w:szCs w:val="26"/>
        </w:rPr>
        <w:t xml:space="preserve">۷. نتیجه‌گیری و پیشنهادها</w:t>
      </w:r>
    </w:p>
    <w:p>
      <w:pPr>
        <w:bidi/>
        <w:jc w:val="left"/>
      </w:pPr>
      <w:r>
        <w:rPr>
          <w:rFonts w:cs="B Nazanin"/>
          <w:rtl/>
          <w:szCs w:val="26"/>
        </w:rPr>
        <w:t xml:space="preserve">[بخش نتیجه‌گیری پس از دریافت نتایج تجربی تکمیل می‌شود.] چارچوب پیشنهادی: ابتدا خلاصه یافته‌ها بیان شود؛ سپس توضیح داده شود که شاخص DIV چگونه می‌تواند ابزار پایش بانک و ناظر باشد؛ سپس پیشنهادهای سیاستی:</w:t>
      </w:r>
    </w:p>
    <w:p>
      <w:pPr>
        <w:bidi/>
        <w:numPr>
          <w:ilvl w:val="0"/>
          <w:numId w:val="1003"/>
        </w:numPr>
        <w:pStyle w:val="Compact"/>
        <w:jc w:val="left"/>
      </w:pPr>
      <w:r>
        <w:rPr>
          <w:rFonts w:cs="B Nazanin"/>
          <w:rtl/>
          <w:bCs/>
          <w:b/>
          <w:szCs w:val="26"/>
        </w:rPr>
        <w:t xml:space="preserve">برای بانک‌ها:</w:t>
      </w:r>
      <w:r>
        <w:rPr>
          <w:rFonts w:cs="B Nazanin"/>
          <w:rtl/>
          <w:szCs w:val="26"/>
        </w:rPr>
        <w:t xml:space="preserve"> </w:t>
      </w:r>
      <w:r>
        <w:rPr>
          <w:rFonts w:cs="B Nazanin"/>
          <w:rtl/>
          <w:szCs w:val="26"/>
        </w:rPr>
        <w:t xml:space="preserve">درج بند الزام به ارائه صورت جریان وجوه نقد میان‌دوره‌ای و گزارش اطمینان‌بخشی حسابرس درباره مصرف تسهیلات در قرارداد، و استفاده از DIV در سیستم هشدار زودهنگام.</w:t>
      </w:r>
    </w:p>
    <w:p>
      <w:pPr>
        <w:bidi/>
        <w:numPr>
          <w:ilvl w:val="0"/>
          <w:numId w:val="1003"/>
        </w:numPr>
        <w:pStyle w:val="Compact"/>
        <w:jc w:val="left"/>
      </w:pPr>
      <w:r>
        <w:rPr>
          <w:rFonts w:cs="B Nazanin"/>
          <w:rtl/>
          <w:bCs/>
          <w:b/>
          <w:szCs w:val="26"/>
        </w:rPr>
        <w:t xml:space="preserve">برای نهاد ناظر (بانک مرکزی و سازمان بورس):</w:t>
      </w:r>
      <w:r>
        <w:rPr>
          <w:rFonts w:cs="B Nazanin"/>
          <w:rtl/>
          <w:szCs w:val="26"/>
        </w:rPr>
        <w:t xml:space="preserve"> </w:t>
      </w:r>
      <w:r>
        <w:rPr>
          <w:rFonts w:cs="B Nazanin"/>
          <w:rtl/>
          <w:szCs w:val="26"/>
        </w:rPr>
        <w:t xml:space="preserve">افزودن افشای ویژه درباره مصرف تسهیلات در یادداشت‌های توضیحی صورت‌های مالی.</w:t>
      </w:r>
    </w:p>
    <w:p>
      <w:pPr>
        <w:bidi/>
        <w:numPr>
          <w:ilvl w:val="0"/>
          <w:numId w:val="1003"/>
        </w:numPr>
        <w:pStyle w:val="Compact"/>
        <w:jc w:val="left"/>
      </w:pPr>
      <w:r>
        <w:rPr>
          <w:rFonts w:cs="B Nazanin"/>
          <w:rtl/>
          <w:bCs/>
          <w:b/>
          <w:szCs w:val="26"/>
        </w:rPr>
        <w:t xml:space="preserve">برای حرفه حسابرسی:</w:t>
      </w:r>
      <w:r>
        <w:rPr>
          <w:rFonts w:cs="B Nazanin"/>
          <w:rtl/>
          <w:szCs w:val="26"/>
        </w:rPr>
        <w:t xml:space="preserve"> </w:t>
      </w:r>
      <w:r>
        <w:rPr>
          <w:rFonts w:cs="B Nazanin"/>
          <w:rtl/>
          <w:szCs w:val="26"/>
        </w:rPr>
        <w:t xml:space="preserve">توسعه خدمات اطمینان‌بخشی ویژه در خصوص انطباق مصرف وام با اهداف قرارداد.</w:t>
      </w:r>
    </w:p>
    <w:p>
      <w:pPr>
        <w:bidi/>
        <w:numPr>
          <w:ilvl w:val="0"/>
          <w:numId w:val="1003"/>
        </w:numPr>
        <w:pStyle w:val="Compact"/>
        <w:jc w:val="left"/>
      </w:pPr>
      <w:r>
        <w:rPr>
          <w:rFonts w:cs="B Nazanin"/>
          <w:rtl/>
          <w:bCs/>
          <w:b/>
          <w:szCs w:val="26"/>
        </w:rPr>
        <w:t xml:space="preserve">برای پژوهش‌های آینده:</w:t>
      </w:r>
      <w:r>
        <w:rPr>
          <w:rFonts w:cs="B Nazanin"/>
          <w:rtl/>
          <w:szCs w:val="26"/>
        </w:rPr>
        <w:t xml:space="preserve"> </w:t>
      </w:r>
      <w:r>
        <w:rPr>
          <w:rFonts w:cs="B Nazanin"/>
          <w:rtl/>
          <w:szCs w:val="26"/>
        </w:rPr>
        <w:t xml:space="preserve">اتصال داده‌های بانکی و صورت‌های مالی برای اعتبارسنجی شاخص و بررسی اثر وام‌های تکلیفی.</w:t>
      </w:r>
    </w:p>
    <w:p>
      <w:pPr>
        <w:bidi/>
        <w:jc w:val="left"/>
      </w:pPr>
      <w:r>
        <w:rPr>
          <w:rFonts w:cs="B Nazanin"/>
          <w:rtl/>
          <w:bCs/>
          <w:b/>
          <w:szCs w:val="26"/>
        </w:rPr>
        <w:t xml:space="preserve">محدودیت‌ها:</w:t>
      </w:r>
      <w:r>
        <w:rPr>
          <w:rFonts w:cs="B Nazanin"/>
          <w:rtl/>
          <w:szCs w:val="26"/>
        </w:rPr>
        <w:t xml:space="preserve"> </w:t>
      </w:r>
      <w:r>
        <w:rPr>
          <w:rFonts w:cs="B Nazanin"/>
          <w:rtl/>
          <w:szCs w:val="26"/>
        </w:rPr>
        <w:t xml:space="preserve">تفکیک دارایی عملیاتی و غیرعملیاتی تا حدی قضاوتی است؛ داده‌های یادداشتی ممکن است ناقص باشند؛ تورم بالا مقایسه‌پذیری را کاهش می‌دهد؛ و شاخص نشان‌دهنده نیت نیست بلکه الگوی مصرف را می‌سنجد.</w:t>
      </w:r>
    </w:p>
    <w:bookmarkEnd w:id="57"/>
    <w:bookmarkStart w:id="58" w:name="منابع"/>
    <w:p>
      <w:pPr>
        <w:bidi/>
        <w:pStyle w:val="Heading1"/>
        <w:jc w:val="left"/>
      </w:pPr>
      <w:r>
        <w:rPr>
          <w:rFonts w:cs="B Nazanin"/>
          <w:rtl/>
          <w:szCs w:val="26"/>
        </w:rPr>
        <w:t xml:space="preserve">۸. منابع</w:t>
      </w:r>
    </w:p>
    <w:p>
      <w:pPr>
        <w:bidi/>
        <w:jc w:val="left"/>
      </w:pPr>
      <w:r>
        <w:rPr>
          <w:rFonts w:cs="B Nazanin"/>
          <w:rtl/>
          <w:bCs/>
          <w:b/>
          <w:szCs w:val="26"/>
        </w:rPr>
        <w:t xml:space="preserve">منابع فارسی:</w:t>
      </w:r>
      <w:r>
        <w:rPr>
          <w:rFonts w:cs="B Nazanin"/>
          <w:rtl/>
          <w:szCs w:val="26"/>
        </w:rPr>
        <w:t xml:space="preserve"> </w:t>
      </w:r>
      <w:r>
        <w:rPr>
          <w:rFonts w:cs="B Nazanin"/>
          <w:rtl/>
          <w:szCs w:val="26"/>
        </w:rPr>
        <w:t xml:space="preserve">[این بخش را با منابع فارسی معتبر (مقالات علمی‌پژوهشی نمایه‌شده در SID/ISC/Magiran، استانداردهای حسابداری ایران و قوانین مرتبط) تکمیل کنید. پیشنهاد: ۸ تا ۱۲ منبع درباره حسابرسی، تسهیلات بانکی، مالکیت دولتی و بورس تهران.]</w:t>
      </w:r>
    </w:p>
    <w:p>
      <w:pPr>
        <w:bidi/>
        <w:numPr>
          <w:ilvl w:val="0"/>
          <w:numId w:val="1004"/>
        </w:numPr>
        <w:pStyle w:val="Compact"/>
        <w:jc w:val="left"/>
      </w:pPr>
      <w:r>
        <w:rPr>
          <w:rFonts w:cs="B Nazanin"/>
          <w:rtl/>
          <w:szCs w:val="26"/>
        </w:rPr>
        <w:t xml:space="preserve">سازمان حسابرسی. (آخرین ویرایش).</w:t>
      </w:r>
      <w:r>
        <w:rPr>
          <w:rFonts w:cs="B Nazanin"/>
          <w:rtl/>
          <w:szCs w:val="26"/>
        </w:rPr>
        <w:t xml:space="preserve"> </w:t>
      </w:r>
      <w:r>
        <w:rPr>
          <w:rFonts w:cs="B Nazanin"/>
          <w:rtl/>
          <w:iCs/>
          <w:i/>
          <w:szCs w:val="26"/>
        </w:rPr>
        <w:t xml:space="preserve">استانداردهای حسابداری</w:t>
      </w:r>
      <w:r>
        <w:rPr>
          <w:rFonts w:cs="B Nazanin"/>
          <w:rtl/>
          <w:szCs w:val="26"/>
        </w:rPr>
        <w:t xml:space="preserve">. استاندارد شماره ۲ «صورت جریان وجوه نقد» و استاندارد شماره ۱۲ «افشای اطلاعات اشخاص وابسته». تهران: انتشارات سازمان حسابرسی.</w:t>
      </w:r>
    </w:p>
    <w:p>
      <w:pPr>
        <w:bidi/>
        <w:numPr>
          <w:ilvl w:val="0"/>
          <w:numId w:val="1004"/>
        </w:numPr>
        <w:pStyle w:val="Compact"/>
        <w:jc w:val="left"/>
      </w:pPr>
      <w:r>
        <w:rPr>
          <w:rFonts w:cs="B Nazanin"/>
          <w:rtl/>
          <w:szCs w:val="26"/>
        </w:rPr>
        <w:t xml:space="preserve">قانون تجارت ایران، ماده ۱۴۱.</w:t>
      </w:r>
    </w:p>
    <w:p>
      <w:pPr>
        <w:bidi/>
        <w:jc w:val="left"/>
      </w:pPr>
      <w:r>
        <w:rPr>
          <w:rFonts w:cs="B Nazanin"/>
          <w:rtl/>
          <w:bCs/>
          <w:b/>
          <w:szCs w:val="26"/>
        </w:rPr>
        <w:t xml:space="preserve">منابع لاتین:</w:t>
      </w:r>
    </w:p>
    <w:p>
      <w:pPr>
        <w:bidi/>
        <w:numPr>
          <w:ilvl w:val="0"/>
          <w:numId w:val="1005"/>
        </w:numPr>
        <w:pStyle w:val="Compact"/>
        <w:jc w:val="left"/>
      </w:pPr>
      <w:r>
        <w:rPr>
          <w:rFonts w:cs="B Nazanin"/>
          <w:rtl/>
          <w:szCs w:val="26"/>
        </w:rPr>
        <w:t xml:space="preserve">Akerlof, G. A. (1970). The market for</w:t>
      </w:r>
      <w:r>
        <w:rPr>
          <w:rFonts w:cs="B Nazanin"/>
          <w:rtl/>
          <w:szCs w:val="26"/>
        </w:rPr>
        <w:t xml:space="preserve"> </w:t>
      </w:r>
      <w:r>
        <w:rPr>
          <w:rFonts w:cs="B Nazanin"/>
          <w:rtl/>
          <w:szCs w:val="26"/>
        </w:rPr>
        <w:t xml:space="preserve">“</w:t>
      </w:r>
      <w:r>
        <w:rPr>
          <w:rFonts w:cs="B Nazanin"/>
          <w:rtl/>
          <w:szCs w:val="26"/>
        </w:rPr>
        <w:t xml:space="preserve">lemons</w:t>
      </w:r>
      <w:r>
        <w:rPr>
          <w:rFonts w:cs="B Nazanin"/>
          <w:rtl/>
          <w:szCs w:val="26"/>
        </w:rPr>
        <w:t xml:space="preserve">”</w:t>
      </w:r>
      <w:r>
        <w:rPr>
          <w:rFonts w:cs="B Nazanin"/>
          <w:rtl/>
          <w:szCs w:val="26"/>
        </w:rPr>
        <w:t xml:space="preserve">: Quality uncertainty and the market mechanism.</w:t>
      </w:r>
      <w:r>
        <w:rPr>
          <w:rFonts w:cs="B Nazanin"/>
          <w:rtl/>
          <w:szCs w:val="26"/>
        </w:rPr>
        <w:t xml:space="preserve"> </w:t>
      </w:r>
      <w:r>
        <w:rPr>
          <w:rFonts w:cs="B Nazanin"/>
          <w:rtl/>
          <w:iCs/>
          <w:i/>
          <w:szCs w:val="26"/>
        </w:rPr>
        <w:t xml:space="preserve">Quarterly Journal of Economics, 84</w:t>
      </w:r>
      <w:r>
        <w:rPr>
          <w:rFonts w:cs="B Nazanin"/>
          <w:rtl/>
          <w:szCs w:val="26"/>
        </w:rPr>
        <w:t xml:space="preserve">(3), 488–500.</w:t>
      </w:r>
    </w:p>
    <w:p>
      <w:pPr>
        <w:bidi/>
        <w:numPr>
          <w:ilvl w:val="0"/>
          <w:numId w:val="1005"/>
        </w:numPr>
        <w:pStyle w:val="Compact"/>
        <w:jc w:val="left"/>
      </w:pPr>
      <w:r>
        <w:rPr>
          <w:rFonts w:cs="B Nazanin"/>
          <w:rtl/>
          <w:szCs w:val="26"/>
        </w:rPr>
        <w:t xml:space="preserve">Bharath, S. T., Sunder, J., &amp; Sunder, S. V. (2008). Accounting quality and debt contracting.</w:t>
      </w:r>
      <w:r>
        <w:rPr>
          <w:rFonts w:cs="B Nazanin"/>
          <w:rtl/>
          <w:szCs w:val="26"/>
        </w:rPr>
        <w:t xml:space="preserve"> </w:t>
      </w:r>
      <w:r>
        <w:rPr>
          <w:rFonts w:cs="B Nazanin"/>
          <w:rtl/>
          <w:iCs/>
          <w:i/>
          <w:szCs w:val="26"/>
        </w:rPr>
        <w:t xml:space="preserve">The Accounting Review, 83</w:t>
      </w:r>
      <w:r>
        <w:rPr>
          <w:rFonts w:cs="B Nazanin"/>
          <w:rtl/>
          <w:szCs w:val="26"/>
        </w:rPr>
        <w:t xml:space="preserve">(1), 1–28.</w:t>
      </w:r>
    </w:p>
    <w:p>
      <w:pPr>
        <w:bidi/>
        <w:numPr>
          <w:ilvl w:val="0"/>
          <w:numId w:val="1005"/>
        </w:numPr>
        <w:pStyle w:val="Compact"/>
        <w:jc w:val="left"/>
      </w:pPr>
      <w:r>
        <w:rPr>
          <w:rFonts w:cs="B Nazanin"/>
          <w:rtl/>
          <w:szCs w:val="26"/>
        </w:rPr>
        <w:t xml:space="preserve">Bushman, R. M., &amp; Smith, A. J. (2001). Financial accounting information and corporate governance.</w:t>
      </w:r>
      <w:r>
        <w:rPr>
          <w:rFonts w:cs="B Nazanin"/>
          <w:rtl/>
          <w:szCs w:val="26"/>
        </w:rPr>
        <w:t xml:space="preserve"> </w:t>
      </w:r>
      <w:r>
        <w:rPr>
          <w:rFonts w:cs="B Nazanin"/>
          <w:rtl/>
          <w:iCs/>
          <w:i/>
          <w:szCs w:val="26"/>
        </w:rPr>
        <w:t xml:space="preserve">Journal of Accounting and Economics, 32</w:t>
      </w:r>
      <w:r>
        <w:rPr>
          <w:rFonts w:cs="B Nazanin"/>
          <w:rtl/>
          <w:szCs w:val="26"/>
        </w:rPr>
        <w:t xml:space="preserve">(1–3), 237–333.</w:t>
      </w:r>
    </w:p>
    <w:p>
      <w:pPr>
        <w:bidi/>
        <w:numPr>
          <w:ilvl w:val="0"/>
          <w:numId w:val="1005"/>
        </w:numPr>
        <w:pStyle w:val="Compact"/>
        <w:jc w:val="left"/>
      </w:pPr>
      <w:r>
        <w:rPr>
          <w:rFonts w:cs="B Nazanin"/>
          <w:rtl/>
          <w:szCs w:val="26"/>
        </w:rPr>
        <w:t xml:space="preserve">Callaway, B., &amp; Sant’Anna, P. H. C. (2021). Difference-in-differences with multiple time periods.</w:t>
      </w:r>
      <w:r>
        <w:rPr>
          <w:rFonts w:cs="B Nazanin"/>
          <w:rtl/>
          <w:szCs w:val="26"/>
        </w:rPr>
        <w:t xml:space="preserve"> </w:t>
      </w:r>
      <w:r>
        <w:rPr>
          <w:rFonts w:cs="B Nazanin"/>
          <w:rtl/>
          <w:iCs/>
          <w:i/>
          <w:szCs w:val="26"/>
        </w:rPr>
        <w:t xml:space="preserve">Journal of Econometrics, 225</w:t>
      </w:r>
      <w:r>
        <w:rPr>
          <w:rFonts w:cs="B Nazanin"/>
          <w:rtl/>
          <w:szCs w:val="26"/>
        </w:rPr>
        <w:t xml:space="preserve">(2), 200–230.</w:t>
      </w:r>
    </w:p>
    <w:p>
      <w:pPr>
        <w:bidi/>
        <w:numPr>
          <w:ilvl w:val="0"/>
          <w:numId w:val="1005"/>
        </w:numPr>
        <w:pStyle w:val="Compact"/>
        <w:jc w:val="left"/>
      </w:pPr>
      <w:r>
        <w:rPr>
          <w:rFonts w:cs="B Nazanin"/>
          <w:rtl/>
          <w:szCs w:val="26"/>
        </w:rPr>
        <w:t xml:space="preserve">Cameron, A. C., Gelbach, J. B., &amp; Miller, D. L. (2011). Robust inference with multiway clustering.</w:t>
      </w:r>
      <w:r>
        <w:rPr>
          <w:rFonts w:cs="B Nazanin"/>
          <w:rtl/>
          <w:szCs w:val="26"/>
        </w:rPr>
        <w:t xml:space="preserve"> </w:t>
      </w:r>
      <w:r>
        <w:rPr>
          <w:rFonts w:cs="B Nazanin"/>
          <w:rtl/>
          <w:iCs/>
          <w:i/>
          <w:szCs w:val="26"/>
        </w:rPr>
        <w:t xml:space="preserve">Journal of Business &amp; Economic Statistics, 29</w:t>
      </w:r>
      <w:r>
        <w:rPr>
          <w:rFonts w:cs="B Nazanin"/>
          <w:rtl/>
          <w:szCs w:val="26"/>
        </w:rPr>
        <w:t xml:space="preserve">(2), 238–249.</w:t>
      </w:r>
    </w:p>
    <w:p>
      <w:pPr>
        <w:bidi/>
        <w:numPr>
          <w:ilvl w:val="0"/>
          <w:numId w:val="1005"/>
        </w:numPr>
        <w:pStyle w:val="Compact"/>
        <w:jc w:val="left"/>
      </w:pPr>
      <w:r>
        <w:rPr>
          <w:rFonts w:cs="B Nazanin"/>
          <w:rtl/>
          <w:szCs w:val="26"/>
        </w:rPr>
        <w:t xml:space="preserve">Chava, S., &amp; Roberts, M. R. (2008). How does financing impact investment? The role of debt covenants.</w:t>
      </w:r>
      <w:r>
        <w:rPr>
          <w:rFonts w:cs="B Nazanin"/>
          <w:rtl/>
          <w:szCs w:val="26"/>
        </w:rPr>
        <w:t xml:space="preserve"> </w:t>
      </w:r>
      <w:r>
        <w:rPr>
          <w:rFonts w:cs="B Nazanin"/>
          <w:rtl/>
          <w:iCs/>
          <w:i/>
          <w:szCs w:val="26"/>
        </w:rPr>
        <w:t xml:space="preserve">Journal of Finance, 63</w:t>
      </w:r>
      <w:r>
        <w:rPr>
          <w:rFonts w:cs="B Nazanin"/>
          <w:rtl/>
          <w:szCs w:val="26"/>
        </w:rPr>
        <w:t xml:space="preserve">(5), 2085–2121.</w:t>
      </w:r>
    </w:p>
    <w:p>
      <w:pPr>
        <w:bidi/>
        <w:numPr>
          <w:ilvl w:val="0"/>
          <w:numId w:val="1005"/>
        </w:numPr>
        <w:pStyle w:val="Compact"/>
        <w:jc w:val="left"/>
      </w:pPr>
      <w:r>
        <w:rPr>
          <w:rFonts w:cs="B Nazanin"/>
          <w:rtl/>
          <w:szCs w:val="26"/>
        </w:rPr>
        <w:t xml:space="preserve">Claessens, S., Djankov, S., &amp; Lang, L. H. P. (2000). The separation of ownership and control in East Asian corporations.</w:t>
      </w:r>
      <w:r>
        <w:rPr>
          <w:rFonts w:cs="B Nazanin"/>
          <w:rtl/>
          <w:szCs w:val="26"/>
        </w:rPr>
        <w:t xml:space="preserve"> </w:t>
      </w:r>
      <w:r>
        <w:rPr>
          <w:rFonts w:cs="B Nazanin"/>
          <w:rtl/>
          <w:iCs/>
          <w:i/>
          <w:szCs w:val="26"/>
        </w:rPr>
        <w:t xml:space="preserve">Journal of Financial Economics, 58</w:t>
      </w:r>
      <w:r>
        <w:rPr>
          <w:rFonts w:cs="B Nazanin"/>
          <w:rtl/>
          <w:szCs w:val="26"/>
        </w:rPr>
        <w:t xml:space="preserve">(1–2), 81–112.</w:t>
      </w:r>
    </w:p>
    <w:p>
      <w:pPr>
        <w:bidi/>
        <w:numPr>
          <w:ilvl w:val="0"/>
          <w:numId w:val="1005"/>
        </w:numPr>
        <w:pStyle w:val="Compact"/>
        <w:jc w:val="left"/>
      </w:pPr>
      <w:r>
        <w:rPr>
          <w:rFonts w:cs="B Nazanin"/>
          <w:rtl/>
          <w:szCs w:val="26"/>
        </w:rPr>
        <w:t xml:space="preserve">Costello, A. M., &amp; Wittenberg-Moerman, R. (2011). The impact of financial reporting quality on debt contracting: Evidence from internal control weakness reports.</w:t>
      </w:r>
      <w:r>
        <w:rPr>
          <w:rFonts w:cs="B Nazanin"/>
          <w:rtl/>
          <w:szCs w:val="26"/>
        </w:rPr>
        <w:t xml:space="preserve"> </w:t>
      </w:r>
      <w:r>
        <w:rPr>
          <w:rFonts w:cs="B Nazanin"/>
          <w:rtl/>
          <w:iCs/>
          <w:i/>
          <w:szCs w:val="26"/>
        </w:rPr>
        <w:t xml:space="preserve">Journal of Accounting Research, 49</w:t>
      </w:r>
      <w:r>
        <w:rPr>
          <w:rFonts w:cs="B Nazanin"/>
          <w:rtl/>
          <w:szCs w:val="26"/>
        </w:rPr>
        <w:t xml:space="preserve">(1), 97–136.</w:t>
      </w:r>
    </w:p>
    <w:p>
      <w:pPr>
        <w:bidi/>
        <w:numPr>
          <w:ilvl w:val="0"/>
          <w:numId w:val="1005"/>
        </w:numPr>
        <w:pStyle w:val="Compact"/>
        <w:jc w:val="left"/>
      </w:pPr>
      <w:r>
        <w:rPr>
          <w:rFonts w:cs="B Nazanin"/>
          <w:rtl/>
          <w:szCs w:val="26"/>
        </w:rPr>
        <w:t xml:space="preserve">Craswell, A. T., Francis, J. R., &amp; Taylor, S. L. (1995). Auditor brand name reputations and industry specializations.</w:t>
      </w:r>
      <w:r>
        <w:rPr>
          <w:rFonts w:cs="B Nazanin"/>
          <w:rtl/>
          <w:szCs w:val="26"/>
        </w:rPr>
        <w:t xml:space="preserve"> </w:t>
      </w:r>
      <w:r>
        <w:rPr>
          <w:rFonts w:cs="B Nazanin"/>
          <w:rtl/>
          <w:iCs/>
          <w:i/>
          <w:szCs w:val="26"/>
        </w:rPr>
        <w:t xml:space="preserve">Journal of Accounting and Economics, 20</w:t>
      </w:r>
      <w:r>
        <w:rPr>
          <w:rFonts w:cs="B Nazanin"/>
          <w:rtl/>
          <w:szCs w:val="26"/>
        </w:rPr>
        <w:t xml:space="preserve">(3), 297–322.</w:t>
      </w:r>
    </w:p>
    <w:p>
      <w:pPr>
        <w:bidi/>
        <w:numPr>
          <w:ilvl w:val="0"/>
          <w:numId w:val="1005"/>
        </w:numPr>
        <w:pStyle w:val="Compact"/>
        <w:jc w:val="left"/>
      </w:pPr>
      <w:r>
        <w:rPr>
          <w:rFonts w:cs="B Nazanin"/>
          <w:rtl/>
          <w:szCs w:val="26"/>
        </w:rPr>
        <w:t xml:space="preserve">DeAngelo, L. E. (1981). Auditor size and audit quality.</w:t>
      </w:r>
      <w:r>
        <w:rPr>
          <w:rFonts w:cs="B Nazanin"/>
          <w:rtl/>
          <w:szCs w:val="26"/>
        </w:rPr>
        <w:t xml:space="preserve"> </w:t>
      </w:r>
      <w:r>
        <w:rPr>
          <w:rFonts w:cs="B Nazanin"/>
          <w:rtl/>
          <w:iCs/>
          <w:i/>
          <w:szCs w:val="26"/>
        </w:rPr>
        <w:t xml:space="preserve">Journal of Accounting and Economics, 3</w:t>
      </w:r>
      <w:r>
        <w:rPr>
          <w:rFonts w:cs="B Nazanin"/>
          <w:rtl/>
          <w:szCs w:val="26"/>
        </w:rPr>
        <w:t xml:space="preserve">(3), 183–199.</w:t>
      </w:r>
    </w:p>
    <w:p>
      <w:pPr>
        <w:bidi/>
        <w:numPr>
          <w:ilvl w:val="0"/>
          <w:numId w:val="1005"/>
        </w:numPr>
        <w:pStyle w:val="Compact"/>
        <w:jc w:val="left"/>
      </w:pPr>
      <w:r>
        <w:rPr>
          <w:rFonts w:cs="B Nazanin"/>
          <w:rtl/>
          <w:szCs w:val="26"/>
        </w:rPr>
        <w:t xml:space="preserve">DeFond, M., &amp; Zhang, J. (2014). A review of archival auditing research.</w:t>
      </w:r>
      <w:r>
        <w:rPr>
          <w:rFonts w:cs="B Nazanin"/>
          <w:rtl/>
          <w:szCs w:val="26"/>
        </w:rPr>
        <w:t xml:space="preserve"> </w:t>
      </w:r>
      <w:r>
        <w:rPr>
          <w:rFonts w:cs="B Nazanin"/>
          <w:rtl/>
          <w:iCs/>
          <w:i/>
          <w:szCs w:val="26"/>
        </w:rPr>
        <w:t xml:space="preserve">Journal of Accounting and Economics, 58</w:t>
      </w:r>
      <w:r>
        <w:rPr>
          <w:rFonts w:cs="B Nazanin"/>
          <w:rtl/>
          <w:szCs w:val="26"/>
        </w:rPr>
        <w:t xml:space="preserve">(2–3), 275–326.</w:t>
      </w:r>
    </w:p>
    <w:p>
      <w:pPr>
        <w:bidi/>
        <w:numPr>
          <w:ilvl w:val="0"/>
          <w:numId w:val="1005"/>
        </w:numPr>
        <w:pStyle w:val="Compact"/>
        <w:jc w:val="left"/>
      </w:pPr>
      <w:r>
        <w:rPr>
          <w:rFonts w:cs="B Nazanin"/>
          <w:rtl/>
          <w:szCs w:val="26"/>
        </w:rPr>
        <w:t xml:space="preserve">Dichev, I. D., &amp; Skinner, D. J. (2002). Large-sample evidence on the debt covenant hypothesis.</w:t>
      </w:r>
      <w:r>
        <w:rPr>
          <w:rFonts w:cs="B Nazanin"/>
          <w:rtl/>
          <w:szCs w:val="26"/>
        </w:rPr>
        <w:t xml:space="preserve"> </w:t>
      </w:r>
      <w:r>
        <w:rPr>
          <w:rFonts w:cs="B Nazanin"/>
          <w:rtl/>
          <w:iCs/>
          <w:i/>
          <w:szCs w:val="26"/>
        </w:rPr>
        <w:t xml:space="preserve">Journal of Accounting Research, 40</w:t>
      </w:r>
      <w:r>
        <w:rPr>
          <w:rFonts w:cs="B Nazanin"/>
          <w:rtl/>
          <w:szCs w:val="26"/>
        </w:rPr>
        <w:t xml:space="preserve">(4), 1091–1123.</w:t>
      </w:r>
    </w:p>
    <w:p>
      <w:pPr>
        <w:bidi/>
        <w:numPr>
          <w:ilvl w:val="0"/>
          <w:numId w:val="1005"/>
        </w:numPr>
        <w:pStyle w:val="Compact"/>
        <w:jc w:val="left"/>
      </w:pPr>
      <w:r>
        <w:rPr>
          <w:rFonts w:cs="B Nazanin"/>
          <w:rtl/>
          <w:szCs w:val="26"/>
        </w:rPr>
        <w:t xml:space="preserve">Fazzari, S. M., Hubbard, R. G., &amp; Petersen, B. C. (1988). Financing constraints and corporate investment.</w:t>
      </w:r>
      <w:r>
        <w:rPr>
          <w:rFonts w:cs="B Nazanin"/>
          <w:rtl/>
          <w:szCs w:val="26"/>
        </w:rPr>
        <w:t xml:space="preserve"> </w:t>
      </w:r>
      <w:r>
        <w:rPr>
          <w:rFonts w:cs="B Nazanin"/>
          <w:rtl/>
          <w:iCs/>
          <w:i/>
          <w:szCs w:val="26"/>
        </w:rPr>
        <w:t xml:space="preserve">Brookings Papers on Economic Activity, 1988</w:t>
      </w:r>
      <w:r>
        <w:rPr>
          <w:rFonts w:cs="B Nazanin"/>
          <w:rtl/>
          <w:szCs w:val="26"/>
        </w:rPr>
        <w:t xml:space="preserve">(1), 141–206.</w:t>
      </w:r>
    </w:p>
    <w:p>
      <w:pPr>
        <w:bidi/>
        <w:numPr>
          <w:ilvl w:val="0"/>
          <w:numId w:val="1005"/>
        </w:numPr>
        <w:pStyle w:val="Compact"/>
        <w:jc w:val="left"/>
      </w:pPr>
      <w:r>
        <w:rPr>
          <w:rFonts w:cs="B Nazanin"/>
          <w:rtl/>
          <w:szCs w:val="26"/>
        </w:rPr>
        <w:t xml:space="preserve">Goodman-Bacon, A. (2021). Difference-in-differences with variation in treatment timing.</w:t>
      </w:r>
      <w:r>
        <w:rPr>
          <w:rFonts w:cs="B Nazanin"/>
          <w:rtl/>
          <w:szCs w:val="26"/>
        </w:rPr>
        <w:t xml:space="preserve"> </w:t>
      </w:r>
      <w:r>
        <w:rPr>
          <w:rFonts w:cs="B Nazanin"/>
          <w:rtl/>
          <w:iCs/>
          <w:i/>
          <w:szCs w:val="26"/>
        </w:rPr>
        <w:t xml:space="preserve">Journal of Econometrics, 225</w:t>
      </w:r>
      <w:r>
        <w:rPr>
          <w:rFonts w:cs="B Nazanin"/>
          <w:rtl/>
          <w:szCs w:val="26"/>
        </w:rPr>
        <w:t xml:space="preserve">(2), 254–277.</w:t>
      </w:r>
    </w:p>
    <w:p>
      <w:pPr>
        <w:bidi/>
        <w:numPr>
          <w:ilvl w:val="0"/>
          <w:numId w:val="1005"/>
        </w:numPr>
        <w:pStyle w:val="Compact"/>
        <w:jc w:val="left"/>
      </w:pPr>
      <w:r>
        <w:rPr>
          <w:rFonts w:cs="B Nazanin"/>
          <w:rtl/>
          <w:szCs w:val="26"/>
        </w:rPr>
        <w:t xml:space="preserve">Graham, J. R., Li, S., &amp; Qiu, J. (2008). Corporate misreporting and bank loan contracting.</w:t>
      </w:r>
      <w:r>
        <w:rPr>
          <w:rFonts w:cs="B Nazanin"/>
          <w:rtl/>
          <w:szCs w:val="26"/>
        </w:rPr>
        <w:t xml:space="preserve"> </w:t>
      </w:r>
      <w:r>
        <w:rPr>
          <w:rFonts w:cs="B Nazanin"/>
          <w:rtl/>
          <w:iCs/>
          <w:i/>
          <w:szCs w:val="26"/>
        </w:rPr>
        <w:t xml:space="preserve">Journal of Financial Economics, 89</w:t>
      </w:r>
      <w:r>
        <w:rPr>
          <w:rFonts w:cs="B Nazanin"/>
          <w:rtl/>
          <w:szCs w:val="26"/>
        </w:rPr>
        <w:t xml:space="preserve">(1), 44–61.</w:t>
      </w:r>
    </w:p>
    <w:p>
      <w:pPr>
        <w:bidi/>
        <w:numPr>
          <w:ilvl w:val="0"/>
          <w:numId w:val="1005"/>
        </w:numPr>
        <w:pStyle w:val="Compact"/>
        <w:jc w:val="left"/>
      </w:pPr>
      <w:r>
        <w:rPr>
          <w:rFonts w:cs="B Nazanin"/>
          <w:rtl/>
          <w:szCs w:val="26"/>
        </w:rPr>
        <w:t xml:space="preserve">Hausman, J. A. (1978). Specification tests in econometrics.</w:t>
      </w:r>
      <w:r>
        <w:rPr>
          <w:rFonts w:cs="B Nazanin"/>
          <w:rtl/>
          <w:szCs w:val="26"/>
        </w:rPr>
        <w:t xml:space="preserve"> </w:t>
      </w:r>
      <w:r>
        <w:rPr>
          <w:rFonts w:cs="B Nazanin"/>
          <w:rtl/>
          <w:iCs/>
          <w:i/>
          <w:szCs w:val="26"/>
        </w:rPr>
        <w:t xml:space="preserve">Econometrica, 46</w:t>
      </w:r>
      <w:r>
        <w:rPr>
          <w:rFonts w:cs="B Nazanin"/>
          <w:rtl/>
          <w:szCs w:val="26"/>
        </w:rPr>
        <w:t xml:space="preserve">(6), 1251–1271.</w:t>
      </w:r>
    </w:p>
    <w:p>
      <w:pPr>
        <w:bidi/>
        <w:numPr>
          <w:ilvl w:val="0"/>
          <w:numId w:val="1005"/>
        </w:numPr>
        <w:pStyle w:val="Compact"/>
        <w:jc w:val="left"/>
      </w:pPr>
      <w:r>
        <w:rPr>
          <w:rFonts w:cs="B Nazanin"/>
          <w:rtl/>
          <w:szCs w:val="26"/>
        </w:rPr>
        <w:t xml:space="preserve">Hausman, J., Leonard, G., &amp; Zona, J. D. (1994). Competitive analysis with differentiated products.</w:t>
      </w:r>
      <w:r>
        <w:rPr>
          <w:rFonts w:cs="B Nazanin"/>
          <w:rtl/>
          <w:szCs w:val="26"/>
        </w:rPr>
        <w:t xml:space="preserve"> </w:t>
      </w:r>
      <w:r>
        <w:rPr>
          <w:rFonts w:cs="B Nazanin"/>
          <w:rtl/>
          <w:iCs/>
          <w:i/>
          <w:szCs w:val="26"/>
        </w:rPr>
        <w:t xml:space="preserve">Annales d’Économie et de Statistique, 34</w:t>
      </w:r>
      <w:r>
        <w:rPr>
          <w:rFonts w:cs="B Nazanin"/>
          <w:rtl/>
          <w:szCs w:val="26"/>
        </w:rPr>
        <w:t xml:space="preserve">, 159–180.</w:t>
      </w:r>
    </w:p>
    <w:p>
      <w:pPr>
        <w:bidi/>
        <w:numPr>
          <w:ilvl w:val="0"/>
          <w:numId w:val="1005"/>
        </w:numPr>
        <w:pStyle w:val="Compact"/>
        <w:jc w:val="left"/>
      </w:pPr>
      <w:r>
        <w:rPr>
          <w:rFonts w:cs="B Nazanin"/>
          <w:rtl/>
          <w:szCs w:val="26"/>
        </w:rPr>
        <w:t xml:space="preserve">Heckman, J. J. (1979). Sample selection bias as a specification error.</w:t>
      </w:r>
      <w:r>
        <w:rPr>
          <w:rFonts w:cs="B Nazanin"/>
          <w:rtl/>
          <w:szCs w:val="26"/>
        </w:rPr>
        <w:t xml:space="preserve"> </w:t>
      </w:r>
      <w:r>
        <w:rPr>
          <w:rFonts w:cs="B Nazanin"/>
          <w:rtl/>
          <w:iCs/>
          <w:i/>
          <w:szCs w:val="26"/>
        </w:rPr>
        <w:t xml:space="preserve">Econometrica, 47</w:t>
      </w:r>
      <w:r>
        <w:rPr>
          <w:rFonts w:cs="B Nazanin"/>
          <w:rtl/>
          <w:szCs w:val="26"/>
        </w:rPr>
        <w:t xml:space="preserve">(1), 153–161.</w:t>
      </w:r>
    </w:p>
    <w:p>
      <w:pPr>
        <w:bidi/>
        <w:numPr>
          <w:ilvl w:val="0"/>
          <w:numId w:val="1005"/>
        </w:numPr>
        <w:pStyle w:val="Compact"/>
        <w:jc w:val="left"/>
      </w:pPr>
      <w:r>
        <w:rPr>
          <w:rFonts w:cs="B Nazanin"/>
          <w:rtl/>
          <w:szCs w:val="26"/>
        </w:rPr>
        <w:t xml:space="preserve">Jensen, M. C. (1986). Agency costs of free cash flow, corporate finance, and takeovers.</w:t>
      </w:r>
      <w:r>
        <w:rPr>
          <w:rFonts w:cs="B Nazanin"/>
          <w:rtl/>
          <w:szCs w:val="26"/>
        </w:rPr>
        <w:t xml:space="preserve"> </w:t>
      </w:r>
      <w:r>
        <w:rPr>
          <w:rFonts w:cs="B Nazanin"/>
          <w:rtl/>
          <w:iCs/>
          <w:i/>
          <w:szCs w:val="26"/>
        </w:rPr>
        <w:t xml:space="preserve">American Economic Review, 76</w:t>
      </w:r>
      <w:r>
        <w:rPr>
          <w:rFonts w:cs="B Nazanin"/>
          <w:rtl/>
          <w:szCs w:val="26"/>
        </w:rPr>
        <w:t xml:space="preserve">(2), 323–329.</w:t>
      </w:r>
    </w:p>
    <w:p>
      <w:pPr>
        <w:bidi/>
        <w:numPr>
          <w:ilvl w:val="0"/>
          <w:numId w:val="1005"/>
        </w:numPr>
        <w:pStyle w:val="Compact"/>
        <w:jc w:val="left"/>
      </w:pPr>
      <w:r>
        <w:rPr>
          <w:rFonts w:cs="B Nazanin"/>
          <w:rtl/>
          <w:szCs w:val="26"/>
        </w:rPr>
        <w:t xml:space="preserve">Jensen, M. C., &amp; Meckling, W. H. (1976). Theory of the firm: Managerial behavior, agency costs and ownership structure.</w:t>
      </w:r>
      <w:r>
        <w:rPr>
          <w:rFonts w:cs="B Nazanin"/>
          <w:rtl/>
          <w:szCs w:val="26"/>
        </w:rPr>
        <w:t xml:space="preserve"> </w:t>
      </w:r>
      <w:r>
        <w:rPr>
          <w:rFonts w:cs="B Nazanin"/>
          <w:rtl/>
          <w:iCs/>
          <w:i/>
          <w:szCs w:val="26"/>
        </w:rPr>
        <w:t xml:space="preserve">Journal of Financial Economics, 3</w:t>
      </w:r>
      <w:r>
        <w:rPr>
          <w:rFonts w:cs="B Nazanin"/>
          <w:rtl/>
          <w:szCs w:val="26"/>
        </w:rPr>
        <w:t xml:space="preserve">(4), 305–360.</w:t>
      </w:r>
    </w:p>
    <w:p>
      <w:pPr>
        <w:bidi/>
        <w:numPr>
          <w:ilvl w:val="0"/>
          <w:numId w:val="1005"/>
        </w:numPr>
        <w:pStyle w:val="Compact"/>
        <w:jc w:val="left"/>
      </w:pPr>
      <w:r>
        <w:rPr>
          <w:rFonts w:cs="B Nazanin"/>
          <w:rtl/>
          <w:szCs w:val="26"/>
        </w:rPr>
        <w:t xml:space="preserve">Jian, M., &amp; Wong, T. J. (2010). Propping through related party transactions.</w:t>
      </w:r>
      <w:r>
        <w:rPr>
          <w:rFonts w:cs="B Nazanin"/>
          <w:rtl/>
          <w:szCs w:val="26"/>
        </w:rPr>
        <w:t xml:space="preserve"> </w:t>
      </w:r>
      <w:r>
        <w:rPr>
          <w:rFonts w:cs="B Nazanin"/>
          <w:rtl/>
          <w:iCs/>
          <w:i/>
          <w:szCs w:val="26"/>
        </w:rPr>
        <w:t xml:space="preserve">Review of Accounting Studies, 15</w:t>
      </w:r>
      <w:r>
        <w:rPr>
          <w:rFonts w:cs="B Nazanin"/>
          <w:rtl/>
          <w:szCs w:val="26"/>
        </w:rPr>
        <w:t xml:space="preserve">(1), 70–105.</w:t>
      </w:r>
    </w:p>
    <w:p>
      <w:pPr>
        <w:bidi/>
        <w:numPr>
          <w:ilvl w:val="0"/>
          <w:numId w:val="1005"/>
        </w:numPr>
        <w:pStyle w:val="Compact"/>
        <w:jc w:val="left"/>
      </w:pPr>
      <w:r>
        <w:rPr>
          <w:rFonts w:cs="B Nazanin"/>
          <w:rtl/>
          <w:szCs w:val="26"/>
        </w:rPr>
        <w:t xml:space="preserve">Jiang, G., Lee, C. M. C., &amp; Yue, H. (2010). Tunneling through intercorporate loans: The China experience.</w:t>
      </w:r>
      <w:r>
        <w:rPr>
          <w:rFonts w:cs="B Nazanin"/>
          <w:rtl/>
          <w:szCs w:val="26"/>
        </w:rPr>
        <w:t xml:space="preserve"> </w:t>
      </w:r>
      <w:r>
        <w:rPr>
          <w:rFonts w:cs="B Nazanin"/>
          <w:rtl/>
          <w:iCs/>
          <w:i/>
          <w:szCs w:val="26"/>
        </w:rPr>
        <w:t xml:space="preserve">Journal of Financial Economics, 98</w:t>
      </w:r>
      <w:r>
        <w:rPr>
          <w:rFonts w:cs="B Nazanin"/>
          <w:rtl/>
          <w:szCs w:val="26"/>
        </w:rPr>
        <w:t xml:space="preserve">(1), 1–20.</w:t>
      </w:r>
    </w:p>
    <w:p>
      <w:pPr>
        <w:bidi/>
        <w:numPr>
          <w:ilvl w:val="0"/>
          <w:numId w:val="1005"/>
        </w:numPr>
        <w:pStyle w:val="Compact"/>
        <w:jc w:val="left"/>
      </w:pPr>
      <w:r>
        <w:rPr>
          <w:rFonts w:cs="B Nazanin"/>
          <w:rtl/>
          <w:szCs w:val="26"/>
        </w:rPr>
        <w:t xml:space="preserve">Johnson, S., La Porta, R., Lopez-de-Silanes, F., &amp; Shleifer, A. (2000). Tunneling.</w:t>
      </w:r>
      <w:r>
        <w:rPr>
          <w:rFonts w:cs="B Nazanin"/>
          <w:rtl/>
          <w:szCs w:val="26"/>
        </w:rPr>
        <w:t xml:space="preserve"> </w:t>
      </w:r>
      <w:r>
        <w:rPr>
          <w:rFonts w:cs="B Nazanin"/>
          <w:rtl/>
          <w:iCs/>
          <w:i/>
          <w:szCs w:val="26"/>
        </w:rPr>
        <w:t xml:space="preserve">American Economic Review, 90</w:t>
      </w:r>
      <w:r>
        <w:rPr>
          <w:rFonts w:cs="B Nazanin"/>
          <w:rtl/>
          <w:szCs w:val="26"/>
        </w:rPr>
        <w:t xml:space="preserve">(2), 22–27.</w:t>
      </w:r>
    </w:p>
    <w:p>
      <w:pPr>
        <w:bidi/>
        <w:numPr>
          <w:ilvl w:val="0"/>
          <w:numId w:val="1005"/>
        </w:numPr>
        <w:pStyle w:val="Compact"/>
        <w:jc w:val="left"/>
      </w:pPr>
      <w:r>
        <w:rPr>
          <w:rFonts w:cs="B Nazanin"/>
          <w:rtl/>
          <w:szCs w:val="26"/>
        </w:rPr>
        <w:t xml:space="preserve">Khwaja, A. I., &amp; Mian, A. (2005). Do lenders favor politically connected firms? Rent provision in an emerging financial market.</w:t>
      </w:r>
      <w:r>
        <w:rPr>
          <w:rFonts w:cs="B Nazanin"/>
          <w:rtl/>
          <w:szCs w:val="26"/>
        </w:rPr>
        <w:t xml:space="preserve"> </w:t>
      </w:r>
      <w:r>
        <w:rPr>
          <w:rFonts w:cs="B Nazanin"/>
          <w:rtl/>
          <w:iCs/>
          <w:i/>
          <w:szCs w:val="26"/>
        </w:rPr>
        <w:t xml:space="preserve">Quarterly Journal of Economics, 120</w:t>
      </w:r>
      <w:r>
        <w:rPr>
          <w:rFonts w:cs="B Nazanin"/>
          <w:rtl/>
          <w:szCs w:val="26"/>
        </w:rPr>
        <w:t xml:space="preserve">(4), 1371–1411.</w:t>
      </w:r>
    </w:p>
    <w:p>
      <w:pPr>
        <w:bidi/>
        <w:numPr>
          <w:ilvl w:val="0"/>
          <w:numId w:val="1005"/>
        </w:numPr>
        <w:pStyle w:val="Compact"/>
        <w:jc w:val="left"/>
      </w:pPr>
      <w:r>
        <w:rPr>
          <w:rFonts w:cs="B Nazanin"/>
          <w:rtl/>
          <w:szCs w:val="26"/>
        </w:rPr>
        <w:t xml:space="preserve">Kim, J.-B., Song, B. Y., &amp; Zhang, L. (2011). Internal control weakness and bank loan contracting: Evidence from SOX Section 404 disclosures.</w:t>
      </w:r>
      <w:r>
        <w:rPr>
          <w:rFonts w:cs="B Nazanin"/>
          <w:rtl/>
          <w:szCs w:val="26"/>
        </w:rPr>
        <w:t xml:space="preserve"> </w:t>
      </w:r>
      <w:r>
        <w:rPr>
          <w:rFonts w:cs="B Nazanin"/>
          <w:rtl/>
          <w:iCs/>
          <w:i/>
          <w:szCs w:val="26"/>
        </w:rPr>
        <w:t xml:space="preserve">The Accounting Review, 86</w:t>
      </w:r>
      <w:r>
        <w:rPr>
          <w:rFonts w:cs="B Nazanin"/>
          <w:rtl/>
          <w:szCs w:val="26"/>
        </w:rPr>
        <w:t xml:space="preserve">(4), 1157–1188.</w:t>
      </w:r>
    </w:p>
    <w:p>
      <w:pPr>
        <w:bidi/>
        <w:numPr>
          <w:ilvl w:val="0"/>
          <w:numId w:val="1005"/>
        </w:numPr>
        <w:pStyle w:val="Compact"/>
        <w:jc w:val="left"/>
      </w:pPr>
      <w:r>
        <w:rPr>
          <w:rFonts w:cs="B Nazanin"/>
          <w:rtl/>
          <w:szCs w:val="26"/>
        </w:rPr>
        <w:t xml:space="preserve">Kornai, J. (1986). The soft budget constraint.</w:t>
      </w:r>
      <w:r>
        <w:rPr>
          <w:rFonts w:cs="B Nazanin"/>
          <w:rtl/>
          <w:szCs w:val="26"/>
        </w:rPr>
        <w:t xml:space="preserve"> </w:t>
      </w:r>
      <w:r>
        <w:rPr>
          <w:rFonts w:cs="B Nazanin"/>
          <w:rtl/>
          <w:iCs/>
          <w:i/>
          <w:szCs w:val="26"/>
        </w:rPr>
        <w:t xml:space="preserve">Kyklos, 39</w:t>
      </w:r>
      <w:r>
        <w:rPr>
          <w:rFonts w:cs="B Nazanin"/>
          <w:rtl/>
          <w:szCs w:val="26"/>
        </w:rPr>
        <w:t xml:space="preserve">(1), 3–30.</w:t>
      </w:r>
    </w:p>
    <w:p>
      <w:pPr>
        <w:bidi/>
        <w:numPr>
          <w:ilvl w:val="0"/>
          <w:numId w:val="1005"/>
        </w:numPr>
        <w:pStyle w:val="Compact"/>
        <w:jc w:val="left"/>
      </w:pPr>
      <w:r>
        <w:rPr>
          <w:rFonts w:cs="B Nazanin"/>
          <w:rtl/>
          <w:szCs w:val="26"/>
        </w:rPr>
        <w:t xml:space="preserve">La Porta, R., Lopez-de-Silanes, F., &amp; Shleifer, A. (1999). Corporate ownership around the world.</w:t>
      </w:r>
      <w:r>
        <w:rPr>
          <w:rFonts w:cs="B Nazanin"/>
          <w:rtl/>
          <w:szCs w:val="26"/>
        </w:rPr>
        <w:t xml:space="preserve"> </w:t>
      </w:r>
      <w:r>
        <w:rPr>
          <w:rFonts w:cs="B Nazanin"/>
          <w:rtl/>
          <w:iCs/>
          <w:i/>
          <w:szCs w:val="26"/>
        </w:rPr>
        <w:t xml:space="preserve">Journal of Finance, 54</w:t>
      </w:r>
      <w:r>
        <w:rPr>
          <w:rFonts w:cs="B Nazanin"/>
          <w:rtl/>
          <w:szCs w:val="26"/>
        </w:rPr>
        <w:t xml:space="preserve">(2), 471–517.</w:t>
      </w:r>
    </w:p>
    <w:p>
      <w:pPr>
        <w:bidi/>
        <w:numPr>
          <w:ilvl w:val="0"/>
          <w:numId w:val="1005"/>
        </w:numPr>
        <w:pStyle w:val="Compact"/>
        <w:jc w:val="left"/>
      </w:pPr>
      <w:r>
        <w:rPr>
          <w:rFonts w:cs="B Nazanin"/>
          <w:rtl/>
          <w:szCs w:val="26"/>
        </w:rPr>
        <w:t xml:space="preserve">Lennox, C. S., Francis, J. R., &amp; Wang, Z. (2012). Selection models in accounting research.</w:t>
      </w:r>
      <w:r>
        <w:rPr>
          <w:rFonts w:cs="B Nazanin"/>
          <w:rtl/>
          <w:szCs w:val="26"/>
        </w:rPr>
        <w:t xml:space="preserve"> </w:t>
      </w:r>
      <w:r>
        <w:rPr>
          <w:rFonts w:cs="B Nazanin"/>
          <w:rtl/>
          <w:iCs/>
          <w:i/>
          <w:szCs w:val="26"/>
        </w:rPr>
        <w:t xml:space="preserve">The Accounting Review, 87</w:t>
      </w:r>
      <w:r>
        <w:rPr>
          <w:rFonts w:cs="B Nazanin"/>
          <w:rtl/>
          <w:szCs w:val="26"/>
        </w:rPr>
        <w:t xml:space="preserve">(2), 589–616.</w:t>
      </w:r>
    </w:p>
    <w:p>
      <w:pPr>
        <w:bidi/>
        <w:numPr>
          <w:ilvl w:val="0"/>
          <w:numId w:val="1005"/>
        </w:numPr>
        <w:pStyle w:val="Compact"/>
        <w:jc w:val="left"/>
      </w:pPr>
      <w:r>
        <w:rPr>
          <w:rFonts w:cs="B Nazanin"/>
          <w:rtl/>
          <w:szCs w:val="26"/>
        </w:rPr>
        <w:t xml:space="preserve">Myers, S. C. (1977). Determinants of corporate borrowing.</w:t>
      </w:r>
      <w:r>
        <w:rPr>
          <w:rFonts w:cs="B Nazanin"/>
          <w:rtl/>
          <w:szCs w:val="26"/>
        </w:rPr>
        <w:t xml:space="preserve"> </w:t>
      </w:r>
      <w:r>
        <w:rPr>
          <w:rFonts w:cs="B Nazanin"/>
          <w:rtl/>
          <w:iCs/>
          <w:i/>
          <w:szCs w:val="26"/>
        </w:rPr>
        <w:t xml:space="preserve">Journal of Financial Economics, 5</w:t>
      </w:r>
      <w:r>
        <w:rPr>
          <w:rFonts w:cs="B Nazanin"/>
          <w:rtl/>
          <w:szCs w:val="26"/>
        </w:rPr>
        <w:t xml:space="preserve">(2), 147–175.</w:t>
      </w:r>
    </w:p>
    <w:p>
      <w:pPr>
        <w:bidi/>
        <w:numPr>
          <w:ilvl w:val="0"/>
          <w:numId w:val="1005"/>
        </w:numPr>
        <w:pStyle w:val="Compact"/>
        <w:jc w:val="left"/>
      </w:pPr>
      <w:r>
        <w:rPr>
          <w:rFonts w:cs="B Nazanin"/>
          <w:rtl/>
          <w:szCs w:val="26"/>
        </w:rPr>
        <w:t xml:space="preserve">Nini, G., Smith, D. C., &amp; Sufi, A. (2009). Creditor control rights and firm investment policy.</w:t>
      </w:r>
      <w:r>
        <w:rPr>
          <w:rFonts w:cs="B Nazanin"/>
          <w:rtl/>
          <w:szCs w:val="26"/>
        </w:rPr>
        <w:t xml:space="preserve"> </w:t>
      </w:r>
      <w:r>
        <w:rPr>
          <w:rFonts w:cs="B Nazanin"/>
          <w:rtl/>
          <w:iCs/>
          <w:i/>
          <w:szCs w:val="26"/>
        </w:rPr>
        <w:t xml:space="preserve">Journal of Financial Economics, 92</w:t>
      </w:r>
      <w:r>
        <w:rPr>
          <w:rFonts w:cs="B Nazanin"/>
          <w:rtl/>
          <w:szCs w:val="26"/>
        </w:rPr>
        <w:t xml:space="preserve">(3), 400–420.</w:t>
      </w:r>
    </w:p>
    <w:p>
      <w:pPr>
        <w:bidi/>
        <w:numPr>
          <w:ilvl w:val="0"/>
          <w:numId w:val="1005"/>
        </w:numPr>
        <w:pStyle w:val="Compact"/>
        <w:jc w:val="left"/>
      </w:pPr>
      <w:r>
        <w:rPr>
          <w:rFonts w:cs="B Nazanin"/>
          <w:rtl/>
          <w:szCs w:val="26"/>
        </w:rPr>
        <w:t xml:space="preserve">Opler, T., Pinkowitz, L., Stulz, R., &amp; Williamson, R. (1999). The determinants and implications of corporate cash holdings.</w:t>
      </w:r>
      <w:r>
        <w:rPr>
          <w:rFonts w:cs="B Nazanin"/>
          <w:rtl/>
          <w:szCs w:val="26"/>
        </w:rPr>
        <w:t xml:space="preserve"> </w:t>
      </w:r>
      <w:r>
        <w:rPr>
          <w:rFonts w:cs="B Nazanin"/>
          <w:rtl/>
          <w:iCs/>
          <w:i/>
          <w:szCs w:val="26"/>
        </w:rPr>
        <w:t xml:space="preserve">Journal of Financial Economics, 52</w:t>
      </w:r>
      <w:r>
        <w:rPr>
          <w:rFonts w:cs="B Nazanin"/>
          <w:rtl/>
          <w:szCs w:val="26"/>
        </w:rPr>
        <w:t xml:space="preserve">(1), 3–46.</w:t>
      </w:r>
    </w:p>
    <w:p>
      <w:pPr>
        <w:bidi/>
        <w:numPr>
          <w:ilvl w:val="0"/>
          <w:numId w:val="1005"/>
        </w:numPr>
        <w:pStyle w:val="Compact"/>
        <w:jc w:val="left"/>
      </w:pPr>
      <w:r>
        <w:rPr>
          <w:rFonts w:cs="B Nazanin"/>
          <w:rtl/>
          <w:szCs w:val="26"/>
        </w:rPr>
        <w:t xml:space="preserve">Petersen, M. A. (2009). Estimating standard errors in finance panel data sets: Comparing approaches.</w:t>
      </w:r>
      <w:r>
        <w:rPr>
          <w:rFonts w:cs="B Nazanin"/>
          <w:rtl/>
          <w:szCs w:val="26"/>
        </w:rPr>
        <w:t xml:space="preserve"> </w:t>
      </w:r>
      <w:r>
        <w:rPr>
          <w:rFonts w:cs="B Nazanin"/>
          <w:rtl/>
          <w:iCs/>
          <w:i/>
          <w:szCs w:val="26"/>
        </w:rPr>
        <w:t xml:space="preserve">Review of Financial Studies, 22</w:t>
      </w:r>
      <w:r>
        <w:rPr>
          <w:rFonts w:cs="B Nazanin"/>
          <w:rtl/>
          <w:szCs w:val="26"/>
        </w:rPr>
        <w:t xml:space="preserve">(1), 435–480.</w:t>
      </w:r>
    </w:p>
    <w:p>
      <w:pPr>
        <w:bidi/>
        <w:numPr>
          <w:ilvl w:val="0"/>
          <w:numId w:val="1005"/>
        </w:numPr>
        <w:pStyle w:val="Compact"/>
        <w:jc w:val="left"/>
      </w:pPr>
      <w:r>
        <w:rPr>
          <w:rFonts w:cs="B Nazanin"/>
          <w:rtl/>
          <w:szCs w:val="26"/>
        </w:rPr>
        <w:t xml:space="preserve">Rajan, R. G., &amp; Zingales, L. (1995). What do we know about capital structure? Some evidence from international data.</w:t>
      </w:r>
      <w:r>
        <w:rPr>
          <w:rFonts w:cs="B Nazanin"/>
          <w:rtl/>
          <w:szCs w:val="26"/>
        </w:rPr>
        <w:t xml:space="preserve"> </w:t>
      </w:r>
      <w:r>
        <w:rPr>
          <w:rFonts w:cs="B Nazanin"/>
          <w:rtl/>
          <w:iCs/>
          <w:i/>
          <w:szCs w:val="26"/>
        </w:rPr>
        <w:t xml:space="preserve">Journal of Finance, 50</w:t>
      </w:r>
      <w:r>
        <w:rPr>
          <w:rFonts w:cs="B Nazanin"/>
          <w:rtl/>
          <w:szCs w:val="26"/>
        </w:rPr>
        <w:t xml:space="preserve">(5), 1421–1460.</w:t>
      </w:r>
    </w:p>
    <w:p>
      <w:pPr>
        <w:bidi/>
        <w:numPr>
          <w:ilvl w:val="0"/>
          <w:numId w:val="1005"/>
        </w:numPr>
        <w:pStyle w:val="Compact"/>
        <w:jc w:val="left"/>
      </w:pPr>
      <w:r>
        <w:rPr>
          <w:rFonts w:cs="B Nazanin"/>
          <w:rtl/>
          <w:szCs w:val="26"/>
        </w:rPr>
        <w:t xml:space="preserve">Richardson, S. (2006). Over-investment of free cash flow.</w:t>
      </w:r>
      <w:r>
        <w:rPr>
          <w:rFonts w:cs="B Nazanin"/>
          <w:rtl/>
          <w:szCs w:val="26"/>
        </w:rPr>
        <w:t xml:space="preserve"> </w:t>
      </w:r>
      <w:r>
        <w:rPr>
          <w:rFonts w:cs="B Nazanin"/>
          <w:rtl/>
          <w:iCs/>
          <w:i/>
          <w:szCs w:val="26"/>
        </w:rPr>
        <w:t xml:space="preserve">Review of Accounting Studies, 11</w:t>
      </w:r>
      <w:r>
        <w:rPr>
          <w:rFonts w:cs="B Nazanin"/>
          <w:rtl/>
          <w:szCs w:val="26"/>
        </w:rPr>
        <w:t xml:space="preserve">(2–3), 159–189.</w:t>
      </w:r>
    </w:p>
    <w:p>
      <w:pPr>
        <w:bidi/>
        <w:numPr>
          <w:ilvl w:val="0"/>
          <w:numId w:val="1005"/>
        </w:numPr>
        <w:pStyle w:val="Compact"/>
        <w:jc w:val="left"/>
      </w:pPr>
      <w:r>
        <w:rPr>
          <w:rFonts w:cs="B Nazanin"/>
          <w:rtl/>
          <w:szCs w:val="26"/>
        </w:rPr>
        <w:t xml:space="preserve">Roberts, M. R., &amp; Sufi, A. (2009). Control rights and capital structure: An empirical investigation.</w:t>
      </w:r>
      <w:r>
        <w:rPr>
          <w:rFonts w:cs="B Nazanin"/>
          <w:rtl/>
          <w:szCs w:val="26"/>
        </w:rPr>
        <w:t xml:space="preserve"> </w:t>
      </w:r>
      <w:r>
        <w:rPr>
          <w:rFonts w:cs="B Nazanin"/>
          <w:rtl/>
          <w:iCs/>
          <w:i/>
          <w:szCs w:val="26"/>
        </w:rPr>
        <w:t xml:space="preserve">Journal of Finance, 64</w:t>
      </w:r>
      <w:r>
        <w:rPr>
          <w:rFonts w:cs="B Nazanin"/>
          <w:rtl/>
          <w:szCs w:val="26"/>
        </w:rPr>
        <w:t xml:space="preserve">(4), 1657–1695.</w:t>
      </w:r>
    </w:p>
    <w:p>
      <w:pPr>
        <w:bidi/>
        <w:numPr>
          <w:ilvl w:val="0"/>
          <w:numId w:val="1005"/>
        </w:numPr>
        <w:pStyle w:val="Compact"/>
        <w:jc w:val="left"/>
      </w:pPr>
      <w:r>
        <w:rPr>
          <w:rFonts w:cs="B Nazanin"/>
          <w:rtl/>
          <w:szCs w:val="26"/>
        </w:rPr>
        <w:t xml:space="preserve">Smith, C. W., &amp; Warner, J. B. (1979). On financial contracting: An analysis of bond covenants.</w:t>
      </w:r>
      <w:r>
        <w:rPr>
          <w:rFonts w:cs="B Nazanin"/>
          <w:rtl/>
          <w:szCs w:val="26"/>
        </w:rPr>
        <w:t xml:space="preserve"> </w:t>
      </w:r>
      <w:r>
        <w:rPr>
          <w:rFonts w:cs="B Nazanin"/>
          <w:rtl/>
          <w:iCs/>
          <w:i/>
          <w:szCs w:val="26"/>
        </w:rPr>
        <w:t xml:space="preserve">Journal of Financial Economics, 7</w:t>
      </w:r>
      <w:r>
        <w:rPr>
          <w:rFonts w:cs="B Nazanin"/>
          <w:rtl/>
          <w:szCs w:val="26"/>
        </w:rPr>
        <w:t xml:space="preserve">(2), 117–161.</w:t>
      </w:r>
    </w:p>
    <w:p>
      <w:pPr>
        <w:bidi/>
        <w:numPr>
          <w:ilvl w:val="0"/>
          <w:numId w:val="1005"/>
        </w:numPr>
        <w:pStyle w:val="Compact"/>
        <w:jc w:val="left"/>
      </w:pPr>
      <w:r>
        <w:rPr>
          <w:rFonts w:cs="B Nazanin"/>
          <w:rtl/>
          <w:szCs w:val="26"/>
        </w:rPr>
        <w:t xml:space="preserve">Stiglitz, J. E., &amp; Weiss, A. (1981). Credit rationing in markets with imperfect information.</w:t>
      </w:r>
      <w:r>
        <w:rPr>
          <w:rFonts w:cs="B Nazanin"/>
          <w:rtl/>
          <w:szCs w:val="26"/>
        </w:rPr>
        <w:t xml:space="preserve"> </w:t>
      </w:r>
      <w:r>
        <w:rPr>
          <w:rFonts w:cs="B Nazanin"/>
          <w:rtl/>
          <w:iCs/>
          <w:i/>
          <w:szCs w:val="26"/>
        </w:rPr>
        <w:t xml:space="preserve">American Economic Review, 71</w:t>
      </w:r>
      <w:r>
        <w:rPr>
          <w:rFonts w:cs="B Nazanin"/>
          <w:rtl/>
          <w:szCs w:val="26"/>
        </w:rPr>
        <w:t xml:space="preserve">(3), 393–410.</w:t>
      </w:r>
    </w:p>
    <w:p>
      <w:pPr>
        <w:bidi/>
        <w:numPr>
          <w:ilvl w:val="0"/>
          <w:numId w:val="1005"/>
        </w:numPr>
        <w:pStyle w:val="Compact"/>
        <w:jc w:val="left"/>
      </w:pPr>
      <w:r>
        <w:rPr>
          <w:rFonts w:cs="B Nazanin"/>
          <w:rtl/>
          <w:szCs w:val="26"/>
        </w:rPr>
        <w:t xml:space="preserve">Sun, L., &amp; Abraham, S. (2021). Estimating dynamic treatment effects in event studies with heterogeneous treatment effects.</w:t>
      </w:r>
      <w:r>
        <w:rPr>
          <w:rFonts w:cs="B Nazanin"/>
          <w:rtl/>
          <w:szCs w:val="26"/>
        </w:rPr>
        <w:t xml:space="preserve"> </w:t>
      </w:r>
      <w:r>
        <w:rPr>
          <w:rFonts w:cs="B Nazanin"/>
          <w:rtl/>
          <w:iCs/>
          <w:i/>
          <w:szCs w:val="26"/>
        </w:rPr>
        <w:t xml:space="preserve">Journal of Econometrics, 225</w:t>
      </w:r>
      <w:r>
        <w:rPr>
          <w:rFonts w:cs="B Nazanin"/>
          <w:rtl/>
          <w:szCs w:val="26"/>
        </w:rPr>
        <w:t xml:space="preserve">(2), 175–199.</w:t>
      </w:r>
    </w:p>
    <w:p>
      <w:pPr>
        <w:bidi/>
        <w:numPr>
          <w:ilvl w:val="0"/>
          <w:numId w:val="1005"/>
        </w:numPr>
        <w:pStyle w:val="Compact"/>
        <w:jc w:val="left"/>
      </w:pPr>
      <w:r>
        <w:rPr>
          <w:rFonts w:cs="B Nazanin"/>
          <w:rtl/>
          <w:szCs w:val="26"/>
        </w:rPr>
        <w:t xml:space="preserve">Thompson, S. B. (2011). Simple formulas for standard errors that cluster by both firm and time.</w:t>
      </w:r>
      <w:r>
        <w:rPr>
          <w:rFonts w:cs="B Nazanin"/>
          <w:rtl/>
          <w:szCs w:val="26"/>
        </w:rPr>
        <w:t xml:space="preserve"> </w:t>
      </w:r>
      <w:r>
        <w:rPr>
          <w:rFonts w:cs="B Nazanin"/>
          <w:rtl/>
          <w:iCs/>
          <w:i/>
          <w:szCs w:val="26"/>
        </w:rPr>
        <w:t xml:space="preserve">Journal of Financial Economics, 99</w:t>
      </w:r>
      <w:r>
        <w:rPr>
          <w:rFonts w:cs="B Nazanin"/>
          <w:rtl/>
          <w:szCs w:val="26"/>
        </w:rPr>
        <w:t xml:space="preserve">(1), 1–10.</w:t>
      </w:r>
    </w:p>
    <w:p>
      <w:pPr>
        <w:bidi/>
        <w:numPr>
          <w:ilvl w:val="0"/>
          <w:numId w:val="1005"/>
        </w:numPr>
        <w:pStyle w:val="Compact"/>
        <w:jc w:val="left"/>
      </w:pPr>
      <w:r>
        <w:rPr>
          <w:rFonts w:cs="B Nazanin"/>
          <w:rtl/>
          <w:szCs w:val="26"/>
        </w:rPr>
        <w:t xml:space="preserve">Watts, R. L., &amp; Zimmerman, J. L. (1983). Agency problems, auditing, and the theory of the firm: Some evidence.</w:t>
      </w:r>
      <w:r>
        <w:rPr>
          <w:rFonts w:cs="B Nazanin"/>
          <w:rtl/>
          <w:szCs w:val="26"/>
        </w:rPr>
        <w:t xml:space="preserve"> </w:t>
      </w:r>
      <w:r>
        <w:rPr>
          <w:rFonts w:cs="B Nazanin"/>
          <w:rtl/>
          <w:iCs/>
          <w:i/>
          <w:szCs w:val="26"/>
        </w:rPr>
        <w:t xml:space="preserve">Journal of Law and Economics, 26</w:t>
      </w:r>
      <w:r>
        <w:rPr>
          <w:rFonts w:cs="B Nazanin"/>
          <w:rtl/>
          <w:szCs w:val="26"/>
        </w:rPr>
        <w:t xml:space="preserve">(3), 613–633.</w:t>
      </w:r>
    </w:p>
    <w:bookmarkEnd w:id="58"/>
    <w:bookmarkStart w:id="59" w:name="پیوست-الف-الگوی-کد-استتا"/>
    <w:p>
      <w:pPr>
        <w:bidi/>
        <w:pStyle w:val="Heading1"/>
        <w:jc w:val="left"/>
      </w:pPr>
      <w:r>
        <w:rPr>
          <w:rFonts w:cs="B Nazanin"/>
          <w:rtl/>
          <w:szCs w:val="26"/>
        </w:rPr>
        <w:t xml:space="preserve">پیوست الف: الگوی کد استتا</w:t>
      </w:r>
    </w:p>
    <w:p>
      <w:pPr>
        <w:bidi/>
        <w:pStyle w:val="SourceCode"/>
        <w:jc w:val="left"/>
      </w:pPr>
      <w:r>
        <w:rPr>
          <w:rFonts w:cs="B Nazanin"/>
          <w:rStyle w:val="VerbatimChar"/>
          <w:rtl/>
          <w:szCs w:val="26"/>
        </w:rPr>
        <w:t xml:space="preserve">* ---- آماده‌سازی داده تابلویی ----</w:t>
      </w:r>
      <w:r>
        <w:rPr>
          <w:rFonts w:cs="B Nazanin"/>
          <w:rtl/>
          <w:szCs w:val="26"/>
        </w:rPr>
        <w:br/>
      </w:r>
      <w:r>
        <w:rPr>
          <w:rFonts w:cs="B Nazanin"/>
          <w:rStyle w:val="VerbatimChar"/>
          <w:rtl/>
          <w:szCs w:val="26"/>
        </w:rPr>
        <w:t xml:space="preserve">use "panel_data.dta", clear</w:t>
      </w:r>
      <w:r>
        <w:rPr>
          <w:rFonts w:cs="B Nazanin"/>
          <w:rtl/>
          <w:szCs w:val="26"/>
        </w:rPr>
        <w:br/>
      </w:r>
      <w:r>
        <w:rPr>
          <w:rFonts w:cs="B Nazanin"/>
          <w:rStyle w:val="VerbatimChar"/>
          <w:rtl/>
          <w:szCs w:val="26"/>
        </w:rPr>
        <w:t xml:space="preserve">xtset firm_id year</w:t>
      </w:r>
      <w:r>
        <w:rPr>
          <w:rFonts w:cs="B Nazanin"/>
          <w:rtl/>
          <w:szCs w:val="26"/>
        </w:rPr>
        <w:br/>
      </w:r>
      <w:r>
        <w:rPr>
          <w:rFonts w:cs="B Nazanin"/>
          <w:rtl/>
          <w:szCs w:val="26"/>
        </w:rPr>
        <w:br/>
      </w:r>
      <w:r>
        <w:rPr>
          <w:rFonts w:cs="B Nazanin"/>
          <w:rStyle w:val="VerbatimChar"/>
          <w:rtl/>
          <w:szCs w:val="26"/>
        </w:rPr>
        <w:t xml:space="preserve">* ---- ساخت متغیرها ----</w:t>
      </w:r>
      <w:r>
        <w:rPr>
          <w:rFonts w:cs="B Nazanin"/>
          <w:rtl/>
          <w:szCs w:val="26"/>
        </w:rPr>
        <w:br/>
      </w:r>
      <w:r>
        <w:rPr>
          <w:rFonts w:cs="B Nazanin"/>
          <w:rStyle w:val="VerbatimChar"/>
          <w:rtl/>
          <w:szCs w:val="26"/>
        </w:rPr>
        <w:t xml:space="preserve">gen LOAN   = (loan_inflow - loan_repay) / L.TA</w:t>
      </w:r>
      <w:r>
        <w:rPr>
          <w:rFonts w:cs="B Nazanin"/>
          <w:rtl/>
          <w:szCs w:val="26"/>
        </w:rPr>
        <w:br/>
      </w:r>
      <w:r>
        <w:rPr>
          <w:rFonts w:cs="B Nazanin"/>
          <w:rStyle w:val="VerbatimChar"/>
          <w:rtl/>
          <w:szCs w:val="26"/>
        </w:rPr>
        <w:t xml:space="preserve">gen NONOP  = d_nonop_assets / L.TA</w:t>
      </w:r>
      <w:r>
        <w:rPr>
          <w:rFonts w:cs="B Nazanin"/>
          <w:rtl/>
          <w:szCs w:val="26"/>
        </w:rPr>
        <w:br/>
      </w:r>
      <w:r>
        <w:rPr>
          <w:rFonts w:cs="B Nazanin"/>
          <w:rStyle w:val="VerbatimChar"/>
          <w:rtl/>
          <w:szCs w:val="26"/>
        </w:rPr>
        <w:t xml:space="preserve">gen LARGE  = (LOAN &gt;= 0.05)</w:t>
      </w:r>
      <w:r>
        <w:rPr>
          <w:rFonts w:cs="B Nazanin"/>
          <w:rtl/>
          <w:szCs w:val="26"/>
        </w:rPr>
        <w:br/>
      </w:r>
      <w:r>
        <w:rPr>
          <w:rFonts w:cs="B Nazanin"/>
          <w:rStyle w:val="VerbatimChar"/>
          <w:rtl/>
          <w:szCs w:val="26"/>
        </w:rPr>
        <w:t xml:space="preserve">gen DIV    = cond(LOAN &gt;= 0.02, d_nonop_amt / net_loan_amt, 0)</w:t>
      </w:r>
      <w:r>
        <w:rPr>
          <w:rFonts w:cs="B Nazanin"/>
          <w:rtl/>
          <w:szCs w:val="26"/>
        </w:rPr>
        <w:br/>
      </w:r>
      <w:r>
        <w:rPr>
          <w:rFonts w:cs="B Nazanin"/>
          <w:rStyle w:val="VerbatimChar"/>
          <w:rtl/>
          <w:szCs w:val="26"/>
        </w:rPr>
        <w:t xml:space="preserve">winsor2 LOAN NONOP DIV ROA LEV GROW MTB CFO CASH TANG, cut(1 99) replace</w:t>
      </w:r>
      <w:r>
        <w:rPr>
          <w:rFonts w:cs="B Nazanin"/>
          <w:rtl/>
          <w:szCs w:val="26"/>
        </w:rPr>
        <w:br/>
      </w:r>
      <w:r>
        <w:rPr>
          <w:rFonts w:cs="B Nazanin"/>
          <w:rtl/>
          <w:szCs w:val="26"/>
        </w:rPr>
        <w:br/>
      </w:r>
      <w:r>
        <w:rPr>
          <w:rFonts w:cs="B Nazanin"/>
          <w:rStyle w:val="VerbatimChar"/>
          <w:rtl/>
          <w:szCs w:val="26"/>
        </w:rPr>
        <w:t xml:space="preserve">* ---- مدل ۱: اثر ثابت با خطای خوشه‌ای ----</w:t>
      </w:r>
      <w:r>
        <w:rPr>
          <w:rFonts w:cs="B Nazanin"/>
          <w:rtl/>
          <w:szCs w:val="26"/>
        </w:rPr>
        <w:br/>
      </w:r>
      <w:r>
        <w:rPr>
          <w:rFonts w:cs="B Nazanin"/>
          <w:rStyle w:val="VerbatimChar"/>
          <w:rtl/>
          <w:szCs w:val="26"/>
        </w:rPr>
        <w:t xml:space="preserve">xtreg NONOP c.LOAN##c.AUDQ c.LOAN##c.STATE c.LOAN##c.CONC ///</w:t>
      </w:r>
      <w:r>
        <w:rPr>
          <w:rFonts w:cs="B Nazanin"/>
          <w:rtl/>
          <w:szCs w:val="26"/>
        </w:rPr>
        <w:br/>
      </w:r>
      <w:r>
        <w:rPr>
          <w:rFonts w:cs="B Nazanin"/>
          <w:rStyle w:val="VerbatimChar"/>
          <w:rtl/>
          <w:szCs w:val="26"/>
        </w:rPr>
        <w:t xml:space="preserve">      SIZE LEV ROA GROW MTB CFO CASH TANG AGE LOSS ICR i.year, ///</w:t>
      </w:r>
      <w:r>
        <w:rPr>
          <w:rFonts w:cs="B Nazanin"/>
          <w:rtl/>
          <w:szCs w:val="26"/>
        </w:rPr>
        <w:br/>
      </w:r>
      <w:r>
        <w:rPr>
          <w:rFonts w:cs="B Nazanin"/>
          <w:rStyle w:val="VerbatimChar"/>
          <w:rtl/>
          <w:szCs w:val="26"/>
        </w:rPr>
        <w:t xml:space="preserve">      fe vce(cluster firm_id)</w:t>
      </w:r>
      <w:r>
        <w:rPr>
          <w:rFonts w:cs="B Nazanin"/>
          <w:rtl/>
          <w:szCs w:val="26"/>
        </w:rPr>
        <w:br/>
      </w:r>
      <w:r>
        <w:rPr>
          <w:rFonts w:cs="B Nazanin"/>
          <w:rtl/>
          <w:szCs w:val="26"/>
        </w:rPr>
        <w:br/>
      </w:r>
      <w:r>
        <w:rPr>
          <w:rFonts w:cs="B Nazanin"/>
          <w:rStyle w:val="VerbatimChar"/>
          <w:rtl/>
          <w:szCs w:val="26"/>
        </w:rPr>
        <w:t xml:space="preserve">* ---- آزمون‌های انتخاب مدل ----</w:t>
      </w:r>
      <w:r>
        <w:rPr>
          <w:rFonts w:cs="B Nazanin"/>
          <w:rtl/>
          <w:szCs w:val="26"/>
        </w:rPr>
        <w:br/>
      </w:r>
      <w:r>
        <w:rPr>
          <w:rFonts w:cs="B Nazanin"/>
          <w:rStyle w:val="VerbatimChar"/>
          <w:rtl/>
          <w:szCs w:val="26"/>
        </w:rPr>
        <w:t xml:space="preserve">xtreg NONOP LOAN SIZE LEV ROA, fe</w:t>
      </w:r>
      <w:r>
        <w:rPr>
          <w:rFonts w:cs="B Nazanin"/>
          <w:rtl/>
          <w:szCs w:val="26"/>
        </w:rPr>
        <w:br/>
      </w:r>
      <w:r>
        <w:rPr>
          <w:rFonts w:cs="B Nazanin"/>
          <w:rStyle w:val="VerbatimChar"/>
          <w:rtl/>
          <w:szCs w:val="26"/>
        </w:rPr>
        <w:t xml:space="preserve">estimates store fe</w:t>
      </w:r>
      <w:r>
        <w:rPr>
          <w:rFonts w:cs="B Nazanin"/>
          <w:rtl/>
          <w:szCs w:val="26"/>
        </w:rPr>
        <w:br/>
      </w:r>
      <w:r>
        <w:rPr>
          <w:rFonts w:cs="B Nazanin"/>
          <w:rStyle w:val="VerbatimChar"/>
          <w:rtl/>
          <w:szCs w:val="26"/>
        </w:rPr>
        <w:t xml:space="preserve">xtreg NONOP LOAN SIZE LEV ROA, re</w:t>
      </w:r>
      <w:r>
        <w:rPr>
          <w:rFonts w:cs="B Nazanin"/>
          <w:rtl/>
          <w:szCs w:val="26"/>
        </w:rPr>
        <w:br/>
      </w:r>
      <w:r>
        <w:rPr>
          <w:rFonts w:cs="B Nazanin"/>
          <w:rStyle w:val="VerbatimChar"/>
          <w:rtl/>
          <w:szCs w:val="26"/>
        </w:rPr>
        <w:t xml:space="preserve">estimates store re</w:t>
      </w:r>
      <w:r>
        <w:rPr>
          <w:rFonts w:cs="B Nazanin"/>
          <w:rtl/>
          <w:szCs w:val="26"/>
        </w:rPr>
        <w:br/>
      </w:r>
      <w:r>
        <w:rPr>
          <w:rFonts w:cs="B Nazanin"/>
          <w:rStyle w:val="VerbatimChar"/>
          <w:rtl/>
          <w:szCs w:val="26"/>
        </w:rPr>
        <w:t xml:space="preserve">hausman fe re</w:t>
      </w:r>
      <w:r>
        <w:rPr>
          <w:rFonts w:cs="B Nazanin"/>
          <w:rtl/>
          <w:szCs w:val="26"/>
        </w:rPr>
        <w:br/>
      </w:r>
      <w:r>
        <w:rPr>
          <w:rFonts w:cs="B Nazanin"/>
          <w:rtl/>
          <w:szCs w:val="26"/>
        </w:rPr>
        <w:br/>
      </w:r>
      <w:r>
        <w:rPr>
          <w:rFonts w:cs="B Nazanin"/>
          <w:rStyle w:val="VerbatimChar"/>
          <w:rtl/>
          <w:szCs w:val="26"/>
        </w:rPr>
        <w:t xml:space="preserve">* ---- مدل ۲: رویدادپژوهی کالاوی-سنت‌آنا ----</w:t>
      </w:r>
      <w:r>
        <w:rPr>
          <w:rFonts w:cs="B Nazanin"/>
          <w:rtl/>
          <w:szCs w:val="26"/>
        </w:rPr>
        <w:br/>
      </w:r>
      <w:r>
        <w:rPr>
          <w:rFonts w:cs="B Nazanin"/>
          <w:rStyle w:val="VerbatimChar"/>
          <w:rtl/>
          <w:szCs w:val="26"/>
        </w:rPr>
        <w:t xml:space="preserve">* ssc install csdid, drdid</w:t>
      </w:r>
      <w:r>
        <w:rPr>
          <w:rFonts w:cs="B Nazanin"/>
          <w:rtl/>
          <w:szCs w:val="26"/>
        </w:rPr>
        <w:br/>
      </w:r>
      <w:r>
        <w:rPr>
          <w:rFonts w:cs="B Nazanin"/>
          <w:rStyle w:val="VerbatimChar"/>
          <w:rtl/>
          <w:szCs w:val="26"/>
        </w:rPr>
        <w:t xml:space="preserve">gen first_treat = .</w:t>
      </w:r>
      <w:r>
        <w:rPr>
          <w:rFonts w:cs="B Nazanin"/>
          <w:rtl/>
          <w:szCs w:val="26"/>
        </w:rPr>
        <w:br/>
      </w:r>
      <w:r>
        <w:rPr>
          <w:rFonts w:cs="B Nazanin"/>
          <w:rStyle w:val="VerbatimChar"/>
          <w:rtl/>
          <w:szCs w:val="26"/>
        </w:rPr>
        <w:t xml:space="preserve">bysort firm_id (year): replace first_treat = year if LARGE==1 &amp; missing(first_treat[_n-1])</w:t>
      </w:r>
      <w:r>
        <w:rPr>
          <w:rFonts w:cs="B Nazanin"/>
          <w:rtl/>
          <w:szCs w:val="26"/>
        </w:rPr>
        <w:br/>
      </w:r>
      <w:r>
        <w:rPr>
          <w:rFonts w:cs="B Nazanin"/>
          <w:rStyle w:val="VerbatimChar"/>
          <w:rtl/>
          <w:szCs w:val="26"/>
        </w:rPr>
        <w:t xml:space="preserve">bysort firm_id: egen gvar = min(first_treat)</w:t>
      </w:r>
      <w:r>
        <w:rPr>
          <w:rFonts w:cs="B Nazanin"/>
          <w:rtl/>
          <w:szCs w:val="26"/>
        </w:rPr>
        <w:br/>
      </w:r>
      <w:r>
        <w:rPr>
          <w:rFonts w:cs="B Nazanin"/>
          <w:rStyle w:val="VerbatimChar"/>
          <w:rtl/>
          <w:szCs w:val="26"/>
        </w:rPr>
        <w:t xml:space="preserve">replace gvar = 0 if missing(gvar)</w:t>
      </w:r>
      <w:r>
        <w:rPr>
          <w:rFonts w:cs="B Nazanin"/>
          <w:rtl/>
          <w:szCs w:val="26"/>
        </w:rPr>
        <w:br/>
      </w:r>
      <w:r>
        <w:rPr>
          <w:rFonts w:cs="B Nazanin"/>
          <w:rStyle w:val="VerbatimChar"/>
          <w:rtl/>
          <w:szCs w:val="26"/>
        </w:rPr>
        <w:t xml:space="preserve">csdid NONOP SIZE LEV ROA, ivar(firm_id) time(year) gvar(gvar) method(dripw)</w:t>
      </w:r>
      <w:r>
        <w:rPr>
          <w:rFonts w:cs="B Nazanin"/>
          <w:rtl/>
          <w:szCs w:val="26"/>
        </w:rPr>
        <w:br/>
      </w:r>
      <w:r>
        <w:rPr>
          <w:rFonts w:cs="B Nazanin"/>
          <w:rStyle w:val="VerbatimChar"/>
          <w:rtl/>
          <w:szCs w:val="26"/>
        </w:rPr>
        <w:t xml:space="preserve">estat event, window(-3 3)</w:t>
      </w:r>
      <w:r>
        <w:rPr>
          <w:rFonts w:cs="B Nazanin"/>
          <w:rtl/>
          <w:szCs w:val="26"/>
        </w:rPr>
        <w:br/>
      </w:r>
      <w:r>
        <w:rPr>
          <w:rFonts w:cs="B Nazanin"/>
          <w:rStyle w:val="VerbatimChar"/>
          <w:rtl/>
          <w:szCs w:val="26"/>
        </w:rPr>
        <w:t xml:space="preserve">csdid_plot</w:t>
      </w:r>
      <w:r>
        <w:rPr>
          <w:rFonts w:cs="B Nazanin"/>
          <w:rtl/>
          <w:szCs w:val="26"/>
        </w:rPr>
        <w:br/>
      </w:r>
      <w:r>
        <w:rPr>
          <w:rFonts w:cs="B Nazanin"/>
          <w:rtl/>
          <w:szCs w:val="26"/>
        </w:rPr>
        <w:br/>
      </w:r>
      <w:r>
        <w:rPr>
          <w:rFonts w:cs="B Nazanin"/>
          <w:rStyle w:val="VerbatimChar"/>
          <w:rtl/>
          <w:szCs w:val="26"/>
        </w:rPr>
        <w:t xml:space="preserve">* ---- مدل ۳: اعتبار پیش‌بینی ----</w:t>
      </w:r>
      <w:r>
        <w:rPr>
          <w:rFonts w:cs="B Nazanin"/>
          <w:rtl/>
          <w:szCs w:val="26"/>
        </w:rPr>
        <w:br/>
      </w:r>
      <w:r>
        <w:rPr>
          <w:rFonts w:cs="B Nazanin"/>
          <w:rStyle w:val="VerbatimChar"/>
          <w:rtl/>
          <w:szCs w:val="26"/>
        </w:rPr>
        <w:t xml:space="preserve">xtreg F.ROA DIV ROA LOAN SIZE LEV GROW MTB CFO i.year, fe vce(cluster firm_id)</w:t>
      </w:r>
      <w:r>
        <w:rPr>
          <w:rFonts w:cs="B Nazanin"/>
          <w:rtl/>
          <w:szCs w:val="26"/>
        </w:rPr>
        <w:br/>
      </w:r>
      <w:r>
        <w:rPr>
          <w:rFonts w:cs="B Nazanin"/>
          <w:rtl/>
          <w:szCs w:val="26"/>
        </w:rPr>
        <w:br/>
      </w:r>
      <w:r>
        <w:rPr>
          <w:rFonts w:cs="B Nazanin"/>
          <w:rStyle w:val="VerbatimChar"/>
          <w:rtl/>
          <w:szCs w:val="26"/>
        </w:rPr>
        <w:t xml:space="preserve">* ---- هکمن دومرحله‌ای ----</w:t>
      </w:r>
      <w:r>
        <w:rPr>
          <w:rFonts w:cs="B Nazanin"/>
          <w:rtl/>
          <w:szCs w:val="26"/>
        </w:rPr>
        <w:br/>
      </w:r>
      <w:r>
        <w:rPr>
          <w:rFonts w:cs="B Nazanin"/>
          <w:rStyle w:val="VerbatimChar"/>
          <w:rtl/>
          <w:szCs w:val="26"/>
        </w:rPr>
        <w:t xml:space="preserve">probit LARGE SIZE LEV ROA GROW MTB CFO CASH ind_loan_loo i.year</w:t>
      </w:r>
      <w:r>
        <w:rPr>
          <w:rFonts w:cs="B Nazanin"/>
          <w:rtl/>
          <w:szCs w:val="26"/>
        </w:rPr>
        <w:br/>
      </w:r>
      <w:r>
        <w:rPr>
          <w:rFonts w:cs="B Nazanin"/>
          <w:rStyle w:val="VerbatimChar"/>
          <w:rtl/>
          <w:szCs w:val="26"/>
        </w:rPr>
        <w:t xml:space="preserve">predict xb, xb</w:t>
      </w:r>
      <w:r>
        <w:rPr>
          <w:rFonts w:cs="B Nazanin"/>
          <w:rtl/>
          <w:szCs w:val="26"/>
        </w:rPr>
        <w:br/>
      </w:r>
      <w:r>
        <w:rPr>
          <w:rFonts w:cs="B Nazanin"/>
          <w:rStyle w:val="VerbatimChar"/>
          <w:rtl/>
          <w:szCs w:val="26"/>
        </w:rPr>
        <w:t xml:space="preserve">gen imr = normalden(xb)/normal(xb)</w:t>
      </w:r>
      <w:r>
        <w:rPr>
          <w:rFonts w:cs="B Nazanin"/>
          <w:rtl/>
          <w:szCs w:val="26"/>
        </w:rPr>
        <w:br/>
      </w:r>
      <w:r>
        <w:rPr>
          <w:rFonts w:cs="B Nazanin"/>
          <w:rStyle w:val="VerbatimChar"/>
          <w:rtl/>
          <w:szCs w:val="26"/>
        </w:rPr>
        <w:t xml:space="preserve">xtreg NONOP LOAN imr SIZE LEV ROA GROW MTB CFO i.year, fe vce(cluster firm_id)</w:t>
      </w:r>
    </w:p>
    <w:p>
      <w:pPr>
        <w:bidi/>
        <w:jc w:val="left"/>
      </w:pPr>
      <w:r>
        <w:rPr>
          <w:rFonts w:cs="B Nazanin"/>
          <w:rtl/>
          <w:szCs w:val="26"/>
        </w:rPr>
        <w:pict>
          <v:rect style="width:0;height:1.5pt" o:hralign="center" o:hrstd="t" o:hr="t"/>
        </w:pict>
      </w:r>
    </w:p>
    <w:bookmarkEnd w:id="59"/>
    <w:bookmarkStart w:id="60" w:name="extended-abstract-english"/>
    <w:p>
      <w:pPr>
        <w:pStyle w:val="Heading1"/>
      </w:pPr>
      <w:r>
        <w:rPr>
          <w:rtl/>
        </w:rPr>
        <w:t xml:space="preserve">Extended Abstract (English)</w:t>
      </w:r>
    </w:p>
    <w:p>
      <w:pPr/>
      <w:r>
        <w:rPr>
          <w:rtl/>
          <w:bCs/>
          <w:b/>
        </w:rPr>
        <w:t xml:space="preserve">Title:</w:t>
      </w:r>
      <w:r>
        <w:rPr>
          <w:rtl/>
        </w:rPr>
        <w:t xml:space="preserve"> </w:t>
      </w:r>
      <w:r>
        <w:rPr>
          <w:rtl/>
        </w:rPr>
        <w:t xml:space="preserve">Tracing Bank Loan Diversion through Financial Statements: The Role of Audit Quality and Ownership Structure</w:t>
      </w:r>
    </w:p>
    <w:p>
      <w:pPr/>
      <w:r>
        <w:rPr>
          <w:rtl/>
          <w:bCs/>
          <w:b/>
        </w:rPr>
        <w:t xml:space="preserve">Purpose.</w:t>
      </w:r>
      <w:r>
        <w:rPr>
          <w:rtl/>
        </w:rPr>
        <w:t xml:space="preserve"> </w:t>
      </w:r>
      <w:r>
        <w:rPr>
          <w:rtl/>
        </w:rPr>
        <w:t xml:space="preserve">Bank credit is the dominant source of external financing for Iranian firms, and the ex-post diversion of loan proceeds from their contractual purpose is a central concern for bank soundness and depositor protection. Because lenders cannot directly observe how funds are used, diversion typically comes to light only after losses occur. This study develops a financial-statement-based index of loan diversion (DIV) and examines how audit quality and ownership structure moderate diversion behavior.</w:t>
      </w:r>
    </w:p>
    <w:p>
      <w:pPr/>
      <w:r>
        <w:rPr>
          <w:rtl/>
          <w:bCs/>
          <w:b/>
        </w:rPr>
        <w:t xml:space="preserve">Design/methodology/approach.</w:t>
      </w:r>
      <w:r>
        <w:rPr>
          <w:rtl/>
        </w:rPr>
        <w:t xml:space="preserve"> </w:t>
      </w:r>
      <w:r>
        <w:rPr>
          <w:rtl/>
        </w:rPr>
        <w:t xml:space="preserve">The sample comprises non-financial firms listed on the Tehran Stock Exchange and Iran Fara Bourse over the fiscal years 1393–1402 (2014–2023) [final period and sample size to be completed]. DIV is constructed by classifying assets into operating and non-operating components using the balance sheet, the statement of cash flows and the notes to the financial statements; the net loan inflow is taken from the financing section of the cash flow statement. We estimate panel regressions with firm and year fixed effects and cluster-robust standard errors, a staggered difference-in-differences event-study design following Callaway and Sant’Anna (2021), Heckman selection and instrumental-variable specifications to address endogeneity, and predictive-validity tests relating DIV to subsequent operating performance. All analyses are conducted in Stata.</w:t>
      </w:r>
    </w:p>
    <w:p>
      <w:pPr/>
      <w:r>
        <w:rPr>
          <w:rtl/>
          <w:bCs/>
          <w:b/>
        </w:rPr>
        <w:t xml:space="preserve">Findings.</w:t>
      </w:r>
      <w:r>
        <w:rPr>
          <w:rtl/>
        </w:rPr>
        <w:t xml:space="preserve"> </w:t>
      </w:r>
      <w:r>
        <w:rPr>
          <w:rtl/>
        </w:rPr>
        <w:t xml:space="preserve">[To be completed after estimation. Proposed framework: net loan inflow is positively associated with increases in non-operating assets; the association is attenuated by higher audit quality and amplified by state ownership and ownership concentration; DIV is negatively associated with next-year operating performance.]</w:t>
      </w:r>
    </w:p>
    <w:p>
      <w:pPr/>
      <w:r>
        <w:rPr>
          <w:rtl/>
          <w:bCs/>
          <w:b/>
        </w:rPr>
        <w:t xml:space="preserve">Originality/value.</w:t>
      </w:r>
      <w:r>
        <w:rPr>
          <w:rtl/>
        </w:rPr>
        <w:t xml:space="preserve"> </w:t>
      </w:r>
      <w:r>
        <w:rPr>
          <w:rtl/>
        </w:rPr>
        <w:t xml:space="preserve">The paper introduces what is, to our knowledge, the first financial-statement-based measure of loan diversion for the Iranian capital market that can be computed without confidential bank records. It also positions independent auditing as a monitoring mechanism within the lender–borrower relationship.</w:t>
      </w:r>
    </w:p>
    <w:p>
      <w:pPr/>
      <w:r>
        <w:rPr>
          <w:rtl/>
          <w:bCs/>
          <w:b/>
        </w:rPr>
        <w:t xml:space="preserve">Practical and social implications.</w:t>
      </w:r>
      <w:r>
        <w:rPr>
          <w:rtl/>
        </w:rPr>
        <w:t xml:space="preserve"> </w:t>
      </w:r>
      <w:r>
        <w:rPr>
          <w:rtl/>
        </w:rPr>
        <w:t xml:space="preserve">Banks and supervisors can use the index for continuous monitoring, credit-limit setting and the design of monitoring covenants in loan contracts. Reducing loan diversion supports more efficient credit allocation and protects depositors and the wider public interest.</w:t>
      </w:r>
    </w:p>
    <w:p>
      <w:pPr/>
      <w:r>
        <w:rPr>
          <w:rtl/>
          <w:bCs/>
          <w:b/>
        </w:rPr>
        <w:t xml:space="preserve">Keywords:</w:t>
      </w:r>
      <w:r>
        <w:rPr>
          <w:rtl/>
        </w:rPr>
        <w:t xml:space="preserve"> </w:t>
      </w:r>
      <w:r>
        <w:rPr>
          <w:rtl/>
        </w:rPr>
        <w:t xml:space="preserve">loan diversion; moral hazard; non-operating assets; audit quality; ownership structure; bank loans</w:t>
      </w:r>
    </w:p>
    <w:p>
      <w:pPr/>
      <w:r>
        <w:rPr>
          <w:rtl/>
          <w:bCs/>
          <w:b/>
        </w:rPr>
        <w:t xml:space="preserve">JEL classification:</w:t>
      </w:r>
      <w:r>
        <w:rPr>
          <w:rtl/>
        </w:rPr>
        <w:t xml:space="preserve"> </w:t>
      </w:r>
      <w:r>
        <w:rPr>
          <w:rtl/>
        </w:rPr>
        <w:t xml:space="preserve">G21, G32, M41, M42, D82, L26</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bidi/>
      </w:pPr>
      <w:r>
        <w:rPr>
          <w:rStyle w:val="FootnoteReference"/>
        </w:rPr>
        <w:footnoteRef/>
      </w:r>
      <w:r>
        <w:rPr>
          <w:rtl/>
        </w:rPr>
        <w:t xml:space="preserve"> </w:t>
      </w:r>
      <w:r>
        <w:rPr>
          <w:rtl/>
        </w:rPr>
        <w:t xml:space="preserve">مشخصات سازمانی، نشانی پست الکترونیکی و شناسه ORCID نویسنده مسئول در این بخش درج می‌شود.</w:t>
      </w:r>
    </w:p>
  </w:footnote>
  <w:footnote w:id="21">
    <w:p>
      <w:pPr>
        <w:pStyle w:val="FootnoteText"/>
        <w:bidi/>
      </w:pPr>
      <w:r>
        <w:rPr>
          <w:rStyle w:val="FootnoteReference"/>
        </w:rPr>
        <w:footnoteRef/>
      </w:r>
      <w:r>
        <w:rPr>
          <w:rtl/>
        </w:rPr>
        <w:t xml:space="preserve"> </w:t>
      </w:r>
      <w:r>
        <w:rPr>
          <w:rtl/>
        </w:rPr>
        <w:t xml:space="preserve">Loan diversion یا Loan misuse؛ استفاده از وجوه تسهیلات برای هدفی غیر از آنچه در قرارداد پیش‌بینی شده است.</w:t>
      </w:r>
    </w:p>
  </w:footnote>
  <w:footnote w:id="23">
    <w:p>
      <w:pPr>
        <w:pStyle w:val="FootnoteText"/>
        <w:bidi/>
      </w:pPr>
      <w:r>
        <w:rPr>
          <w:rStyle w:val="FootnoteReference"/>
        </w:rPr>
        <w:footnoteRef/>
      </w:r>
      <w:r>
        <w:rPr>
          <w:rtl/>
        </w:rPr>
        <w:t xml:space="preserve"> </w:t>
      </w:r>
      <w:r>
        <w:rPr>
          <w:rtl/>
        </w:rPr>
        <w:t xml:space="preserve">Moral Hazard. اصطلاح از بیمه گرفته شده و در اقتصاد وام به معنای تغییر رفتار پس از انعقاد قرارداد است.</w:t>
      </w:r>
    </w:p>
  </w:footnote>
  <w:footnote w:id="24">
    <w:p>
      <w:pPr>
        <w:pStyle w:val="FootnoteText"/>
        <w:bidi/>
      </w:pPr>
      <w:r>
        <w:rPr>
          <w:rStyle w:val="FootnoteReference"/>
        </w:rPr>
        <w:footnoteRef/>
      </w:r>
      <w:r>
        <w:rPr>
          <w:rtl/>
        </w:rPr>
        <w:t xml:space="preserve"> </w:t>
      </w:r>
      <w:r>
        <w:rPr>
          <w:rtl/>
        </w:rPr>
        <w:t xml:space="preserve">Adverse Selection. نخستین بار توسط آکرلف (۱۹۷۰) در بازار اتومبیل‌های دست‌دوم مطرح شد و استیگلیتز و ویس (۱۹۸۱) آن را در بازار اعتبار به کار بردند.</w:t>
      </w:r>
    </w:p>
  </w:footnote>
  <w:footnote w:id="25">
    <w:p>
      <w:pPr>
        <w:pStyle w:val="FootnoteText"/>
        <w:bidi/>
      </w:pPr>
      <w:r>
        <w:rPr>
          <w:rStyle w:val="FootnoteReference"/>
        </w:rPr>
        <w:footnoteRef/>
      </w:r>
      <w:r>
        <w:rPr>
          <w:rtl/>
        </w:rPr>
        <w:t xml:space="preserve"> </w:t>
      </w:r>
      <w:r>
        <w:rPr>
          <w:rtl/>
        </w:rPr>
        <w:t xml:space="preserve">Fungibility of money. قابل تعویض بودن پول به این معناست که پس از ورود وجوه به شرکت، نمی‌توان منبع و مصرف را برچسب‌گذاری کرد.</w:t>
      </w:r>
    </w:p>
  </w:footnote>
  <w:footnote w:id="27">
    <w:p>
      <w:pPr>
        <w:pStyle w:val="FootnoteText"/>
        <w:bidi/>
      </w:pPr>
      <w:r>
        <w:rPr>
          <w:rStyle w:val="FootnoteReference"/>
        </w:rPr>
        <w:footnoteRef/>
      </w:r>
      <w:r>
        <w:rPr>
          <w:rtl/>
        </w:rPr>
        <w:t xml:space="preserve"> </w:t>
      </w:r>
      <w:r>
        <w:rPr>
          <w:rtl/>
        </w:rPr>
        <w:t xml:space="preserve">Agency Theory.</w:t>
      </w:r>
    </w:p>
  </w:footnote>
  <w:footnote w:id="28">
    <w:p>
      <w:pPr>
        <w:pStyle w:val="FootnoteText"/>
        <w:bidi/>
      </w:pPr>
      <w:r>
        <w:rPr>
          <w:rStyle w:val="FootnoteReference"/>
        </w:rPr>
        <w:footnoteRef/>
      </w:r>
      <w:r>
        <w:rPr>
          <w:rtl/>
        </w:rPr>
        <w:t xml:space="preserve"> </w:t>
      </w:r>
      <w:r>
        <w:rPr>
          <w:rtl/>
        </w:rPr>
        <w:t xml:space="preserve">Asset substitution؛ جایگزینی دارایی‌های کم‌ریسک با دارایی‌های پرریسک پس از اخذ وام.</w:t>
      </w:r>
    </w:p>
  </w:footnote>
  <w:footnote w:id="30">
    <w:p>
      <w:pPr>
        <w:pStyle w:val="FootnoteText"/>
        <w:bidi/>
      </w:pPr>
      <w:r>
        <w:rPr>
          <w:rStyle w:val="FootnoteReference"/>
        </w:rPr>
        <w:footnoteRef/>
      </w:r>
      <w:r>
        <w:rPr>
          <w:rtl/>
        </w:rPr>
        <w:t xml:space="preserve"> </w:t>
      </w:r>
      <w:r>
        <w:rPr>
          <w:rtl/>
        </w:rPr>
        <w:t xml:space="preserve">Tunneling.</w:t>
      </w:r>
    </w:p>
  </w:footnote>
  <w:footnote w:id="34">
    <w:p>
      <w:pPr>
        <w:pStyle w:val="FootnoteText"/>
        <w:bidi/>
      </w:pPr>
      <w:r>
        <w:rPr>
          <w:rStyle w:val="FootnoteReference"/>
        </w:rPr>
        <w:footnoteRef/>
      </w:r>
      <w:r>
        <w:rPr>
          <w:rtl/>
        </w:rPr>
        <w:t xml:space="preserve"> </w:t>
      </w:r>
      <w:r>
        <w:rPr>
          <w:rtl/>
        </w:rPr>
        <w:t xml:space="preserve">Soft budget constraint؛ مفهومی از کورنای (1986) که در آن انتظار نجات مالی از سوی دولت نظم بازار را تضعیف می‌کند.</w:t>
      </w:r>
    </w:p>
  </w:footnote>
  <w:footnote w:id="40">
    <w:p>
      <w:pPr>
        <w:pStyle w:val="FootnoteText"/>
        <w:bidi/>
      </w:pPr>
      <w:r>
        <w:rPr>
          <w:rStyle w:val="FootnoteReference"/>
        </w:rPr>
        <w:footnoteRef/>
      </w:r>
      <w:r>
        <w:rPr>
          <w:rtl/>
        </w:rPr>
        <w:t xml:space="preserve"> </w:t>
      </w:r>
      <w:r>
        <w:rPr>
          <w:rtl/>
        </w:rPr>
        <w:t xml:space="preserve">Winsorization؛ جایگزینی مقادیر فراتر از صدک‌های تعیین‌شده با مقدار همان صدک.</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ردیابی انحراف مصرف تسهیلات بانکی از طریق صورت‌های مالی: نقش کیفیت حسابرسی و ساختار مالکیت</dc:title>
  <dc:creator/>
  <dc:language>fa</dc:language>
  <cp:keywords/>
  <dcterms:created xsi:type="dcterms:W3CDTF">2026-10-15T19:51:23Z</dcterms:created>
  <dcterms:modified xsi:type="dcterms:W3CDTF">2026-10-15T19:51:23Z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