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jc w:val="left"/>
      </w:pPr>
      <w:r>
        <w:rPr>
          <w:rFonts w:cs="B Nazanin"/>
          <w:rtl/>
          <w:szCs w:val="26"/>
        </w:rPr>
        <w:t xml:space="preserve">طراحی</w:t>
      </w:r>
      <w:r>
        <w:rPr>
          <w:rFonts w:cs="B Nazanin"/>
          <w:rtl/>
          <w:szCs w:val="26"/>
        </w:rPr>
        <w:t xml:space="preserve"> </w:t>
      </w:r>
      <w:r>
        <w:rPr>
          <w:rFonts w:cs="B Nazanin"/>
          <w:rtl/>
          <w:szCs w:val="26"/>
        </w:rPr>
        <w:t xml:space="preserve">معیارهای</w:t>
      </w:r>
      <w:r>
        <w:rPr>
          <w:rFonts w:cs="B Nazanin"/>
          <w:rtl/>
          <w:szCs w:val="26"/>
        </w:rPr>
        <w:t xml:space="preserve"> </w:t>
      </w:r>
      <w:r>
        <w:rPr>
          <w:rFonts w:cs="B Nazanin"/>
          <w:rtl/>
          <w:szCs w:val="26"/>
        </w:rPr>
        <w:t xml:space="preserve">حسابداری</w:t>
      </w:r>
      <w:r>
        <w:rPr>
          <w:rFonts w:cs="B Nazanin"/>
          <w:rtl/>
          <w:szCs w:val="26"/>
        </w:rPr>
        <w:t xml:space="preserve"> </w:t>
      </w:r>
      <w:r>
        <w:rPr>
          <w:rFonts w:cs="B Nazanin"/>
          <w:rtl/>
          <w:szCs w:val="26"/>
        </w:rPr>
        <w:t xml:space="preserve">در</w:t>
      </w:r>
      <w:r>
        <w:rPr>
          <w:rFonts w:cs="B Nazanin"/>
          <w:rtl/>
          <w:szCs w:val="26"/>
        </w:rPr>
        <w:t xml:space="preserve"> </w:t>
      </w:r>
      <w:r>
        <w:rPr>
          <w:rFonts w:cs="B Nazanin"/>
          <w:rtl/>
          <w:szCs w:val="26"/>
        </w:rPr>
        <w:t xml:space="preserve">قراردادهای</w:t>
      </w:r>
      <w:r>
        <w:rPr>
          <w:rFonts w:cs="B Nazanin"/>
          <w:rtl/>
          <w:szCs w:val="26"/>
        </w:rPr>
        <w:t xml:space="preserve"> </w:t>
      </w:r>
      <w:r>
        <w:rPr>
          <w:rFonts w:cs="B Nazanin"/>
          <w:rtl/>
          <w:szCs w:val="26"/>
        </w:rPr>
        <w:t xml:space="preserve">تسهیلات</w:t>
      </w:r>
      <w:r>
        <w:rPr>
          <w:rFonts w:cs="B Nazanin"/>
          <w:rtl/>
          <w:szCs w:val="26"/>
        </w:rPr>
        <w:t xml:space="preserve"> </w:t>
      </w:r>
      <w:r>
        <w:rPr>
          <w:rFonts w:cs="B Nazanin"/>
          <w:rtl/>
          <w:szCs w:val="26"/>
        </w:rPr>
        <w:t xml:space="preserve">بانکی:</w:t>
      </w:r>
      <w:r>
        <w:rPr>
          <w:rFonts w:cs="B Nazanin"/>
          <w:rtl/>
          <w:szCs w:val="26"/>
        </w:rPr>
        <w:t xml:space="preserve"> </w:t>
      </w:r>
      <w:r>
        <w:rPr>
          <w:rFonts w:cs="B Nazanin"/>
          <w:rtl/>
          <w:szCs w:val="26"/>
        </w:rPr>
        <w:t xml:space="preserve">انتخاب</w:t>
      </w:r>
      <w:r>
        <w:rPr>
          <w:rFonts w:cs="B Nazanin"/>
          <w:rtl/>
          <w:szCs w:val="26"/>
        </w:rPr>
        <w:t xml:space="preserve"> </w:t>
      </w:r>
      <w:r>
        <w:rPr>
          <w:rFonts w:cs="B Nazanin"/>
          <w:rtl/>
          <w:szCs w:val="26"/>
        </w:rPr>
        <w:t xml:space="preserve">بهینه</w:t>
      </w:r>
      <w:r>
        <w:rPr>
          <w:rFonts w:cs="B Nazanin"/>
          <w:rtl/>
          <w:szCs w:val="26"/>
        </w:rPr>
        <w:t xml:space="preserve"> </w:t>
      </w:r>
      <w:r>
        <w:rPr>
          <w:rFonts w:cs="B Nazanin"/>
          <w:rtl/>
          <w:szCs w:val="26"/>
        </w:rPr>
        <w:t xml:space="preserve">شرایط</w:t>
      </w:r>
      <w:r>
        <w:rPr>
          <w:rFonts w:cs="B Nazanin"/>
          <w:rtl/>
          <w:szCs w:val="26"/>
        </w:rPr>
        <w:t xml:space="preserve"> </w:t>
      </w:r>
      <w:r>
        <w:rPr>
          <w:rFonts w:cs="B Nazanin"/>
          <w:rtl/>
          <w:szCs w:val="26"/>
        </w:rPr>
        <w:t xml:space="preserve">قراردادی</w:t>
      </w:r>
      <w:r>
        <w:rPr>
          <w:rFonts w:cs="B Nazanin"/>
          <w:rtl/>
          <w:szCs w:val="26"/>
        </w:rPr>
        <w:t xml:space="preserve"> </w:t>
      </w:r>
      <w:r>
        <w:rPr>
          <w:rFonts w:cs="B Nazanin"/>
          <w:rtl/>
          <w:szCs w:val="26"/>
        </w:rPr>
        <w:t xml:space="preserve">برای</w:t>
      </w:r>
      <w:r>
        <w:rPr>
          <w:rFonts w:cs="B Nazanin"/>
          <w:rtl/>
          <w:szCs w:val="26"/>
        </w:rPr>
        <w:t xml:space="preserve"> </w:t>
      </w:r>
      <w:r>
        <w:rPr>
          <w:rFonts w:cs="B Nazanin"/>
          <w:rtl/>
          <w:szCs w:val="26"/>
        </w:rPr>
        <w:t xml:space="preserve">پیش‌بینی</w:t>
      </w:r>
      <w:r>
        <w:rPr>
          <w:rFonts w:cs="B Nazanin"/>
          <w:rtl/>
          <w:szCs w:val="26"/>
        </w:rPr>
        <w:t xml:space="preserve"> </w:t>
      </w:r>
      <w:r>
        <w:rPr>
          <w:rFonts w:cs="B Nazanin"/>
          <w:rtl/>
          <w:szCs w:val="26"/>
        </w:rPr>
        <w:t xml:space="preserve">نکول</w:t>
      </w:r>
    </w:p>
    <w:p>
      <w:pPr>
        <w:bidi/>
        <w:jc w:val="left"/>
      </w:pPr>
      <w:r>
        <w:rPr>
          <w:rFonts w:cs="B Nazanin"/>
          <w:rtl/>
          <w:bCs/>
          <w:b/>
          <w:szCs w:val="26"/>
        </w:rPr>
        <w:t xml:space="preserve">عنوان انگلیسی:</w:t>
      </w:r>
      <w:r>
        <w:rPr>
          <w:rFonts w:cs="B Nazanin"/>
          <w:rtl/>
          <w:szCs w:val="26"/>
        </w:rPr>
        <w:t xml:space="preserve"> </w:t>
      </w:r>
      <w:r>
        <w:rPr>
          <w:rFonts w:cs="B Nazanin"/>
          <w:rtl/>
          <w:szCs w:val="26"/>
        </w:rPr>
        <w:t xml:space="preserve">Designing Accounting-Based Covenants in Bank Loan Contracts: Optimal Selection of Contractual Terms for Default Prediction</w:t>
      </w:r>
    </w:p>
    <w:p>
      <w:pPr>
        <w:bidi/>
        <w:jc w:val="left"/>
      </w:pPr>
      <w:r>
        <w:rPr>
          <w:rFonts w:cs="B Nazanin"/>
          <w:rtl/>
          <w:bCs/>
          <w:b/>
          <w:szCs w:val="26"/>
        </w:rPr>
        <w:t xml:space="preserve">نویسندگان:</w:t>
      </w:r>
      <w:r>
        <w:rPr>
          <w:rFonts w:cs="B Nazanin"/>
          <w:rtl/>
          <w:szCs w:val="26"/>
        </w:rPr>
        <w:t xml:space="preserve"> </w:t>
      </w:r>
      <w:r>
        <w:rPr>
          <w:rFonts w:cs="B Nazanin"/>
          <w:rtl/>
          <w:szCs w:val="26"/>
        </w:rPr>
        <w:t xml:space="preserve">[نام و نام خانوادگی نویسنده مسئول]</w:t>
      </w:r>
      <w:r>
        <w:rPr>
          <w:rFonts w:cs="B Nazanin"/>
          <w:rtl/>
          <w:szCs w:val="26"/>
        </w:rPr>
        <w:t xml:space="preserve"> </w:t>
      </w:r>
      <w:r>
        <w:rPr>
          <w:rFonts w:cs="B Nazanin"/>
          <w:rStyle w:val="FootnoteReference"/>
          <w:rtl/>
          <w:szCs w:val="26"/>
        </w:rPr>
        <w:footnoteReference w:id="20"/>
      </w:r>
      <w:r>
        <w:rPr>
          <w:rFonts w:cs="B Nazanin"/>
          <w:rtl/>
          <w:szCs w:val="26"/>
        </w:rPr>
        <w:t xml:space="preserve">، [نام نویسنده دوم]</w:t>
      </w:r>
    </w:p>
    <w:p>
      <w:pPr>
        <w:bidi/>
        <w:jc w:val="left"/>
      </w:pPr>
      <w:r>
        <w:rPr>
          <w:rFonts w:cs="B Nazanin"/>
          <w:rtl/>
          <w:bCs/>
          <w:b/>
          <w:szCs w:val="26"/>
        </w:rPr>
        <w:t xml:space="preserve">مجله هدف:</w:t>
      </w:r>
      <w:r>
        <w:rPr>
          <w:rFonts w:cs="B Nazanin"/>
          <w:rtl/>
          <w:szCs w:val="26"/>
        </w:rPr>
        <w:t xml:space="preserve"> </w:t>
      </w:r>
      <w:r>
        <w:rPr>
          <w:rFonts w:cs="B Nazanin"/>
          <w:rtl/>
          <w:szCs w:val="26"/>
        </w:rPr>
        <w:t xml:space="preserve">حسابداری و منافع اجتماعی (محور اول: شناسایی معیارهای حسابداری مناسب برای درج در قراردادهای تسهیلات و استفاده از ظرفیت حسابرسی)</w:t>
      </w:r>
    </w:p>
    <w:p>
      <w:pPr>
        <w:bidi/>
        <w:pStyle w:val="BlockText"/>
        <w:jc w:val="left"/>
      </w:pPr>
      <w:r>
        <w:rPr>
          <w:rFonts w:cs="B Nazanin"/>
          <w:rtl/>
          <w:bCs/>
          <w:b/>
          <w:szCs w:val="26"/>
        </w:rPr>
        <w:t xml:space="preserve">یادداشت برای نویسنده (پیش از ارسال حذف شود):</w:t>
      </w:r>
      <w:r>
        <w:rPr>
          <w:rFonts w:cs="B Nazanin"/>
          <w:rtl/>
          <w:szCs w:val="26"/>
        </w:rPr>
        <w:t xml:space="preserve"> </w:t>
      </w:r>
      <w:r>
        <w:rPr>
          <w:rFonts w:cs="B Nazanin"/>
          <w:rtl/>
          <w:szCs w:val="26"/>
        </w:rPr>
        <w:t xml:space="preserve">این مقاله با مقاله «ردیابی انحراف مصرف تسهیلات بانکی» مکمل است؛ شاخص DIV در آن مقاله تعریف شده و اینجا فقط یکی از معیارهای کاندید است و باید به آن ارجاع داده شود. بخش «یافته‌ها» با اعداد ساختگی پر نشده و عبارت‌های داخل کروشه [ ] باید پس از اجرای مدل‌ها تکمیل شوند. منابع لاتین از متون شناخته‌شده انتخاب شده‌اند، اما شماره صفحه و DOI را قبل از ارسال تطبیق دهید و منابع فارسی را خودتان اضافه کنید (بخش ۸).</w:t>
      </w:r>
    </w:p>
    <w:bookmarkStart w:id="22" w:name="چکیده"/>
    <w:p>
      <w:pPr>
        <w:bidi/>
        <w:pStyle w:val="Heading1"/>
        <w:jc w:val="left"/>
      </w:pPr>
      <w:r>
        <w:rPr>
          <w:rFonts w:cs="B Nazanin"/>
          <w:rtl/>
          <w:szCs w:val="26"/>
        </w:rPr>
        <w:t xml:space="preserve">چکیده</w:t>
      </w:r>
    </w:p>
    <w:p>
      <w:pPr>
        <w:bidi/>
        <w:jc w:val="left"/>
      </w:pPr>
      <w:r>
        <w:rPr>
          <w:rFonts w:cs="B Nazanin"/>
          <w:rtl/>
          <w:bCs/>
          <w:b/>
          <w:szCs w:val="26"/>
        </w:rPr>
        <w:t xml:space="preserve">هدف:</w:t>
      </w:r>
      <w:r>
        <w:rPr>
          <w:rFonts w:cs="B Nazanin"/>
          <w:rtl/>
          <w:szCs w:val="26"/>
        </w:rPr>
        <w:t xml:space="preserve"> </w:t>
      </w:r>
      <w:r>
        <w:rPr>
          <w:rFonts w:cs="B Nazanin"/>
          <w:rtl/>
          <w:szCs w:val="26"/>
        </w:rPr>
        <w:t xml:space="preserve">قراردادهای تسهیلات بانکی در ایران معمولاً به معیارهای حسابداری مشخص و قابل‌سنجش (بندهای پیمان مالی)</w:t>
      </w:r>
      <w:r>
        <w:rPr>
          <w:rFonts w:cs="B Nazanin"/>
          <w:rStyle w:val="FootnoteReference"/>
          <w:rtl/>
          <w:szCs w:val="26"/>
        </w:rPr>
        <w:footnoteReference w:id="21"/>
      </w:r>
      <w:r>
        <w:rPr>
          <w:rFonts w:cs="B Nazanin"/>
          <w:rtl/>
          <w:szCs w:val="26"/>
        </w:rPr>
        <w:t xml:space="preserve"> </w:t>
      </w:r>
      <w:r>
        <w:rPr>
          <w:rFonts w:cs="B Nazanin"/>
          <w:rtl/>
          <w:szCs w:val="26"/>
        </w:rPr>
        <w:t xml:space="preserve">مجهز نیستند و بانک‌ها بیشتر به وثیقه تکیه می‌کنند. این پژوهش می‌پرسد کدام معیارهای مبتنی بر صورت‌های مالی بهترین قدرت پیش‌بینی نکول وام‌گیرنده را دارند و آستانه بهینه هر معیار برای درج در قرارداد چیست؛ به بیان دیگر، چگونه می‌توان با ظرفیت حسابداری و حسابرسی کژگزینی را کاهش داد.</w:t>
      </w:r>
    </w:p>
    <w:p>
      <w:pPr>
        <w:bidi/>
        <w:jc w:val="left"/>
      </w:pPr>
      <w:r>
        <w:rPr>
          <w:rFonts w:cs="B Nazanin"/>
          <w:rtl/>
          <w:bCs/>
          <w:b/>
          <w:szCs w:val="26"/>
        </w:rPr>
        <w:t xml:space="preserve">طراحی و روش‌شناسی:</w:t>
      </w:r>
      <w:r>
        <w:rPr>
          <w:rFonts w:cs="B Nazanin"/>
          <w:rtl/>
          <w:szCs w:val="26"/>
        </w:rPr>
        <w:t xml:space="preserve"> </w:t>
      </w:r>
      <w:r>
        <w:rPr>
          <w:rFonts w:cs="B Nazanin"/>
          <w:rtl/>
          <w:szCs w:val="26"/>
        </w:rPr>
        <w:t xml:space="preserve">نمونه شامل شرکت‌های غیرمالی پذیرفته‌شده در بورس اوراق بهادار تهران و فرابورس در بازه ۱۳۹۳ تا ۱۴۰۲ است [تکمیل شود]. متغیر وابسته، وقوع آشفتگی مالی یا نکول در سال بعد است (ماده ۱۴۱ قانون تجارت، تسهیلات سررسیدگذشته و جرائم دیرکرد، و نمره زد آلتمن). چهارده معیار حسابداری شامل نسبت‌های نقدینگی، اهرم، پوشش بهره، جریان نقد، کیفیت اقلام تعهدی و شاخص انحراف مصرف تسهیلات به‌عنوان کاندید قرارداد در نظر گرفته می‌شوند. مدل‌های لاجیت، لاجیت با رگولاریزاسیون لاسو، منحنی ROC و مقایسه سطح زیر منحنی (AUC) با آزمون دیلانگ، آستانه بهینه (شاخص یودن و رویکرد حداقل‌سازی هزینه مورد انتظار) و اعتبارسنجی برون‌نمونه‌ای زمانی به کار می‌روند. همه تحلیل‌ها با استتا انجام می‌شود.</w:t>
      </w:r>
    </w:p>
    <w:p>
      <w:pPr>
        <w:bidi/>
        <w:jc w:val="left"/>
      </w:pPr>
      <w:r>
        <w:rPr>
          <w:rFonts w:cs="B Nazanin"/>
          <w:rtl/>
          <w:bCs/>
          <w:b/>
          <w:szCs w:val="26"/>
        </w:rPr>
        <w:t xml:space="preserve">یافته‌ها:</w:t>
      </w:r>
      <w:r>
        <w:rPr>
          <w:rFonts w:cs="B Nazanin"/>
          <w:rtl/>
          <w:szCs w:val="26"/>
        </w:rPr>
        <w:t xml:space="preserve"> </w:t>
      </w:r>
      <w:r>
        <w:rPr>
          <w:rFonts w:cs="B Nazanin"/>
          <w:rtl/>
          <w:szCs w:val="26"/>
        </w:rPr>
        <w:t xml:space="preserve">[پس از اجرای مدل‌ها تکمیل شود. چارچوب پیشنهادی: معیارهای مبتنی بر جریان نقد AUC بالاتری از معیارهای مبتنی بر سود و ترازنامه دارند؛ افزودن DIV قدرت پیش‌بینی را افزایش می‌دهد؛ آستانه‌های بهینه میان صنایع متفاوت است؛ و قدرت پیش‌بینی در شرکت‌های با حسابرسی با کیفیت بالاتر بیشتر است.]</w:t>
      </w:r>
    </w:p>
    <w:p>
      <w:pPr>
        <w:bidi/>
        <w:jc w:val="left"/>
      </w:pPr>
      <w:r>
        <w:rPr>
          <w:rFonts w:cs="B Nazanin"/>
          <w:rtl/>
          <w:bCs/>
          <w:b/>
          <w:szCs w:val="26"/>
        </w:rPr>
        <w:t xml:space="preserve">اصالت و نوآوری:</w:t>
      </w:r>
      <w:r>
        <w:rPr>
          <w:rFonts w:cs="B Nazanin"/>
          <w:rtl/>
          <w:szCs w:val="26"/>
        </w:rPr>
        <w:t xml:space="preserve"> </w:t>
      </w:r>
      <w:r>
        <w:rPr>
          <w:rFonts w:cs="B Nazanin"/>
          <w:rtl/>
          <w:szCs w:val="26"/>
        </w:rPr>
        <w:t xml:space="preserve">برخلاف پژوهش‌های سنتی که صرفاً مدل پیش‌بینی ورشکستگی می‌سازند، این مقاله مسئله را از دید طراحی قرارداد بررسی می‌کند: انتخاب معیار، تعیین آستانه با لحاظ هزینه نامتقارن خطاها و سنجش پایداری آستانه در صنایع و زمان.</w:t>
      </w:r>
    </w:p>
    <w:p>
      <w:pPr>
        <w:bidi/>
        <w:jc w:val="left"/>
      </w:pPr>
      <w:r>
        <w:rPr>
          <w:rFonts w:cs="B Nazanin"/>
          <w:rtl/>
          <w:bCs/>
          <w:b/>
          <w:szCs w:val="26"/>
        </w:rPr>
        <w:t xml:space="preserve">دلالت‌های عملی و اجتماعی:</w:t>
      </w:r>
      <w:r>
        <w:rPr>
          <w:rFonts w:cs="B Nazanin"/>
          <w:rtl/>
          <w:szCs w:val="26"/>
        </w:rPr>
        <w:t xml:space="preserve"> </w:t>
      </w:r>
      <w:r>
        <w:rPr>
          <w:rFonts w:cs="B Nazanin"/>
          <w:rtl/>
          <w:szCs w:val="26"/>
        </w:rPr>
        <w:t xml:space="preserve">خروجی پژوهش جدول معیارهای پیشنهادی همراه آستانه، حساسیت و ویژگی است که بانک‌ها می‌توانند در قرارداد درج کنند و حسابرسان می‌توانند بر پایه آن خدمات اطمینان‌بخشی ارائه کنند. استفاده از معیارهای مناسب، وام‌های فاقد توجیه را کاهش می‌دهد و به حفاظت از منافع سپرده‌گذاران و ثبات نظام بانکی کمک می‌کند.</w:t>
      </w:r>
    </w:p>
    <w:p>
      <w:pPr>
        <w:bidi/>
        <w:jc w:val="left"/>
      </w:pPr>
      <w:r>
        <w:rPr>
          <w:rFonts w:cs="B Nazanin"/>
          <w:rtl/>
          <w:bCs/>
          <w:b/>
          <w:szCs w:val="26"/>
        </w:rPr>
        <w:t xml:space="preserve">واژگان کلیدی:</w:t>
      </w:r>
      <w:r>
        <w:rPr>
          <w:rFonts w:cs="B Nazanin"/>
          <w:rtl/>
          <w:szCs w:val="26"/>
        </w:rPr>
        <w:t xml:space="preserve"> </w:t>
      </w:r>
      <w:r>
        <w:rPr>
          <w:rFonts w:cs="B Nazanin"/>
          <w:rtl/>
          <w:szCs w:val="26"/>
        </w:rPr>
        <w:t xml:space="preserve">بندهای پیمان مالی، کژگزینی، پیش‌بینی نکول، تسهیلات بانکی، جریان نقد، منحنی ROC، رگولاریزاسیون لاسو</w:t>
      </w:r>
    </w:p>
    <w:p>
      <w:pPr>
        <w:bidi/>
        <w:jc w:val="left"/>
      </w:pPr>
      <w:r>
        <w:rPr>
          <w:rFonts w:cs="B Nazanin"/>
          <w:rtl/>
          <w:bCs/>
          <w:b/>
          <w:szCs w:val="26"/>
        </w:rPr>
        <w:t xml:space="preserve">طبقه‌بندی JEL:</w:t>
      </w:r>
      <w:r>
        <w:rPr>
          <w:rFonts w:cs="B Nazanin"/>
          <w:rtl/>
          <w:szCs w:val="26"/>
        </w:rPr>
        <w:t xml:space="preserve"> </w:t>
      </w:r>
      <w:r>
        <w:rPr>
          <w:rFonts w:cs="B Nazanin"/>
          <w:rtl/>
          <w:szCs w:val="26"/>
        </w:rPr>
        <w:t xml:space="preserve">G21، G33، M41، M42، C53، D82</w:t>
      </w:r>
    </w:p>
    <w:bookmarkEnd w:id="22"/>
    <w:bookmarkStart w:id="23" w:name="مقدمه"/>
    <w:p>
      <w:pPr>
        <w:bidi/>
        <w:pStyle w:val="Heading1"/>
        <w:jc w:val="left"/>
      </w:pPr>
      <w:r>
        <w:rPr>
          <w:rFonts w:cs="B Nazanin"/>
          <w:rtl/>
          <w:szCs w:val="26"/>
        </w:rPr>
        <w:t xml:space="preserve">۱. مقدمه</w:t>
      </w:r>
    </w:p>
    <w:p>
      <w:pPr>
        <w:bidi/>
        <w:jc w:val="left"/>
      </w:pPr>
      <w:r>
        <w:rPr>
          <w:rFonts w:cs="B Nazanin"/>
          <w:rtl/>
          <w:szCs w:val="26"/>
        </w:rPr>
        <w:t xml:space="preserve">وقتی بانکی تسهیلات اعطا می‌کند، با دو مسئله اطلاعاتی روبروست. پیش از اعطا نمی‌داند وام‌گیرنده تا چه اندازه توان بازپرداخت دارد (کژگزینی)، و پس از اعطا نمی‌تواند رفتار او را کنترل کند (کژاخلاقی). کژگزینی در ادبیات اقتصاد اطلاعات به جیره‌بندی اعتبار و کاهش کارایی بازار وام می‌انجامد (Stiglitz &amp; Weiss, 1981). یکی از ابزارهای کاهش این مشکل، ترکیب وثیقه، نرخ، سررسید و شروط مبتنی بر اطلاعات حسابداری است. در بازار بین‌المللی، بندهای پیمان مالی متداول‌اند و پژوهش‌ها نشان داده‌اند که اطلاعات حسابداری هم در تعیین شرایط وام و هم در کنترل پس از اعطا نقش دارد (Bradley &amp; Roberts, 2015; Demiroglu &amp; James, 2010; Christensen &amp; Nikolaev, 2012).</w:t>
      </w:r>
    </w:p>
    <w:p>
      <w:pPr>
        <w:bidi/>
        <w:jc w:val="left"/>
      </w:pPr>
      <w:r>
        <w:rPr>
          <w:rFonts w:cs="B Nazanin"/>
          <w:rtl/>
          <w:szCs w:val="26"/>
        </w:rPr>
        <w:t xml:space="preserve">در نظام بانکی ایران، ارزیابی اعتباری بیشتر بر وثیقه و روابط متکی است و درج معیارهای حسابداری قابل‌سنجش در قراردادها رواج کمی دارد. افزون بر آن، انتخاب معیار و آستانه آن اغلب بر پایه رویه عمومی یا قضاوت است و شواهد تجربی مشخصی برای پشتوانه آن در دسترس نیست. اگر معیار نامناسب انتخاب شود، آستانه بیش‌ازحد سخت‌گیرانه موجب نقض‌های کاذب و هزینه‌های مذاکره مجدد می‌شود؛ و آستانه بسیار سهل، نکول‌های واقعی را در زمان مناسب شناسایی نمی‌کند. بنابراین مسئله، طراحی بهینه است، نه صرف پیش‌بینی.</w:t>
      </w:r>
    </w:p>
    <w:p>
      <w:pPr>
        <w:bidi/>
        <w:jc w:val="left"/>
      </w:pPr>
      <w:r>
        <w:rPr>
          <w:rFonts w:cs="B Nazanin"/>
          <w:rtl/>
          <w:szCs w:val="26"/>
        </w:rPr>
        <w:t xml:space="preserve">ادبیات پیش‌بینی ورشکستگی با کارهای بیور (1966)، آلتمن (1968)، اوهلسون (1980)، شومویی (2001) و کمپبل و همکاران (2008) گسترده است. اما این پژوهش‌ها بر دقت مدل متمرکزند و کمتر به این پرسش می‌پردازند که کدام معیار تکی در قالب بند قرارداد قابل‌درج، قابل‌حسابرسی و قابل‌اجراست. یک بند پیمان باید ساده، قابل‌تأیید توسط حسابرس و مقاوم در برابر دستکاری باشد (Watts &amp; Zimmerman, 1986؛ Dichev &amp; Skinner, 2002)؛ بنابراین لازم است میان دقت پیش‌بینی و قابلیت درج در قرارداد توازن برقرار شود.</w:t>
      </w:r>
    </w:p>
    <w:p>
      <w:pPr>
        <w:bidi/>
        <w:jc w:val="left"/>
      </w:pPr>
      <w:r>
        <w:rPr>
          <w:rFonts w:cs="B Nazanin"/>
          <w:rtl/>
          <w:szCs w:val="26"/>
        </w:rPr>
        <w:t xml:space="preserve">این مقاله سه سهم دارد. اول، چهارده معیار حسابداری را در یک چارچوب واحد مقایسه می‌کند و به کمک لاسو معیارهای حداقلی و کارا را برمی‌گزیند. دوم، آستانه هر معیار را نه فقط با شاخص یودن، بلکه با کمینه‌سازی هزینه مورد انتظار که ناشی از نامتقارن بودن زیان وام نکول‌شده و هزینه رد وام خوب است، به‌دست می‌آورد. سوم، پایداری آستانه‌ها را میان صنایع و در زمان بررسی می‌کند و نقش کیفیت حسابرسی را به‌عنوان تعدیل‌کننده اتکاپذیری معیار می‌سنجد. شاخص انحراف مصرف تسهیلات (DIV) که در مقاله همراه معرفی شده نیز به‌عنوان یکی از معیارهای کاندید آزموده می‌شود تا نشان داده شود که آیا کژاخلاقی پیش‌بینی نکول را بهبود می‌دهد.</w:t>
      </w:r>
    </w:p>
    <w:p>
      <w:pPr>
        <w:bidi/>
        <w:jc w:val="left"/>
      </w:pPr>
      <w:r>
        <w:rPr>
          <w:rFonts w:cs="B Nazanin"/>
          <w:rtl/>
          <w:szCs w:val="26"/>
        </w:rPr>
        <w:t xml:space="preserve">ساختار مقاله: بخش ۲ مبانی نظری و پیشینه، بخش ۳ فرضیه‌ها، بخش ۴ روش‌شناسی، بخش ۵ طرح تحلیل و یافته‌ها، بخش ۶ آزمون‌های استحکام، بخش ۷ نتیجه‌گیری و بخش ۸ منابع.</w:t>
      </w:r>
    </w:p>
    <w:bookmarkEnd w:id="23"/>
    <w:bookmarkStart w:id="30" w:name="مبانی-نظری-و-پیشینه"/>
    <w:p>
      <w:pPr>
        <w:bidi/>
        <w:pStyle w:val="Heading1"/>
        <w:jc w:val="left"/>
      </w:pPr>
      <w:r>
        <w:rPr>
          <w:rFonts w:cs="B Nazanin"/>
          <w:rtl/>
          <w:szCs w:val="26"/>
        </w:rPr>
        <w:t xml:space="preserve">۲. مبانی نظری و پیشینه</w:t>
      </w:r>
    </w:p>
    <w:bookmarkStart w:id="24" w:name="کژگزینی-و-جیرهبندی-اعتبار"/>
    <w:p>
      <w:pPr>
        <w:bidi/>
        <w:pStyle w:val="Heading2"/>
        <w:jc w:val="left"/>
      </w:pPr>
      <w:r>
        <w:rPr>
          <w:rFonts w:cs="B Nazanin"/>
          <w:rtl/>
          <w:szCs w:val="26"/>
        </w:rPr>
        <w:t xml:space="preserve">۲-۱. کژگزینی و جیره‌بندی اعتبار</w:t>
      </w:r>
    </w:p>
    <w:p>
      <w:pPr>
        <w:bidi/>
        <w:jc w:val="left"/>
      </w:pPr>
      <w:r>
        <w:rPr>
          <w:rFonts w:cs="B Nazanin"/>
          <w:rtl/>
          <w:szCs w:val="26"/>
        </w:rPr>
        <w:t xml:space="preserve">آکرلف (1970) نشان داد که عدم تقارن اطلاعاتی می‌تواند بازار را از کارایی دور کند. استیگلیتز و ویس (1981) این منطق را به بازار اعتبار تعمیم دادند: افزایش نرخ بهره، وام‌گیرندگان کم‌ریسک را کنار می‌زند و ترکیب متقاضیان را بدتر می‌کند؛ بنابراین بانک‌ها ممکن است به‌جای افزایش نرخ، اعتبار را جیره‌بندی کنند. اطلاعات حسابداری قابل‌اتکا یکی از راه‌های کاهش این عدم تقارن است.</w:t>
      </w:r>
    </w:p>
    <w:bookmarkEnd w:id="24"/>
    <w:bookmarkStart w:id="25" w:name="بندهای-پیمان-مالی-در-نظریه-و-عمل"/>
    <w:p>
      <w:pPr>
        <w:bidi/>
        <w:pStyle w:val="Heading2"/>
        <w:jc w:val="left"/>
      </w:pPr>
      <w:r>
        <w:rPr>
          <w:rFonts w:cs="B Nazanin"/>
          <w:rtl/>
          <w:szCs w:val="26"/>
        </w:rPr>
        <w:t xml:space="preserve">۲-۲. بندهای پیمان مالی در نظریه و عمل</w:t>
      </w:r>
    </w:p>
    <w:p>
      <w:pPr>
        <w:bidi/>
        <w:jc w:val="left"/>
      </w:pPr>
      <w:r>
        <w:rPr>
          <w:rFonts w:cs="B Nazanin"/>
          <w:rtl/>
          <w:szCs w:val="26"/>
        </w:rPr>
        <w:t xml:space="preserve">اسمیت و وارنر (1979) نشان دادند که بندهای پیمان ابزار کاهش هزینه نمایندگی بدهی‌اند. بندها دو نوع کلی دارند: بندهای عملکردی (مبتنی بر سود، پوشش بهره، مانند نسبت پوشش) و بندهای سرمایه‌ای (مبتنی بر خالص دارایی یا اهرم)؛ کریستنسن و نیکولایف (2012) نشان دادند که انتخاب میان این دو به ماهیت دارایی‌ها و ریسک نمایندگی بستگی دارد. دیچف و اسکینر (2002) و چاوا و رابرتس (2008) نشان دادند که نقض بندها بسیار رایج است و با تغییر در سرمایه‌گذاری و شرایط وام همراه می‌شود. دمیرولو و جیمز (2010) محتوای اطلاعاتی بندهای وام را بررسی کردند و نشان دادند که انتخاب بندها اطلاعات خصوصی وام‌گیرنده را آشکار می‌کند. لی، واسواری و ویتنبرگ‌ـ‌مورمن (2016) نشان دادند که آستانه‌های پویا در بندهای مبتنی بر سود می‌توانند با تغییر شرایط وام‌گیرنده تنظیم شوند، که برای بحث آستانه بهینه اهمیت دارد.</w:t>
      </w:r>
    </w:p>
    <w:bookmarkEnd w:id="25"/>
    <w:bookmarkStart w:id="27" w:name="پیشبینی-نکول-و-آشفتگی-مالی"/>
    <w:p>
      <w:pPr>
        <w:bidi/>
        <w:pStyle w:val="Heading2"/>
        <w:jc w:val="left"/>
      </w:pPr>
      <w:r>
        <w:rPr>
          <w:rFonts w:cs="B Nazanin"/>
          <w:rtl/>
          <w:szCs w:val="26"/>
        </w:rPr>
        <w:t xml:space="preserve">۲-۳. پیش‌بینی نکول و آشفتگی مالی</w:t>
      </w:r>
    </w:p>
    <w:p>
      <w:pPr>
        <w:bidi/>
        <w:jc w:val="left"/>
      </w:pPr>
      <w:r>
        <w:rPr>
          <w:rFonts w:cs="B Nazanin"/>
          <w:rtl/>
          <w:szCs w:val="26"/>
        </w:rPr>
        <w:t xml:space="preserve">بیور (1966) نشان داد که نسبت‌های مالی (به‌ویژه جریان نقد به کل بدهی) نکول را پیش‌بینی می‌کنند. آلتمن (1968) با تحلیل ممیزی چندگانه، نمره زد را معرفی کرد و برای بازارهای نوظهور، آلتمن، هارتزل و پک (1995) نسخه تعدیل‌شده را ارائه دادند. اوهلسون (1980) مدل لاجیت را به‌کار برد و شومویی (2001) نشان داد که مدل‌های ایستا بدون در نظر گرفتن زمان تورش دارند و مدل خطر گسسته</w:t>
      </w:r>
      <w:r>
        <w:rPr>
          <w:rFonts w:cs="B Nazanin"/>
          <w:rStyle w:val="FootnoteReference"/>
          <w:rtl/>
          <w:szCs w:val="26"/>
        </w:rPr>
        <w:footnoteReference w:id="26"/>
      </w:r>
      <w:r>
        <w:rPr>
          <w:rFonts w:cs="B Nazanin"/>
          <w:rtl/>
          <w:szCs w:val="26"/>
        </w:rPr>
        <w:t xml:space="preserve"> </w:t>
      </w:r>
      <w:r>
        <w:rPr>
          <w:rFonts w:cs="B Nazanin"/>
          <w:rtl/>
          <w:szCs w:val="26"/>
        </w:rPr>
        <w:t xml:space="preserve">مناسب‌تر است. هیلگیست و همکاران (2004) و کمپبل، هیلشر و سیلاجی (2008) متغیرهای بازاری را نیز افزودند. چاوا و جارو (2004) لزوم کنترل اثر صنعت را نشان دادند. این پژوهش‌ها نشان می‌دهند که متغیرهای مبتنی بر جریان نقد و اهرم از قوی‌ترین پیش‌بین‌ها هستند.</w:t>
      </w:r>
    </w:p>
    <w:bookmarkEnd w:id="27"/>
    <w:bookmarkStart w:id="28" w:name="کیفیت-گزارشگری-حسابرسی-و-قراردادهای-بدهی"/>
    <w:p>
      <w:pPr>
        <w:bidi/>
        <w:pStyle w:val="Heading2"/>
        <w:jc w:val="left"/>
      </w:pPr>
      <w:r>
        <w:rPr>
          <w:rFonts w:cs="B Nazanin"/>
          <w:rtl/>
          <w:szCs w:val="26"/>
        </w:rPr>
        <w:t xml:space="preserve">۲-۴. کیفیت گزارشگری، حسابرسی و قراردادهای بدهی</w:t>
      </w:r>
    </w:p>
    <w:p>
      <w:pPr>
        <w:bidi/>
        <w:jc w:val="left"/>
      </w:pPr>
      <w:r>
        <w:rPr>
          <w:rFonts w:cs="B Nazanin"/>
          <w:rtl/>
          <w:szCs w:val="26"/>
        </w:rPr>
        <w:t xml:space="preserve">بارث، ساندر و ساندر (2008) نشان دادند که کیفیت اقلام تعهدی اطلاعات مفیدتری برای بستانکاران فراهم و هزینه بدهی را کاهش می‌دهد. گراهام، لی و کیو (2008) و کیم، سونگ و ژانگ (2011) و کاستلو و ویتنبرگ‌ـ‌مورمن (2011) نیز نشان دادند که ضعف گزارشگری و کنترل داخلی با شرایط نامساعدتر وام و بندهای سخت‌گیرانه‌تر همراه است. بنابراین قدرت پیش‌بینی هر معیار حسابداری به قابلیت اتکای آن وابسته است. حسابرسی مستقل با کاهش خطای اندازه‌گیری، این قابلیت را افزایش می‌دهد (DeAngelo, 1981; DeFond &amp; Zhang, 2014). همچنین دچو، اسلون و سوئینی (1995) و دچو و دیچف (2002) نشان دادند که دستکاری سود و کیفیت اقلام تعهدی، محتوای اطلاعاتی سود را تغییر می‌دهد. سوئینی (1994) و دیفوند و جیامبالو (1994) نشان دادند که مدیران در آستانه نقض بندها، اقلام تعهدی را دستکاری می‌کنند؛ از این رو بندهای مبتنی بر سود در معرض دستکاری‌اند و بندهای مبتنی بر جریان نقد، یا معیارهای کم‌دستکاری‌پذیر، ارجح می‌شوند.</w:t>
      </w:r>
    </w:p>
    <w:bookmarkEnd w:id="28"/>
    <w:bookmarkStart w:id="29" w:name="روشهای-انتخاب-متغیر-و-ارزیابی-مدل"/>
    <w:p>
      <w:pPr>
        <w:bidi/>
        <w:pStyle w:val="Heading2"/>
        <w:jc w:val="left"/>
      </w:pPr>
      <w:r>
        <w:rPr>
          <w:rFonts w:cs="B Nazanin"/>
          <w:rtl/>
          <w:szCs w:val="26"/>
        </w:rPr>
        <w:t xml:space="preserve">۲-۵. روش‌های انتخاب متغیر و ارزیابی مدل</w:t>
      </w:r>
    </w:p>
    <w:p>
      <w:pPr>
        <w:bidi/>
        <w:jc w:val="left"/>
      </w:pPr>
      <w:r>
        <w:rPr>
          <w:rFonts w:cs="B Nazanin"/>
          <w:rtl/>
          <w:szCs w:val="26"/>
        </w:rPr>
        <w:t xml:space="preserve">لاسو (Tibshirani, 1996) با جریمه نُرم ℓ۱ ضرایب کم‌اهمیت را صفر می‌کند و انتخاب متغیر و برآورد را هم‌زمان انجام می‌دهد؛ فریدمن، هستی و تبشیرانی (2010) الگوریتم کارای برآورد مدل‌های خطی تعمیم‌یافته با این جریمه را ارائه کردند. برای ارزیابی مدل‌های دوحالتی، منحنی ROC و مساحت زیر آن (AUC) معیار استاندارد است (Hanley &amp; McNeil, 1982; Fawcett, 2006) و دیلانگ، دیلانگ و کلارک‌ـ‌پیرسون (1988) آزمونی برای مقایسه AUC همبسته ارائه کردند. یودن (1950) شاخص انتخاب نقطه برش را معرفی کرد. برای کالیبراسیون، آزمون هاسمر و لمشو (2000) و امتیاز برایر (1950) متداول است.</w:t>
      </w:r>
    </w:p>
    <w:bookmarkEnd w:id="29"/>
    <w:bookmarkEnd w:id="30"/>
    <w:bookmarkStart w:id="31" w:name="توسعه-فرضیهها"/>
    <w:p>
      <w:pPr>
        <w:bidi/>
        <w:pStyle w:val="Heading1"/>
        <w:jc w:val="left"/>
      </w:pPr>
      <w:r>
        <w:rPr>
          <w:rFonts w:cs="B Nazanin"/>
          <w:rtl/>
          <w:szCs w:val="26"/>
        </w:rPr>
        <w:t xml:space="preserve">۳. توسعه فرضیه‌ها</w:t>
      </w:r>
    </w:p>
    <w:p>
      <w:pPr>
        <w:bidi/>
        <w:jc w:val="left"/>
      </w:pPr>
      <w:r>
        <w:rPr>
          <w:rFonts w:cs="B Nazanin"/>
          <w:rtl/>
          <w:szCs w:val="26"/>
        </w:rPr>
        <w:t xml:space="preserve">بیور (1966) و ادبیات بعد از آن نشان می‌دهند که جریان نقد عملیاتی نسبت به سود حسابداری پیش‌بین بهتری برای نکول است، زیرا دستکاری اقلام تعهدی در آن اثر کمتری دارد (Dechow et al., 1995; Sweeney, 1994). بنابراین:</w:t>
      </w:r>
    </w:p>
    <w:p>
      <w:pPr>
        <w:bidi/>
        <w:jc w:val="left"/>
      </w:pPr>
      <w:r>
        <w:rPr>
          <w:rFonts w:cs="B Nazanin"/>
          <w:rtl/>
          <w:bCs/>
          <w:b/>
          <w:szCs w:val="26"/>
        </w:rPr>
        <w:t xml:space="preserve">فرضیه ۱:</w:t>
      </w:r>
      <w:r>
        <w:rPr>
          <w:rFonts w:cs="B Nazanin"/>
          <w:rtl/>
          <w:szCs w:val="26"/>
        </w:rPr>
        <w:t xml:space="preserve"> </w:t>
      </w:r>
      <w:r>
        <w:rPr>
          <w:rFonts w:cs="B Nazanin"/>
          <w:rtl/>
          <w:szCs w:val="26"/>
        </w:rPr>
        <w:t xml:space="preserve">معیارهای مبتنی بر جریان نقد از معیارهای مبتنی بر سود و ترازنامه قدرت پیش‌بینی نکول بالاتری (AUC بیشتر) دارند.</w:t>
      </w:r>
    </w:p>
    <w:p>
      <w:pPr>
        <w:bidi/>
        <w:jc w:val="left"/>
      </w:pPr>
      <w:r>
        <w:rPr>
          <w:rFonts w:cs="B Nazanin"/>
          <w:rtl/>
          <w:szCs w:val="26"/>
        </w:rPr>
        <w:t xml:space="preserve">انحراف مصرف تسهیلات، اطلاعاتی درباره رفتار وام‌گیرنده می‌دهد که نسبت‌های سنتی اندازه نمی‌گیرند (Jensen &amp; Meckling, 1976). بنابراین:</w:t>
      </w:r>
    </w:p>
    <w:p>
      <w:pPr>
        <w:bidi/>
        <w:jc w:val="left"/>
      </w:pPr>
      <w:r>
        <w:rPr>
          <w:rFonts w:cs="B Nazanin"/>
          <w:rtl/>
          <w:bCs/>
          <w:b/>
          <w:szCs w:val="26"/>
        </w:rPr>
        <w:t xml:space="preserve">فرضیه ۲:</w:t>
      </w:r>
      <w:r>
        <w:rPr>
          <w:rFonts w:cs="B Nazanin"/>
          <w:rtl/>
          <w:szCs w:val="26"/>
        </w:rPr>
        <w:t xml:space="preserve"> </w:t>
      </w:r>
      <w:r>
        <w:rPr>
          <w:rFonts w:cs="B Nazanin"/>
          <w:rtl/>
          <w:szCs w:val="26"/>
        </w:rPr>
        <w:t xml:space="preserve">افزودن شاخص DIV به مجموعه معیارهای سنتی، قدرت پیش‌بینی را به‌طور معنادار افزایش می‌دهد.</w:t>
      </w:r>
    </w:p>
    <w:p>
      <w:pPr>
        <w:bidi/>
        <w:jc w:val="left"/>
      </w:pPr>
      <w:r>
        <w:rPr>
          <w:rFonts w:cs="B Nazanin"/>
          <w:rtl/>
          <w:szCs w:val="26"/>
        </w:rPr>
        <w:t xml:space="preserve">ساختار دارایی و ریسک در صنایع متفاوت است؛ چاوا و جارو (2004) نشان دادند که اثر صنعت در پیش‌بینی ورشکستگی تعیین‌کننده است. بنابراین:</w:t>
      </w:r>
    </w:p>
    <w:p>
      <w:pPr>
        <w:bidi/>
        <w:jc w:val="left"/>
      </w:pPr>
      <w:r>
        <w:rPr>
          <w:rFonts w:cs="B Nazanin"/>
          <w:rtl/>
          <w:bCs/>
          <w:b/>
          <w:szCs w:val="26"/>
        </w:rPr>
        <w:t xml:space="preserve">فرضیه ۳:</w:t>
      </w:r>
      <w:r>
        <w:rPr>
          <w:rFonts w:cs="B Nazanin"/>
          <w:rtl/>
          <w:szCs w:val="26"/>
        </w:rPr>
        <w:t xml:space="preserve"> </w:t>
      </w:r>
      <w:r>
        <w:rPr>
          <w:rFonts w:cs="B Nazanin"/>
          <w:rtl/>
          <w:szCs w:val="26"/>
        </w:rPr>
        <w:t xml:space="preserve">آستانه‌های بهینه معیارها میان صنایع تفاوت معنادار دارند و آستانه‌های ویژه صنعت از آستانه واحد عملکرد بهتری دارند.</w:t>
      </w:r>
    </w:p>
    <w:p>
      <w:pPr>
        <w:bidi/>
        <w:jc w:val="left"/>
      </w:pPr>
      <w:r>
        <w:rPr>
          <w:rFonts w:cs="B Nazanin"/>
          <w:rtl/>
          <w:szCs w:val="26"/>
        </w:rPr>
        <w:t xml:space="preserve">اطلاعات حسابداری هنگامی ارزشمندند که قابل‌اتکا باشند (Bharath et al., 2008)؛ حسابرسی با کیفیت از طریق کاهش خطای اندازه‌گیری، این اتکاپذیری را افزایش می‌دهد. بنابراین:</w:t>
      </w:r>
    </w:p>
    <w:p>
      <w:pPr>
        <w:bidi/>
        <w:jc w:val="left"/>
      </w:pPr>
      <w:r>
        <w:rPr>
          <w:rFonts w:cs="B Nazanin"/>
          <w:rtl/>
          <w:bCs/>
          <w:b/>
          <w:szCs w:val="26"/>
        </w:rPr>
        <w:t xml:space="preserve">فرضیه ۴:</w:t>
      </w:r>
      <w:r>
        <w:rPr>
          <w:rFonts w:cs="B Nazanin"/>
          <w:rtl/>
          <w:szCs w:val="26"/>
        </w:rPr>
        <w:t xml:space="preserve"> </w:t>
      </w:r>
      <w:r>
        <w:rPr>
          <w:rFonts w:cs="B Nazanin"/>
          <w:rtl/>
          <w:szCs w:val="26"/>
        </w:rPr>
        <w:t xml:space="preserve">قدرت پیش‌بینی معیارهای حسابداری در شرکت‌های با کیفیت حسابرسی بالاتر، بیشتر است.</w:t>
      </w:r>
    </w:p>
    <w:bookmarkEnd w:id="31"/>
    <w:bookmarkStart w:id="44" w:name="روششناسی-پژوهش"/>
    <w:p>
      <w:pPr>
        <w:bidi/>
        <w:pStyle w:val="Heading1"/>
        <w:jc w:val="left"/>
      </w:pPr>
      <w:r>
        <w:rPr>
          <w:rFonts w:cs="B Nazanin"/>
          <w:rtl/>
          <w:szCs w:val="26"/>
        </w:rPr>
        <w:t xml:space="preserve">۴. روش‌شناسی پژوهش</w:t>
      </w:r>
    </w:p>
    <w:bookmarkStart w:id="32" w:name="نوع-پژوهش-جامعه-و-نمونه"/>
    <w:p>
      <w:pPr>
        <w:bidi/>
        <w:pStyle w:val="Heading2"/>
        <w:jc w:val="left"/>
      </w:pPr>
      <w:r>
        <w:rPr>
          <w:rFonts w:cs="B Nazanin"/>
          <w:rtl/>
          <w:szCs w:val="26"/>
        </w:rPr>
        <w:t xml:space="preserve">۴-۱. نوع پژوهش، جامعه و نمونه</w:t>
      </w:r>
    </w:p>
    <w:p>
      <w:pPr>
        <w:bidi/>
        <w:jc w:val="left"/>
      </w:pPr>
      <w:r>
        <w:rPr>
          <w:rFonts w:cs="B Nazanin"/>
          <w:rtl/>
          <w:szCs w:val="26"/>
        </w:rPr>
        <w:t xml:space="preserve">پژوهش کاربردی و از نظر روش، توصیفی ـ همبستگی و پس‌رویدادی با داده‌های تابلویی است. جامعه شامل شرکت‌های پذیرفته‌شده در بورس اوراق بهادار تهران و فرابورس ایران در سال‌های ۱۳۹۳ تا ۱۴۰۲ است. با روش حذف سیستماتیک، شرکت‌هایی انتخاب می‌شوند که: سال مالی آنها به ۲۹ اسفند ختم شود و تغییر سال مالی نداشته باشند؛ بانک، بیمه، لیزینگ، شرکت سرمایه‌گذاری و هلدینگ نباشند؛ داده‌های لازم برای محاسبه متغیرها را داشته باشند؛ و در دوره پژوهش تسهیلات مالی افشا کرده باشند. متغیرهای پیوسته در صدک‌های ۱ و ۹۹ وینزورایز می‌شوند.</w:t>
      </w:r>
    </w:p>
    <w:p>
      <w:pPr>
        <w:bidi/>
        <w:jc w:val="left"/>
      </w:pPr>
      <w:r>
        <w:rPr>
          <w:rFonts w:cs="B Nazanin"/>
          <w:rtl/>
          <w:szCs w:val="26"/>
        </w:rPr>
        <w:t xml:space="preserve">داده‌ها از صورت‌های مالی حسابرسی‌شده و یادداشت‌های توضیحی در سامانه کدال، پایگاه‌های رهاورد نوین و تدبیرپرداز و داده‌های مالکیت و حسابرس منتشرشده استخراج می‌شود.</w:t>
      </w:r>
    </w:p>
    <w:bookmarkEnd w:id="32"/>
    <w:bookmarkStart w:id="33" w:name="متغیر-وابسته"/>
    <w:p>
      <w:pPr>
        <w:bidi/>
        <w:pStyle w:val="Heading2"/>
        <w:jc w:val="left"/>
      </w:pPr>
      <w:r>
        <w:rPr>
          <w:rFonts w:cs="B Nazanin"/>
          <w:rtl/>
          <w:szCs w:val="26"/>
        </w:rPr>
        <w:t xml:space="preserve">۴-۲. متغیر وابسته</w:t>
      </w:r>
    </w:p>
    <w:p>
      <w:pPr>
        <w:bidi/>
        <w:jc w:val="left"/>
      </w:pPr>
      <w:r>
        <w:rPr>
          <w:rFonts w:cs="B Nazanin"/>
          <w:rtl/>
          <w:szCs w:val="26"/>
        </w:rPr>
        <w:t xml:space="preserve">متغیر وابسته</w:t>
      </w:r>
      <w:r>
        <w:rPr>
          <w:rFonts w:cs="B Nazanin"/>
          <w:rtl/>
          <w:szCs w:val="26"/>
        </w:rPr>
        <w:t xml:space="preserve"> </w:t>
      </w:r>
      <m:oMath>
        <m:r>
          <m:t>D</m:t>
        </m:r>
        <m:r>
          <m:t>E</m:t>
        </m:r>
        <m:sSub>
          <m:e>
            <m:r>
              <m:t>F</m:t>
            </m:r>
          </m:e>
          <m:sub>
            <m:r>
              <m:t>i</m:t>
            </m:r>
            <m:r>
              <m:rPr>
                <m:sty m:val="p"/>
              </m:rPr>
              <m:t>,</m:t>
            </m:r>
            <m:r>
              <m:t>t</m:t>
            </m:r>
            <m:r>
              <m:rPr>
                <m:sty m:val="p"/>
              </m:rPr>
              <m:t>+</m:t>
            </m:r>
            <m:r>
              <m:t>1</m:t>
            </m:r>
          </m:sub>
        </m:sSub>
      </m:oMath>
      <w:r>
        <w:rPr>
          <w:rFonts w:cs="B Nazanin"/>
          <w:rtl/>
          <w:szCs w:val="26"/>
        </w:rPr>
        <w:t xml:space="preserve"> </w:t>
      </w:r>
      <w:r>
        <w:rPr>
          <w:rFonts w:cs="B Nazanin"/>
          <w:rtl/>
          <w:szCs w:val="26"/>
        </w:rPr>
        <w:t xml:space="preserve">دوتایی است و در سال</w:t>
      </w:r>
      <w:r>
        <w:rPr>
          <w:rFonts w:cs="B Nazanin"/>
          <w:rtl/>
          <w:szCs w:val="26"/>
        </w:rPr>
        <w:t xml:space="preserve"> </w:t>
      </w:r>
      <m:oMath>
        <m:r>
          <m:t>t</m:t>
        </m:r>
        <m:r>
          <m:rPr>
            <m:sty m:val="p"/>
          </m:rPr>
          <m:t>+</m:t>
        </m:r>
        <m:r>
          <m:t>1</m:t>
        </m:r>
      </m:oMath>
      <w:r>
        <w:rPr>
          <w:rFonts w:cs="B Nazanin"/>
          <w:rtl/>
          <w:szCs w:val="26"/>
        </w:rPr>
        <w:t xml:space="preserve"> </w:t>
      </w:r>
      <w:r>
        <w:rPr>
          <w:rFonts w:cs="B Nazanin"/>
          <w:rtl/>
          <w:szCs w:val="26"/>
        </w:rPr>
        <w:t xml:space="preserve">مقدار یک می‌گیرد، اگر دست‌کم یکی از شرایط زیر محقق شود. تعریف‌های جداگانه برای استحکام نیز به‌کار می‌رود:</w:t>
      </w:r>
    </w:p>
    <w:p>
      <w:pPr>
        <w:bidi/>
        <w:jc w:val="left"/>
      </w:pPr>
      <w:r>
        <w:rPr>
          <w:rFonts w:cs="B Nazanin"/>
          <w:rtl/>
          <w:szCs w:val="26"/>
        </w:rPr>
        <w:t xml:space="preserve">۱.</w:t>
      </w:r>
      <w:r>
        <w:rPr>
          <w:rFonts w:cs="B Nazanin"/>
          <w:rtl/>
          <w:szCs w:val="26"/>
        </w:rPr>
        <w:t xml:space="preserve"> </w:t>
      </w:r>
      <w:r>
        <w:rPr>
          <w:rFonts w:cs="B Nazanin"/>
          <w:rtl/>
          <w:bCs/>
          <w:b/>
          <w:szCs w:val="26"/>
        </w:rPr>
        <w:t xml:space="preserve">DEF_141:</w:t>
      </w:r>
      <w:r>
        <w:rPr>
          <w:rFonts w:cs="B Nazanin"/>
          <w:rtl/>
          <w:szCs w:val="26"/>
        </w:rPr>
        <w:t xml:space="preserve"> </w:t>
      </w:r>
      <w:r>
        <w:rPr>
          <w:rFonts w:cs="B Nazanin"/>
          <w:rtl/>
          <w:szCs w:val="26"/>
        </w:rPr>
        <w:t xml:space="preserve">شمول ماده ۱۴۱ قانون تجارت: زیان انباشته بیش از نصف سرمایه ثبتی (Altman, 1968 به‌عنوان مرجع مفهوم آشفتگی مالی؛ ماده ۱۴۱ به‌عنوان ملاک قانونی ایران).</w:t>
      </w:r>
      <w:r>
        <w:rPr>
          <w:rFonts w:cs="B Nazanin"/>
          <w:rtl/>
          <w:szCs w:val="26"/>
        </w:rPr>
        <w:t xml:space="preserve"> </w:t>
      </w:r>
      <w:r>
        <w:rPr>
          <w:rFonts w:cs="B Nazanin"/>
          <w:rtl/>
          <w:szCs w:val="26"/>
        </w:rPr>
        <w:t xml:space="preserve">۲.</w:t>
      </w:r>
      <w:r>
        <w:rPr>
          <w:rFonts w:cs="B Nazanin"/>
          <w:rtl/>
          <w:szCs w:val="26"/>
        </w:rPr>
        <w:t xml:space="preserve"> </w:t>
      </w:r>
      <w:r>
        <w:rPr>
          <w:rFonts w:cs="B Nazanin"/>
          <w:rtl/>
          <w:bCs/>
          <w:b/>
          <w:szCs w:val="26"/>
        </w:rPr>
        <w:t xml:space="preserve">DEF_BANK:</w:t>
      </w:r>
      <w:r>
        <w:rPr>
          <w:rFonts w:cs="B Nazanin"/>
          <w:rtl/>
          <w:szCs w:val="26"/>
        </w:rPr>
        <w:t xml:space="preserve"> </w:t>
      </w:r>
      <w:r>
        <w:rPr>
          <w:rFonts w:cs="B Nazanin"/>
          <w:rtl/>
          <w:szCs w:val="26"/>
        </w:rPr>
        <w:t xml:space="preserve">تسهیلات سررسیدگذشته افشاشده در یادداشت‌ها بیش از ۱۰٪ مانده تسهیلات، یا افشای جرائم دیرکرد قابل‌توجه (بیش از ۲٪ کل بدهی‌های بهره‌دار) [آستانه‌ها قابل تغییرند].</w:t>
      </w:r>
      <w:r>
        <w:rPr>
          <w:rFonts w:cs="B Nazanin"/>
          <w:rtl/>
          <w:szCs w:val="26"/>
        </w:rPr>
        <w:t xml:space="preserve"> </w:t>
      </w:r>
      <w:r>
        <w:rPr>
          <w:rFonts w:cs="B Nazanin"/>
          <w:rtl/>
          <w:szCs w:val="26"/>
        </w:rPr>
        <w:t xml:space="preserve">۳.</w:t>
      </w:r>
      <w:r>
        <w:rPr>
          <w:rFonts w:cs="B Nazanin"/>
          <w:rtl/>
          <w:szCs w:val="26"/>
        </w:rPr>
        <w:t xml:space="preserve"> </w:t>
      </w:r>
      <w:r>
        <w:rPr>
          <w:rFonts w:cs="B Nazanin"/>
          <w:rtl/>
          <w:bCs/>
          <w:b/>
          <w:szCs w:val="26"/>
        </w:rPr>
        <w:t xml:space="preserve">DEF_Z:</w:t>
      </w:r>
      <w:r>
        <w:rPr>
          <w:rFonts w:cs="B Nazanin"/>
          <w:rtl/>
          <w:szCs w:val="26"/>
        </w:rPr>
        <w:t xml:space="preserve"> </w:t>
      </w:r>
      <w:r>
        <w:rPr>
          <w:rFonts w:cs="B Nazanin"/>
          <w:rtl/>
          <w:szCs w:val="26"/>
        </w:rPr>
        <w:t xml:space="preserve">نمره زد تعدیل‌شده آلتمن برای بازارهای نوظهور کمتر از ۱٫۱ (Altman et al., 1995):</w:t>
      </w:r>
    </w:p>
    <w:p>
      <w:pPr>
        <w:bidi/>
        <w:jc w:val="left"/>
      </w:pPr>
      <m:oMathPara>
        <m:oMathParaPr>
          <m:jc m:val="center"/>
        </m:oMathParaPr>
        <m:oMath>
          <m:r>
            <m:t>Z</m:t>
          </m:r>
          <m:r>
            <m:rPr>
              <m:sty m:val="p"/>
            </m:rPr>
            <m:t>″</m:t>
          </m:r>
          <m:r>
            <m:rPr>
              <m:sty m:val="p"/>
            </m:rPr>
            <m:t>=</m:t>
          </m:r>
          <m:r>
            <m:t>6.56</m:t>
          </m:r>
          <m:sSub>
            <m:e>
              <m:r>
                <m:t>X</m:t>
              </m:r>
            </m:e>
            <m:sub>
              <m:r>
                <m:t>1</m:t>
              </m:r>
            </m:sub>
          </m:sSub>
          <m:r>
            <m:rPr>
              <m:sty m:val="p"/>
            </m:rPr>
            <m:t>+</m:t>
          </m:r>
          <m:r>
            <m:t>3.26</m:t>
          </m:r>
          <m:sSub>
            <m:e>
              <m:r>
                <m:t>X</m:t>
              </m:r>
            </m:e>
            <m:sub>
              <m:r>
                <m:t>2</m:t>
              </m:r>
            </m:sub>
          </m:sSub>
          <m:r>
            <m:rPr>
              <m:sty m:val="p"/>
            </m:rPr>
            <m:t>+</m:t>
          </m:r>
          <m:r>
            <m:t>6.72</m:t>
          </m:r>
          <m:sSub>
            <m:e>
              <m:r>
                <m:t>X</m:t>
              </m:r>
            </m:e>
            <m:sub>
              <m:r>
                <m:t>3</m:t>
              </m:r>
            </m:sub>
          </m:sSub>
          <m:r>
            <m:rPr>
              <m:sty m:val="p"/>
            </m:rPr>
            <m:t>+</m:t>
          </m:r>
          <m:r>
            <m:t>1.05</m:t>
          </m:r>
          <m:sSub>
            <m:e>
              <m:r>
                <m:t>X</m:t>
              </m:r>
            </m:e>
            <m:sub>
              <m:r>
                <m:t>4</m:t>
              </m:r>
            </m:sub>
          </m:sSub>
        </m:oMath>
      </m:oMathPara>
    </w:p>
    <w:p>
      <w:pPr>
        <w:bidi/>
        <w:jc w:val="left"/>
      </w:pPr>
      <w:r>
        <w:rPr>
          <w:rFonts w:cs="B Nazanin"/>
          <w:rtl/>
          <w:szCs w:val="26"/>
        </w:rPr>
        <w:t xml:space="preserve">که</w:t>
      </w:r>
      <w:r>
        <w:rPr>
          <w:rFonts w:cs="B Nazanin"/>
          <w:rtl/>
          <w:szCs w:val="26"/>
        </w:rPr>
        <w:t xml:space="preserve"> </w:t>
      </w:r>
      <m:oMath>
        <m:sSub>
          <m:e>
            <m:r>
              <m:t>X</m:t>
            </m:r>
          </m:e>
          <m:sub>
            <m:r>
              <m:t>1</m:t>
            </m:r>
          </m:sub>
        </m:sSub>
      </m:oMath>
      <w:r>
        <w:rPr>
          <w:rFonts w:cs="B Nazanin"/>
          <w:rtl/>
          <w:szCs w:val="26"/>
        </w:rPr>
        <w:t xml:space="preserve"> </w:t>
      </w:r>
      <w:r>
        <w:rPr>
          <w:rFonts w:cs="B Nazanin"/>
          <w:rtl/>
          <w:szCs w:val="26"/>
        </w:rPr>
        <w:t xml:space="preserve">سرمایه در گردش به کل دارایی‌ها،</w:t>
      </w:r>
      <w:r>
        <w:rPr>
          <w:rFonts w:cs="B Nazanin"/>
          <w:rtl/>
          <w:szCs w:val="26"/>
        </w:rPr>
        <w:t xml:space="preserve"> </w:t>
      </w:r>
      <m:oMath>
        <m:sSub>
          <m:e>
            <m:r>
              <m:t>X</m:t>
            </m:r>
          </m:e>
          <m:sub>
            <m:r>
              <m:t>2</m:t>
            </m:r>
          </m:sub>
        </m:sSub>
      </m:oMath>
      <w:r>
        <w:rPr>
          <w:rFonts w:cs="B Nazanin"/>
          <w:rtl/>
          <w:szCs w:val="26"/>
        </w:rPr>
        <w:t xml:space="preserve"> </w:t>
      </w:r>
      <w:r>
        <w:rPr>
          <w:rFonts w:cs="B Nazanin"/>
          <w:rtl/>
          <w:szCs w:val="26"/>
        </w:rPr>
        <w:t xml:space="preserve">سود انباشته به کل دارایی‌ها،</w:t>
      </w:r>
      <w:r>
        <w:rPr>
          <w:rFonts w:cs="B Nazanin"/>
          <w:rtl/>
          <w:szCs w:val="26"/>
        </w:rPr>
        <w:t xml:space="preserve"> </w:t>
      </w:r>
      <m:oMath>
        <m:sSub>
          <m:e>
            <m:r>
              <m:t>X</m:t>
            </m:r>
          </m:e>
          <m:sub>
            <m:r>
              <m:t>3</m:t>
            </m:r>
          </m:sub>
        </m:sSub>
      </m:oMath>
      <w:r>
        <w:rPr>
          <w:rFonts w:cs="B Nazanin"/>
          <w:rtl/>
          <w:szCs w:val="26"/>
        </w:rPr>
        <w:t xml:space="preserve"> </w:t>
      </w:r>
      <w:r>
        <w:rPr>
          <w:rFonts w:cs="B Nazanin"/>
          <w:rtl/>
          <w:szCs w:val="26"/>
        </w:rPr>
        <w:t xml:space="preserve">سود قبل از بهره و مالیات به کل دارایی‌ها و</w:t>
      </w:r>
      <w:r>
        <w:rPr>
          <w:rFonts w:cs="B Nazanin"/>
          <w:rtl/>
          <w:szCs w:val="26"/>
        </w:rPr>
        <w:t xml:space="preserve"> </w:t>
      </w:r>
      <m:oMath>
        <m:sSub>
          <m:e>
            <m:r>
              <m:t>X</m:t>
            </m:r>
          </m:e>
          <m:sub>
            <m:r>
              <m:t>4</m:t>
            </m:r>
          </m:sub>
        </m:sSub>
      </m:oMath>
      <w:r>
        <w:rPr>
          <w:rFonts w:cs="B Nazanin"/>
          <w:rtl/>
          <w:szCs w:val="26"/>
        </w:rPr>
        <w:t xml:space="preserve"> </w:t>
      </w:r>
      <w:r>
        <w:rPr>
          <w:rFonts w:cs="B Nazanin"/>
          <w:rtl/>
          <w:szCs w:val="26"/>
        </w:rPr>
        <w:t xml:space="preserve">ارزش دفتری حقوق صاحبان سهام به کل بدهی‌هاست. متغیر وابسته اصلی ترکیب یای منطقی DEF_141 و DEF_BANK است و DEF_Z در تحلیل‌های حساسیت استفاده می‌شود تا نمره زد هم‌زمان متغیر مستقل و وابسته نباشد.</w:t>
      </w:r>
    </w:p>
    <w:bookmarkEnd w:id="33"/>
    <w:bookmarkStart w:id="34" w:name="معیارهای-حسابداری-کاندید"/>
    <w:p>
      <w:pPr>
        <w:bidi/>
        <w:pStyle w:val="Heading2"/>
        <w:jc w:val="left"/>
      </w:pPr>
      <w:r>
        <w:rPr>
          <w:rFonts w:cs="B Nazanin"/>
          <w:rtl/>
          <w:szCs w:val="26"/>
        </w:rPr>
        <w:t xml:space="preserve">۴-۳. معیارهای حسابداری کاندید</w:t>
      </w:r>
    </w:p>
    <w:p>
      <w:pPr>
        <w:bidi/>
        <w:jc w:val="left"/>
      </w:pPr>
      <w:r>
        <w:rPr>
          <w:rFonts w:cs="B Nazanin"/>
          <w:rtl/>
          <w:szCs w:val="26"/>
        </w:rPr>
        <w:t xml:space="preserve">چهارده معیار در جدول زیر اندازه‌گیری و ارجاع داده شده‌اند. تمام اقلام با دارایی‌های پایان یا ابتدای دوره مقیاس می‌شوند و</w:t>
      </w:r>
      <w:r>
        <w:rPr>
          <w:rFonts w:cs="B Nazanin"/>
          <w:rtl/>
          <w:szCs w:val="26"/>
        </w:rPr>
        <w:t xml:space="preserve"> </w:t>
      </w:r>
      <m:oMath>
        <m:r>
          <m:t>t</m:t>
        </m:r>
      </m:oMath>
      <w:r>
        <w:rPr>
          <w:rFonts w:cs="B Nazanin"/>
          <w:rtl/>
          <w:szCs w:val="26"/>
        </w:rPr>
        <w:t xml:space="preserve"> </w:t>
      </w:r>
      <w:r>
        <w:rPr>
          <w:rFonts w:cs="B Nazanin"/>
          <w:rtl/>
          <w:szCs w:val="26"/>
        </w:rPr>
        <w:t xml:space="preserve">سال جاری است.</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tl/>
              </w:rPr>
              <w:t xml:space="preserve">ردیف</w:t>
            </w:r>
          </w:p>
        </w:tc>
        <w:tc>
          <w:tcPr/>
          <w:p>
            <w:pPr>
              <w:pStyle w:val="Compact"/>
              <w:jc w:val="left"/>
            </w:pPr>
            <w:r>
              <w:rPr>
                <w:rtl/>
              </w:rPr>
              <w:t xml:space="preserve">معیار</w:t>
            </w:r>
          </w:p>
        </w:tc>
        <w:tc>
          <w:tcPr/>
          <w:p>
            <w:pPr>
              <w:pStyle w:val="Compact"/>
              <w:jc w:val="left"/>
            </w:pPr>
            <w:r>
              <w:rPr>
                <w:rtl/>
              </w:rPr>
              <w:t xml:space="preserve">نماد</w:t>
            </w:r>
          </w:p>
        </w:tc>
        <w:tc>
          <w:tcPr/>
          <w:p>
            <w:pPr>
              <w:pStyle w:val="Compact"/>
              <w:jc w:val="left"/>
            </w:pPr>
            <w:r>
              <w:rPr>
                <w:rtl/>
              </w:rPr>
              <w:t xml:space="preserve">اندازه‌گیری</w:t>
            </w:r>
          </w:p>
        </w:tc>
        <w:tc>
          <w:tcPr/>
          <w:p>
            <w:pPr>
              <w:pStyle w:val="Compact"/>
              <w:jc w:val="left"/>
            </w:pPr>
            <w:r>
              <w:rPr>
                <w:rtl/>
              </w:rPr>
              <w:t xml:space="preserve">مرجع</w:t>
            </w:r>
          </w:p>
        </w:tc>
      </w:tr>
      <w:tr>
        <w:tc>
          <w:tcPr/>
          <w:p>
            <w:pPr>
              <w:pStyle w:val="Compact"/>
              <w:jc w:val="left"/>
            </w:pPr>
            <w:r>
              <w:rPr>
                <w:rtl/>
              </w:rPr>
              <w:t xml:space="preserve">۱</w:t>
            </w:r>
          </w:p>
        </w:tc>
        <w:tc>
          <w:tcPr/>
          <w:p>
            <w:pPr>
              <w:pStyle w:val="Compact"/>
              <w:jc w:val="left"/>
            </w:pPr>
            <w:r>
              <w:rPr>
                <w:rtl/>
              </w:rPr>
              <w:t xml:space="preserve">نسبت جاری</w:t>
            </w:r>
          </w:p>
        </w:tc>
        <w:tc>
          <w:tcPr/>
          <w:p>
            <w:pPr>
              <w:pStyle w:val="Compact"/>
              <w:jc w:val="left"/>
            </w:pPr>
            <w:r>
              <w:rPr>
                <w:rtl/>
              </w:rPr>
              <w:t xml:space="preserve">CR</w:t>
            </w:r>
          </w:p>
        </w:tc>
        <w:tc>
          <w:tcPr/>
          <w:p>
            <w:pPr>
              <w:pStyle w:val="Compact"/>
              <w:jc w:val="left"/>
            </w:pPr>
            <w:r>
              <w:rPr>
                <w:rtl/>
              </w:rPr>
              <w:t xml:space="preserve">دارایی‌های جاری ÷ بدهی‌های جاری</w:t>
            </w:r>
          </w:p>
        </w:tc>
        <w:tc>
          <w:tcPr/>
          <w:p>
            <w:pPr>
              <w:pStyle w:val="Compact"/>
              <w:jc w:val="left"/>
            </w:pPr>
            <w:r>
              <w:rPr>
                <w:rtl/>
              </w:rPr>
              <w:t xml:space="preserve">Beaver (1966)</w:t>
            </w:r>
          </w:p>
        </w:tc>
      </w:tr>
      <w:tr>
        <w:tc>
          <w:tcPr/>
          <w:p>
            <w:pPr>
              <w:pStyle w:val="Compact"/>
              <w:jc w:val="left"/>
            </w:pPr>
            <w:r>
              <w:rPr>
                <w:rtl/>
              </w:rPr>
              <w:t xml:space="preserve">۲</w:t>
            </w:r>
          </w:p>
        </w:tc>
        <w:tc>
          <w:tcPr/>
          <w:p>
            <w:pPr>
              <w:pStyle w:val="Compact"/>
              <w:jc w:val="left"/>
            </w:pPr>
            <w:r>
              <w:rPr>
                <w:rtl/>
              </w:rPr>
              <w:t xml:space="preserve">نسبت آنی</w:t>
            </w:r>
          </w:p>
        </w:tc>
        <w:tc>
          <w:tcPr/>
          <w:p>
            <w:pPr>
              <w:pStyle w:val="Compact"/>
              <w:jc w:val="left"/>
            </w:pPr>
            <w:r>
              <w:rPr>
                <w:rtl/>
              </w:rPr>
              <w:t xml:space="preserve">QR</w:t>
            </w:r>
          </w:p>
        </w:tc>
        <w:tc>
          <w:tcPr/>
          <w:p>
            <w:pPr>
              <w:pStyle w:val="Compact"/>
              <w:jc w:val="left"/>
            </w:pPr>
            <w:r>
              <w:rPr>
                <w:rtl/>
              </w:rPr>
              <w:t xml:space="preserve">(دارایی‌های جاری − موجودی کالا) ÷ بدهی‌های جاری</w:t>
            </w:r>
          </w:p>
        </w:tc>
        <w:tc>
          <w:tcPr/>
          <w:p>
            <w:pPr>
              <w:pStyle w:val="Compact"/>
              <w:jc w:val="left"/>
            </w:pPr>
            <w:r>
              <w:rPr>
                <w:rtl/>
              </w:rPr>
              <w:t xml:space="preserve">Beaver (1966)</w:t>
            </w:r>
          </w:p>
        </w:tc>
      </w:tr>
      <w:tr>
        <w:tc>
          <w:tcPr/>
          <w:p>
            <w:pPr>
              <w:pStyle w:val="Compact"/>
              <w:jc w:val="left"/>
            </w:pPr>
            <w:r>
              <w:rPr>
                <w:rtl/>
              </w:rPr>
              <w:t xml:space="preserve">۳</w:t>
            </w:r>
          </w:p>
        </w:tc>
        <w:tc>
          <w:tcPr/>
          <w:p>
            <w:pPr>
              <w:pStyle w:val="Compact"/>
              <w:jc w:val="left"/>
            </w:pPr>
            <w:r>
              <w:rPr>
                <w:rtl/>
              </w:rPr>
              <w:t xml:space="preserve">سرمایه در گردش</w:t>
            </w:r>
          </w:p>
        </w:tc>
        <w:tc>
          <w:tcPr/>
          <w:p>
            <w:pPr>
              <w:pStyle w:val="Compact"/>
              <w:jc w:val="left"/>
            </w:pPr>
            <w:r>
              <w:rPr>
                <w:rtl/>
              </w:rPr>
              <w:t xml:space="preserve">WC</w:t>
            </w:r>
          </w:p>
        </w:tc>
        <w:tc>
          <w:tcPr/>
          <w:p>
            <w:pPr>
              <w:pStyle w:val="Compact"/>
              <w:jc w:val="left"/>
            </w:pPr>
            <w:r>
              <w:rPr>
                <w:rtl/>
              </w:rPr>
              <w:t xml:space="preserve">(دارایی جاری − بدهی جاری) ÷ کل دارایی‌ها</w:t>
            </w:r>
          </w:p>
        </w:tc>
        <w:tc>
          <w:tcPr/>
          <w:p>
            <w:pPr>
              <w:pStyle w:val="Compact"/>
              <w:jc w:val="left"/>
            </w:pPr>
            <w:r>
              <w:rPr>
                <w:rtl/>
              </w:rPr>
              <w:t xml:space="preserve">Altman (1968)</w:t>
            </w:r>
          </w:p>
        </w:tc>
      </w:tr>
      <w:tr>
        <w:tc>
          <w:tcPr/>
          <w:p>
            <w:pPr>
              <w:pStyle w:val="Compact"/>
              <w:jc w:val="left"/>
            </w:pPr>
            <w:r>
              <w:rPr>
                <w:rtl/>
              </w:rPr>
              <w:t xml:space="preserve">۴</w:t>
            </w:r>
          </w:p>
        </w:tc>
        <w:tc>
          <w:tcPr/>
          <w:p>
            <w:pPr>
              <w:pStyle w:val="Compact"/>
              <w:jc w:val="left"/>
            </w:pPr>
            <w:r>
              <w:rPr>
                <w:rtl/>
              </w:rPr>
              <w:t xml:space="preserve">اهرم مالی</w:t>
            </w:r>
          </w:p>
        </w:tc>
        <w:tc>
          <w:tcPr/>
          <w:p>
            <w:pPr>
              <w:pStyle w:val="Compact"/>
              <w:jc w:val="left"/>
            </w:pPr>
            <w:r>
              <w:rPr>
                <w:rtl/>
              </w:rPr>
              <w:t xml:space="preserve">LEV</w:t>
            </w:r>
          </w:p>
        </w:tc>
        <w:tc>
          <w:tcPr/>
          <w:p>
            <w:pPr>
              <w:pStyle w:val="Compact"/>
              <w:jc w:val="left"/>
            </w:pPr>
            <w:r>
              <w:rPr>
                <w:rtl/>
              </w:rPr>
              <w:t xml:space="preserve">کل بدهی‌ها ÷ کل دارایی‌ها</w:t>
            </w:r>
          </w:p>
        </w:tc>
        <w:tc>
          <w:tcPr/>
          <w:p>
            <w:pPr>
              <w:pStyle w:val="Compact"/>
              <w:jc w:val="left"/>
            </w:pPr>
            <w:r>
              <w:rPr>
                <w:rtl/>
              </w:rPr>
              <w:t xml:space="preserve">Chava &amp; Roberts (2008)</w:t>
            </w:r>
          </w:p>
        </w:tc>
      </w:tr>
      <w:tr>
        <w:tc>
          <w:tcPr/>
          <w:p>
            <w:pPr>
              <w:pStyle w:val="Compact"/>
              <w:jc w:val="left"/>
            </w:pPr>
            <w:r>
              <w:rPr>
                <w:rtl/>
              </w:rPr>
              <w:t xml:space="preserve">۵</w:t>
            </w:r>
          </w:p>
        </w:tc>
        <w:tc>
          <w:tcPr/>
          <w:p>
            <w:pPr>
              <w:pStyle w:val="Compact"/>
              <w:jc w:val="left"/>
            </w:pPr>
            <w:r>
              <w:rPr>
                <w:rtl/>
              </w:rPr>
              <w:t xml:space="preserve">بدهی به سود قبل از بهره، مالیات و استهلاک</w:t>
            </w:r>
          </w:p>
        </w:tc>
        <w:tc>
          <w:tcPr/>
          <w:p>
            <w:pPr>
              <w:pStyle w:val="Compact"/>
              <w:jc w:val="left"/>
            </w:pPr>
            <w:r>
              <w:rPr>
                <w:rtl/>
              </w:rPr>
              <w:t xml:space="preserve">DEBT_EBITDA</w:t>
            </w:r>
          </w:p>
        </w:tc>
        <w:tc>
          <w:tcPr/>
          <w:p>
            <w:pPr>
              <w:pStyle w:val="Compact"/>
              <w:jc w:val="left"/>
            </w:pPr>
            <w:r>
              <w:rPr>
                <w:rtl/>
              </w:rPr>
              <w:t xml:space="preserve">بدهی بهره‌دار ÷ EBITDA</w:t>
            </w:r>
          </w:p>
        </w:tc>
        <w:tc>
          <w:tcPr/>
          <w:p>
            <w:pPr>
              <w:pStyle w:val="Compact"/>
              <w:jc w:val="left"/>
            </w:pPr>
            <w:r>
              <w:rPr>
                <w:rtl/>
              </w:rPr>
              <w:t xml:space="preserve">Bradley &amp; Roberts (2015)</w:t>
            </w:r>
          </w:p>
        </w:tc>
      </w:tr>
      <w:tr>
        <w:tc>
          <w:tcPr/>
          <w:p>
            <w:pPr>
              <w:pStyle w:val="Compact"/>
              <w:jc w:val="left"/>
            </w:pPr>
            <w:r>
              <w:rPr>
                <w:rtl/>
              </w:rPr>
              <w:t xml:space="preserve">۶</w:t>
            </w:r>
          </w:p>
        </w:tc>
        <w:tc>
          <w:tcPr/>
          <w:p>
            <w:pPr>
              <w:pStyle w:val="Compact"/>
              <w:jc w:val="left"/>
            </w:pPr>
            <w:r>
              <w:rPr>
                <w:rtl/>
              </w:rPr>
              <w:t xml:space="preserve">پوشش بهره</w:t>
            </w:r>
          </w:p>
        </w:tc>
        <w:tc>
          <w:tcPr/>
          <w:p>
            <w:pPr>
              <w:pStyle w:val="Compact"/>
              <w:jc w:val="left"/>
            </w:pPr>
            <w:r>
              <w:rPr>
                <w:rtl/>
              </w:rPr>
              <w:t xml:space="preserve">ICR</w:t>
            </w:r>
          </w:p>
        </w:tc>
        <w:tc>
          <w:tcPr/>
          <w:p>
            <w:pPr>
              <w:pStyle w:val="Compact"/>
              <w:jc w:val="left"/>
            </w:pPr>
            <w:r>
              <w:rPr>
                <w:rtl/>
              </w:rPr>
              <w:t xml:space="preserve">سود عملیاتی ÷ هزینه مالی</w:t>
            </w:r>
          </w:p>
        </w:tc>
        <w:tc>
          <w:tcPr/>
          <w:p>
            <w:pPr>
              <w:pStyle w:val="Compact"/>
              <w:jc w:val="left"/>
            </w:pPr>
            <w:r>
              <w:rPr>
                <w:rtl/>
              </w:rPr>
              <w:t xml:space="preserve">Dichev &amp; Skinner (2002)</w:t>
            </w:r>
          </w:p>
        </w:tc>
      </w:tr>
      <w:tr>
        <w:tc>
          <w:tcPr/>
          <w:p>
            <w:pPr>
              <w:pStyle w:val="Compact"/>
              <w:jc w:val="left"/>
            </w:pPr>
            <w:r>
              <w:rPr>
                <w:rtl/>
              </w:rPr>
              <w:t xml:space="preserve">۷</w:t>
            </w:r>
          </w:p>
        </w:tc>
        <w:tc>
          <w:tcPr/>
          <w:p>
            <w:pPr>
              <w:pStyle w:val="Compact"/>
              <w:jc w:val="left"/>
            </w:pPr>
            <w:r>
              <w:rPr>
                <w:rtl/>
              </w:rPr>
              <w:t xml:space="preserve">پوشش بازپرداخت بدهی</w:t>
            </w:r>
          </w:p>
        </w:tc>
        <w:tc>
          <w:tcPr/>
          <w:p>
            <w:pPr>
              <w:pStyle w:val="Compact"/>
              <w:jc w:val="left"/>
            </w:pPr>
            <w:r>
              <w:rPr>
                <w:rtl/>
              </w:rPr>
              <w:t xml:space="preserve">DSCR</w:t>
            </w:r>
          </w:p>
        </w:tc>
        <w:tc>
          <w:tcPr/>
          <w:p>
            <w:pPr>
              <w:pStyle w:val="Compact"/>
              <w:jc w:val="left"/>
            </w:pPr>
            <w:r>
              <w:rPr>
                <w:rtl/>
              </w:rPr>
              <w:t xml:space="preserve">جریان نقد عملیاتی ÷ (هزینه مالی + اقساط جاری تسهیلات)</w:t>
            </w:r>
          </w:p>
        </w:tc>
        <w:tc>
          <w:tcPr/>
          <w:p>
            <w:pPr>
              <w:pStyle w:val="Compact"/>
              <w:jc w:val="left"/>
            </w:pPr>
            <w:r>
              <w:rPr>
                <w:rtl/>
              </w:rPr>
              <w:t xml:space="preserve">Demiroglu &amp; James (2010)</w:t>
            </w:r>
          </w:p>
        </w:tc>
      </w:tr>
      <w:tr>
        <w:tc>
          <w:tcPr/>
          <w:p>
            <w:pPr>
              <w:pStyle w:val="Compact"/>
              <w:jc w:val="left"/>
            </w:pPr>
            <w:r>
              <w:rPr>
                <w:rtl/>
              </w:rPr>
              <w:t xml:space="preserve">۸</w:t>
            </w:r>
          </w:p>
        </w:tc>
        <w:tc>
          <w:tcPr/>
          <w:p>
            <w:pPr>
              <w:pStyle w:val="Compact"/>
              <w:jc w:val="left"/>
            </w:pPr>
            <w:r>
              <w:rPr>
                <w:rtl/>
              </w:rPr>
              <w:t xml:space="preserve">جریان نقد عملیاتی به بدهی</w:t>
            </w:r>
          </w:p>
        </w:tc>
        <w:tc>
          <w:tcPr/>
          <w:p>
            <w:pPr>
              <w:pStyle w:val="Compact"/>
              <w:jc w:val="left"/>
            </w:pPr>
            <w:r>
              <w:rPr>
                <w:rtl/>
              </w:rPr>
              <w:t xml:space="preserve">CFO_TD</w:t>
            </w:r>
          </w:p>
        </w:tc>
        <w:tc>
          <w:tcPr/>
          <w:p>
            <w:pPr>
              <w:pStyle w:val="Compact"/>
              <w:jc w:val="left"/>
            </w:pPr>
            <w:r>
              <w:rPr>
                <w:rtl/>
              </w:rPr>
              <w:t xml:space="preserve">جریان نقد عملیاتی ÷ کل بدهی‌ها</w:t>
            </w:r>
          </w:p>
        </w:tc>
        <w:tc>
          <w:tcPr/>
          <w:p>
            <w:pPr>
              <w:pStyle w:val="Compact"/>
              <w:jc w:val="left"/>
            </w:pPr>
            <w:r>
              <w:rPr>
                <w:rtl/>
              </w:rPr>
              <w:t xml:space="preserve">Beaver (1966)</w:t>
            </w:r>
          </w:p>
        </w:tc>
      </w:tr>
      <w:tr>
        <w:tc>
          <w:tcPr/>
          <w:p>
            <w:pPr>
              <w:pStyle w:val="Compact"/>
              <w:jc w:val="left"/>
            </w:pPr>
            <w:r>
              <w:rPr>
                <w:rtl/>
              </w:rPr>
              <w:t xml:space="preserve">۹</w:t>
            </w:r>
          </w:p>
        </w:tc>
        <w:tc>
          <w:tcPr/>
          <w:p>
            <w:pPr>
              <w:pStyle w:val="Compact"/>
              <w:jc w:val="left"/>
            </w:pPr>
            <w:r>
              <w:rPr>
                <w:rtl/>
              </w:rPr>
              <w:t xml:space="preserve">بازده دارایی‌ها</w:t>
            </w:r>
          </w:p>
        </w:tc>
        <w:tc>
          <w:tcPr/>
          <w:p>
            <w:pPr>
              <w:pStyle w:val="Compact"/>
              <w:jc w:val="left"/>
            </w:pPr>
            <w:r>
              <w:rPr>
                <w:rtl/>
              </w:rPr>
              <w:t xml:space="preserve">ROA</w:t>
            </w:r>
          </w:p>
        </w:tc>
        <w:tc>
          <w:tcPr/>
          <w:p>
            <w:pPr>
              <w:pStyle w:val="Compact"/>
              <w:jc w:val="left"/>
            </w:pPr>
            <w:r>
              <w:rPr>
                <w:rtl/>
              </w:rPr>
              <w:t xml:space="preserve">سود عملیاتی ÷ کل دارایی‌های ابتدای دوره</w:t>
            </w:r>
          </w:p>
        </w:tc>
        <w:tc>
          <w:tcPr/>
          <w:p>
            <w:pPr>
              <w:pStyle w:val="Compact"/>
              <w:jc w:val="left"/>
            </w:pPr>
            <w:r>
              <w:rPr>
                <w:rtl/>
              </w:rPr>
              <w:t xml:space="preserve">Ohlson (1980)</w:t>
            </w:r>
          </w:p>
        </w:tc>
      </w:tr>
      <w:tr>
        <w:tc>
          <w:tcPr/>
          <w:p>
            <w:pPr>
              <w:pStyle w:val="Compact"/>
              <w:jc w:val="left"/>
            </w:pPr>
            <w:r>
              <w:rPr>
                <w:rtl/>
              </w:rPr>
              <w:t xml:space="preserve">۱۰</w:t>
            </w:r>
          </w:p>
        </w:tc>
        <w:tc>
          <w:tcPr/>
          <w:p>
            <w:pPr>
              <w:pStyle w:val="Compact"/>
              <w:jc w:val="left"/>
            </w:pPr>
            <w:r>
              <w:rPr>
                <w:rtl/>
              </w:rPr>
              <w:t xml:space="preserve">نسبت خالص دارایی ملموس</w:t>
            </w:r>
          </w:p>
        </w:tc>
        <w:tc>
          <w:tcPr/>
          <w:p>
            <w:pPr>
              <w:pStyle w:val="Compact"/>
              <w:jc w:val="left"/>
            </w:pPr>
            <w:r>
              <w:rPr>
                <w:rtl/>
              </w:rPr>
              <w:t xml:space="preserve">TNW</w:t>
            </w:r>
          </w:p>
        </w:tc>
        <w:tc>
          <w:tcPr/>
          <w:p>
            <w:pPr>
              <w:pStyle w:val="Compact"/>
              <w:jc w:val="left"/>
            </w:pPr>
            <w:r>
              <w:rPr>
                <w:rtl/>
              </w:rPr>
              <w:t xml:space="preserve">(حقوق صاحبان سهام − دارایی‌های نامشهود) ÷ کل دارایی‌ها</w:t>
            </w:r>
          </w:p>
        </w:tc>
        <w:tc>
          <w:tcPr/>
          <w:p>
            <w:pPr>
              <w:pStyle w:val="Compact"/>
              <w:jc w:val="left"/>
            </w:pPr>
            <w:r>
              <w:rPr>
                <w:rtl/>
              </w:rPr>
              <w:t xml:space="preserve">Christensen &amp; Nikolaev (2012)</w:t>
            </w:r>
          </w:p>
        </w:tc>
      </w:tr>
      <w:tr>
        <w:tc>
          <w:tcPr/>
          <w:p>
            <w:pPr>
              <w:pStyle w:val="Compact"/>
              <w:jc w:val="left"/>
            </w:pPr>
            <w:r>
              <w:rPr>
                <w:rtl/>
              </w:rPr>
              <w:t xml:space="preserve">۱۱</w:t>
            </w:r>
          </w:p>
        </w:tc>
        <w:tc>
          <w:tcPr/>
          <w:p>
            <w:pPr>
              <w:pStyle w:val="Compact"/>
              <w:jc w:val="left"/>
            </w:pPr>
            <w:r>
              <w:rPr>
                <w:rtl/>
              </w:rPr>
              <w:t xml:space="preserve">کیفیت اقلام تعهدی</w:t>
            </w:r>
          </w:p>
        </w:tc>
        <w:tc>
          <w:tcPr/>
          <w:p>
            <w:pPr>
              <w:pStyle w:val="Compact"/>
              <w:jc w:val="left"/>
            </w:pPr>
            <w:r>
              <w:rPr>
                <w:rtl/>
              </w:rPr>
              <w:t xml:space="preserve">AQ</w:t>
            </w:r>
          </w:p>
        </w:tc>
        <w:tc>
          <w:tcPr/>
          <w:p>
            <w:pPr>
              <w:pStyle w:val="Compact"/>
              <w:jc w:val="left"/>
            </w:pPr>
            <w:r>
              <w:rPr>
                <w:rtl/>
              </w:rPr>
              <w:t xml:space="preserve">انحراف معیار باقیمانده‌های مدل دچو‌ـ‌دیچف طی ۵ سال</w:t>
            </w:r>
          </w:p>
        </w:tc>
        <w:tc>
          <w:tcPr/>
          <w:p>
            <w:pPr>
              <w:pStyle w:val="Compact"/>
              <w:jc w:val="left"/>
            </w:pPr>
            <w:r>
              <w:rPr>
                <w:rtl/>
              </w:rPr>
              <w:t xml:space="preserve">Dechow &amp; Dichev (2002)</w:t>
            </w:r>
          </w:p>
        </w:tc>
      </w:tr>
      <w:tr>
        <w:tc>
          <w:tcPr/>
          <w:p>
            <w:pPr>
              <w:pStyle w:val="Compact"/>
              <w:jc w:val="left"/>
            </w:pPr>
            <w:r>
              <w:rPr>
                <w:rtl/>
              </w:rPr>
              <w:t xml:space="preserve">۱۲</w:t>
            </w:r>
          </w:p>
        </w:tc>
        <w:tc>
          <w:tcPr/>
          <w:p>
            <w:pPr>
              <w:pStyle w:val="Compact"/>
              <w:jc w:val="left"/>
            </w:pPr>
            <w:r>
              <w:rPr>
                <w:rtl/>
              </w:rPr>
              <w:t xml:space="preserve">وجه نقد</w:t>
            </w:r>
          </w:p>
        </w:tc>
        <w:tc>
          <w:tcPr/>
          <w:p>
            <w:pPr>
              <w:pStyle w:val="Compact"/>
              <w:jc w:val="left"/>
            </w:pPr>
            <w:r>
              <w:rPr>
                <w:rtl/>
              </w:rPr>
              <w:t xml:space="preserve">CASH</w:t>
            </w:r>
          </w:p>
        </w:tc>
        <w:tc>
          <w:tcPr/>
          <w:p>
            <w:pPr>
              <w:pStyle w:val="Compact"/>
              <w:jc w:val="left"/>
            </w:pPr>
            <w:r>
              <w:rPr>
                <w:rtl/>
              </w:rPr>
              <w:t xml:space="preserve">وجه نقد ÷ کل دارایی‌ها</w:t>
            </w:r>
          </w:p>
        </w:tc>
        <w:tc>
          <w:tcPr/>
          <w:p>
            <w:pPr>
              <w:pStyle w:val="Compact"/>
              <w:jc w:val="left"/>
            </w:pPr>
            <w:r>
              <w:rPr>
                <w:rtl/>
              </w:rPr>
              <w:t xml:space="preserve">Opler et al. (1999)</w:t>
            </w:r>
          </w:p>
        </w:tc>
      </w:tr>
      <w:tr>
        <w:tc>
          <w:tcPr/>
          <w:p>
            <w:pPr>
              <w:pStyle w:val="Compact"/>
              <w:jc w:val="left"/>
            </w:pPr>
            <w:r>
              <w:rPr>
                <w:rtl/>
              </w:rPr>
              <w:t xml:space="preserve">۱۳</w:t>
            </w:r>
          </w:p>
        </w:tc>
        <w:tc>
          <w:tcPr/>
          <w:p>
            <w:pPr>
              <w:pStyle w:val="Compact"/>
              <w:jc w:val="left"/>
            </w:pPr>
            <w:r>
              <w:rPr>
                <w:rtl/>
              </w:rPr>
              <w:t xml:space="preserve">نسبت زد تعدیل‌شده</w:t>
            </w:r>
          </w:p>
        </w:tc>
        <w:tc>
          <w:tcPr/>
          <w:p>
            <w:pPr>
              <w:pStyle w:val="Compact"/>
              <w:jc w:val="left"/>
            </w:pPr>
            <w:r>
              <w:rPr>
                <w:rtl/>
              </w:rPr>
              <w:t xml:space="preserve">ZSCORE</w:t>
            </w:r>
          </w:p>
        </w:tc>
        <w:tc>
          <w:tcPr/>
          <w:p>
            <w:pPr>
              <w:pStyle w:val="Compact"/>
              <w:jc w:val="left"/>
            </w:pPr>
            <m:oMath>
              <m:r>
                <m:t>Z</m:t>
              </m:r>
              <m:r>
                <m:rPr>
                  <m:sty m:val="p"/>
                </m:rPr>
                <m:t>″</m:t>
              </m:r>
            </m:oMath>
            <w:r>
              <w:rPr>
                <w:rtl/>
              </w:rPr>
              <w:t xml:space="preserve"> </w:t>
            </w:r>
            <w:r>
              <w:rPr>
                <w:rtl/>
              </w:rPr>
              <w:t xml:space="preserve">بر پایه رابطه بالا</w:t>
            </w:r>
          </w:p>
        </w:tc>
        <w:tc>
          <w:tcPr/>
          <w:p>
            <w:pPr>
              <w:pStyle w:val="Compact"/>
              <w:jc w:val="left"/>
            </w:pPr>
            <w:r>
              <w:rPr>
                <w:rtl/>
              </w:rPr>
              <w:t xml:space="preserve">Altman et al. (1995)</w:t>
            </w:r>
          </w:p>
        </w:tc>
      </w:tr>
      <w:tr>
        <w:tc>
          <w:tcPr/>
          <w:p>
            <w:pPr>
              <w:pStyle w:val="Compact"/>
              <w:jc w:val="left"/>
            </w:pPr>
            <w:r>
              <w:rPr>
                <w:rtl/>
              </w:rPr>
              <w:t xml:space="preserve">۱۴</w:t>
            </w:r>
          </w:p>
        </w:tc>
        <w:tc>
          <w:tcPr/>
          <w:p>
            <w:pPr>
              <w:pStyle w:val="Compact"/>
              <w:jc w:val="left"/>
            </w:pPr>
            <w:r>
              <w:rPr>
                <w:rtl/>
              </w:rPr>
              <w:t xml:space="preserve">شاخص انحراف مصرف تسهیلات</w:t>
            </w:r>
          </w:p>
        </w:tc>
        <w:tc>
          <w:tcPr/>
          <w:p>
            <w:pPr>
              <w:pStyle w:val="Compact"/>
              <w:jc w:val="left"/>
            </w:pPr>
            <w:r>
              <w:rPr>
                <w:rtl/>
              </w:rPr>
              <w:t xml:space="preserve">DIV</w:t>
            </w:r>
          </w:p>
        </w:tc>
        <w:tc>
          <w:tcPr/>
          <w:p>
            <w:pPr>
              <w:pStyle w:val="Compact"/>
              <w:jc w:val="left"/>
            </w:pPr>
            <w:r>
              <w:rPr>
                <w:rtl/>
              </w:rPr>
              <w:t xml:space="preserve">مطابق مقاله همراه: سهم افزایش دارایی غیرعملیاتی از وام خالص</w:t>
            </w:r>
          </w:p>
        </w:tc>
        <w:tc>
          <w:tcPr/>
          <w:p>
            <w:pPr>
              <w:pStyle w:val="Compact"/>
              <w:jc w:val="left"/>
            </w:pPr>
            <w:r>
              <w:rPr>
                <w:rtl/>
              </w:rPr>
              <w:t xml:space="preserve">[مقاله اول همین پژوهش]</w:t>
            </w:r>
          </w:p>
        </w:tc>
      </w:tr>
    </w:tbl>
    <w:p>
      <w:pPr>
        <w:bidi/>
        <w:jc w:val="left"/>
      </w:pPr>
      <w:r>
        <w:rPr>
          <w:rFonts w:cs="B Nazanin"/>
          <w:rtl/>
          <w:szCs w:val="26"/>
        </w:rPr>
        <w:t xml:space="preserve">مدل دچو‌ـ‌دیچف برای اقلام تعهدی:</w:t>
      </w:r>
    </w:p>
    <w:p>
      <w:pPr>
        <w:bidi/>
        <w:jc w:val="left"/>
      </w:pPr>
      <m:oMathPara>
        <m:oMathParaPr>
          <m:jc m:val="center"/>
        </m:oMathParaPr>
        <m:oMath>
          <m:r>
            <m:t>Δ</m:t>
          </m:r>
          <m:r>
            <m:t>W</m:t>
          </m:r>
          <m:sSub>
            <m:e>
              <m:r>
                <m:t>C</m:t>
              </m:r>
            </m:e>
            <m:sub>
              <m:r>
                <m:t>i</m:t>
              </m:r>
              <m:r>
                <m:t>t</m:t>
              </m:r>
            </m:sub>
          </m:sSub>
          <m:r>
            <m:rPr>
              <m:sty m:val="p"/>
            </m:rPr>
            <m:t>=</m:t>
          </m:r>
          <m:sSub>
            <m:e>
              <m:r>
                <m:t>ϕ</m:t>
              </m:r>
            </m:e>
            <m:sub>
              <m:r>
                <m:t>0</m:t>
              </m:r>
            </m:sub>
          </m:sSub>
          <m:r>
            <m:rPr>
              <m:sty m:val="p"/>
            </m:rPr>
            <m:t>+</m:t>
          </m:r>
          <m:sSub>
            <m:e>
              <m:r>
                <m:t>ϕ</m:t>
              </m:r>
            </m:e>
            <m:sub>
              <m:r>
                <m:t>1</m:t>
              </m:r>
            </m:sub>
          </m:sSub>
          <m:r>
            <m:t>C</m:t>
          </m:r>
          <m:r>
            <m:t>F</m:t>
          </m:r>
          <m:sSub>
            <m:e>
              <m:r>
                <m:t>O</m:t>
              </m:r>
            </m:e>
            <m:sub>
              <m:r>
                <m:t>i</m:t>
              </m:r>
              <m:r>
                <m:rPr>
                  <m:sty m:val="p"/>
                </m:rPr>
                <m:t>,</m:t>
              </m:r>
              <m:r>
                <m:t>t</m:t>
              </m:r>
              <m:r>
                <m:rPr>
                  <m:sty m:val="p"/>
                </m:rPr>
                <m:t>−</m:t>
              </m:r>
              <m:r>
                <m:t>1</m:t>
              </m:r>
            </m:sub>
          </m:sSub>
          <m:r>
            <m:rPr>
              <m:sty m:val="p"/>
            </m:rPr>
            <m:t>+</m:t>
          </m:r>
          <m:sSub>
            <m:e>
              <m:r>
                <m:t>ϕ</m:t>
              </m:r>
            </m:e>
            <m:sub>
              <m:r>
                <m:t>2</m:t>
              </m:r>
            </m:sub>
          </m:sSub>
          <m:r>
            <m:t>C</m:t>
          </m:r>
          <m:r>
            <m:t>F</m:t>
          </m:r>
          <m:sSub>
            <m:e>
              <m:r>
                <m:t>O</m:t>
              </m:r>
            </m:e>
            <m:sub>
              <m:r>
                <m:t>i</m:t>
              </m:r>
              <m:r>
                <m:t>t</m:t>
              </m:r>
            </m:sub>
          </m:sSub>
          <m:r>
            <m:rPr>
              <m:sty m:val="p"/>
            </m:rPr>
            <m:t>+</m:t>
          </m:r>
          <m:sSub>
            <m:e>
              <m:r>
                <m:t>ϕ</m:t>
              </m:r>
            </m:e>
            <m:sub>
              <m:r>
                <m:t>3</m:t>
              </m:r>
            </m:sub>
          </m:sSub>
          <m:r>
            <m:t>C</m:t>
          </m:r>
          <m:r>
            <m:t>F</m:t>
          </m:r>
          <m:sSub>
            <m:e>
              <m:r>
                <m:t>O</m:t>
              </m:r>
            </m:e>
            <m:sub>
              <m:r>
                <m:t>i</m:t>
              </m:r>
              <m:r>
                <m:rPr>
                  <m:sty m:val="p"/>
                </m:rPr>
                <m:t>,</m:t>
              </m:r>
              <m:r>
                <m:t>t</m:t>
              </m:r>
              <m:r>
                <m:rPr>
                  <m:sty m:val="p"/>
                </m:rPr>
                <m:t>+</m:t>
              </m:r>
              <m:r>
                <m:t>1</m:t>
              </m:r>
            </m:sub>
          </m:sSub>
          <m:r>
            <m:rPr>
              <m:sty m:val="p"/>
            </m:rPr>
            <m:t>+</m:t>
          </m:r>
          <m:sSub>
            <m:e>
              <m:r>
                <m:t>ε</m:t>
              </m:r>
            </m:e>
            <m:sub>
              <m:r>
                <m:t>i</m:t>
              </m:r>
              <m:r>
                <m:t>t</m:t>
              </m:r>
            </m:sub>
          </m:sSub>
        </m:oMath>
      </m:oMathPara>
    </w:p>
    <w:p>
      <w:pPr>
        <w:bidi/>
        <w:jc w:val="left"/>
      </w:pPr>
      <w:r>
        <w:rPr>
          <w:rFonts w:cs="B Nazanin"/>
          <w:rtl/>
          <w:szCs w:val="26"/>
        </w:rPr>
        <w:t xml:space="preserve">که ΔWC تغییر سرمایه در گردش غیرنقدی و CFO جریان نقد عملیاتی است، هر دو با میانگین دارایی‌ها مقیاس شده‌اند. معیار AQ انحراف معیار باقیمانده‌های این رگرسیون در یک پنجره پنج‌ساله است (Dechow &amp; Dichev, 2002). برای جلوگیری از اطلاعات آینده در پیش‌بینی، برآورد ضرایب مدل دچو‌ـ‌دیچف بر اساس پنجره متحرک و فقط داده‌های موجود تا سال</w:t>
      </w:r>
      <w:r>
        <w:rPr>
          <w:rFonts w:cs="B Nazanin"/>
          <w:rtl/>
          <w:szCs w:val="26"/>
        </w:rPr>
        <w:t xml:space="preserve"> </w:t>
      </w:r>
      <m:oMath>
        <m:r>
          <m:t>t</m:t>
        </m:r>
      </m:oMath>
      <w:r>
        <w:rPr>
          <w:rFonts w:cs="B Nazanin"/>
          <w:rtl/>
          <w:szCs w:val="26"/>
        </w:rPr>
        <w:t xml:space="preserve"> </w:t>
      </w:r>
      <w:r>
        <w:rPr>
          <w:rFonts w:cs="B Nazanin"/>
          <w:rtl/>
          <w:szCs w:val="26"/>
        </w:rPr>
        <w:t xml:space="preserve">انجام می‌شود (متغیر CFO در</w:t>
      </w:r>
      <w:r>
        <w:rPr>
          <w:rFonts w:cs="B Nazanin"/>
          <w:rtl/>
          <w:szCs w:val="26"/>
        </w:rPr>
        <w:t xml:space="preserve"> </w:t>
      </w:r>
      <m:oMath>
        <m:r>
          <m:t>t</m:t>
        </m:r>
        <m:r>
          <m:rPr>
            <m:sty m:val="p"/>
          </m:rPr>
          <m:t>+</m:t>
        </m:r>
        <m:r>
          <m:t>1</m:t>
        </m:r>
      </m:oMath>
      <w:r>
        <w:rPr>
          <w:rFonts w:cs="B Nazanin"/>
          <w:rtl/>
          <w:szCs w:val="26"/>
        </w:rPr>
        <w:t xml:space="preserve"> </w:t>
      </w:r>
      <w:r>
        <w:rPr>
          <w:rFonts w:cs="B Nazanin"/>
          <w:rtl/>
          <w:szCs w:val="26"/>
        </w:rPr>
        <w:t xml:space="preserve">برای اندازه‌گیری</w:t>
      </w:r>
      <w:r>
        <w:rPr>
          <w:rFonts w:cs="B Nazanin"/>
          <w:rtl/>
          <w:szCs w:val="26"/>
        </w:rPr>
        <w:t xml:space="preserve"> </w:t>
      </w:r>
      <m:oMath>
        <m:r>
          <m:t>A</m:t>
        </m:r>
        <m:sSub>
          <m:e>
            <m:r>
              <m:t>Q</m:t>
            </m:r>
          </m:e>
          <m:sub>
            <m:r>
              <m:t>t</m:t>
            </m:r>
          </m:sub>
        </m:sSub>
      </m:oMath>
      <w:r>
        <w:rPr>
          <w:rFonts w:cs="B Nazanin"/>
          <w:rtl/>
          <w:szCs w:val="26"/>
        </w:rPr>
        <w:t xml:space="preserve"> </w:t>
      </w:r>
      <w:r>
        <w:rPr>
          <w:rFonts w:cs="B Nazanin"/>
          <w:rtl/>
          <w:szCs w:val="26"/>
        </w:rPr>
        <w:t xml:space="preserve">استفاده می‌شود و بنابراین در مدل پیش‌بینی با تأخیر یک‌ساله وارد می‌شود یا از نسخه‌ای بدون آینده بهره گرفته می‌شود).</w:t>
      </w:r>
    </w:p>
    <w:p>
      <w:pPr>
        <w:bidi/>
        <w:jc w:val="left"/>
      </w:pPr>
      <w:r>
        <w:rPr>
          <w:rFonts w:cs="B Nazanin"/>
          <w:rtl/>
          <w:szCs w:val="26"/>
        </w:rPr>
        <w:t xml:space="preserve">دسته‌بندی معیارها برای آزمون فرضیه ۱:</w:t>
      </w:r>
    </w:p>
    <w:p>
      <w:pPr>
        <w:bidi/>
        <w:numPr>
          <w:ilvl w:val="0"/>
          <w:numId w:val="1001"/>
        </w:numPr>
        <w:pStyle w:val="Compact"/>
        <w:jc w:val="left"/>
      </w:pPr>
      <w:r>
        <w:rPr>
          <w:rFonts w:cs="B Nazanin"/>
          <w:rtl/>
          <w:bCs/>
          <w:b/>
          <w:szCs w:val="26"/>
        </w:rPr>
        <w:t xml:space="preserve">مبتنی بر جریان نقد:</w:t>
      </w:r>
      <w:r>
        <w:rPr>
          <w:rFonts w:cs="B Nazanin"/>
          <w:rtl/>
          <w:szCs w:val="26"/>
        </w:rPr>
        <w:t xml:space="preserve"> </w:t>
      </w:r>
      <w:r>
        <w:rPr>
          <w:rFonts w:cs="B Nazanin"/>
          <w:rtl/>
          <w:szCs w:val="26"/>
        </w:rPr>
        <w:t xml:space="preserve">DSCR، CFO_TD، CASH.</w:t>
      </w:r>
    </w:p>
    <w:p>
      <w:pPr>
        <w:bidi/>
        <w:numPr>
          <w:ilvl w:val="0"/>
          <w:numId w:val="1001"/>
        </w:numPr>
        <w:pStyle w:val="Compact"/>
        <w:jc w:val="left"/>
      </w:pPr>
      <w:r>
        <w:rPr>
          <w:rFonts w:cs="B Nazanin"/>
          <w:rtl/>
          <w:bCs/>
          <w:b/>
          <w:szCs w:val="26"/>
        </w:rPr>
        <w:t xml:space="preserve">مبتنی بر سود:</w:t>
      </w:r>
      <w:r>
        <w:rPr>
          <w:rFonts w:cs="B Nazanin"/>
          <w:rtl/>
          <w:szCs w:val="26"/>
        </w:rPr>
        <w:t xml:space="preserve"> </w:t>
      </w:r>
      <w:r>
        <w:rPr>
          <w:rFonts w:cs="B Nazanin"/>
          <w:rtl/>
          <w:szCs w:val="26"/>
        </w:rPr>
        <w:t xml:space="preserve">ROA، ICR، DEBT_EBITDA.</w:t>
      </w:r>
    </w:p>
    <w:p>
      <w:pPr>
        <w:bidi/>
        <w:numPr>
          <w:ilvl w:val="0"/>
          <w:numId w:val="1001"/>
        </w:numPr>
        <w:pStyle w:val="Compact"/>
        <w:jc w:val="left"/>
      </w:pPr>
      <w:r>
        <w:rPr>
          <w:rFonts w:cs="B Nazanin"/>
          <w:rtl/>
          <w:bCs/>
          <w:b/>
          <w:szCs w:val="26"/>
        </w:rPr>
        <w:t xml:space="preserve">مبتنی بر ترازنامه:</w:t>
      </w:r>
      <w:r>
        <w:rPr>
          <w:rFonts w:cs="B Nazanin"/>
          <w:rtl/>
          <w:szCs w:val="26"/>
        </w:rPr>
        <w:t xml:space="preserve"> </w:t>
      </w:r>
      <w:r>
        <w:rPr>
          <w:rFonts w:cs="B Nazanin"/>
          <w:rtl/>
          <w:szCs w:val="26"/>
        </w:rPr>
        <w:t xml:space="preserve">CR، QR، WC، LEV، TNW.</w:t>
      </w:r>
    </w:p>
    <w:p>
      <w:pPr>
        <w:bidi/>
        <w:numPr>
          <w:ilvl w:val="0"/>
          <w:numId w:val="1001"/>
        </w:numPr>
        <w:pStyle w:val="Compact"/>
        <w:jc w:val="left"/>
      </w:pPr>
      <w:r>
        <w:rPr>
          <w:rFonts w:cs="B Nazanin"/>
          <w:rtl/>
          <w:bCs/>
          <w:b/>
          <w:szCs w:val="26"/>
        </w:rPr>
        <w:t xml:space="preserve">ترکیبی/رفتاری:</w:t>
      </w:r>
      <w:r>
        <w:rPr>
          <w:rFonts w:cs="B Nazanin"/>
          <w:rtl/>
          <w:szCs w:val="26"/>
        </w:rPr>
        <w:t xml:space="preserve"> </w:t>
      </w:r>
      <w:r>
        <w:rPr>
          <w:rFonts w:cs="B Nazanin"/>
          <w:rtl/>
          <w:szCs w:val="26"/>
        </w:rPr>
        <w:t xml:space="preserve">ZSCORE، AQ، DIV.</w:t>
      </w:r>
    </w:p>
    <w:bookmarkEnd w:id="34"/>
    <w:bookmarkStart w:id="35" w:name="متغیر-تعدیلگر-و-کنترلها"/>
    <w:p>
      <w:pPr>
        <w:bidi/>
        <w:pStyle w:val="Heading2"/>
        <w:jc w:val="left"/>
      </w:pPr>
      <w:r>
        <w:rPr>
          <w:rFonts w:cs="B Nazanin"/>
          <w:rtl/>
          <w:szCs w:val="26"/>
        </w:rPr>
        <w:t xml:space="preserve">۴-۴. متغیر تعدیل‌گر و کنترل‌ها</w:t>
      </w:r>
    </w:p>
    <w:p>
      <w:pPr>
        <w:bidi/>
        <w:jc w:val="left"/>
      </w:pPr>
      <w:r>
        <w:rPr>
          <w:rFonts w:cs="B Nazanin"/>
          <w:rtl/>
          <w:bCs/>
          <w:b/>
          <w:szCs w:val="26"/>
        </w:rPr>
        <w:t xml:space="preserve">کیفیت حسابرسی (AUDQ):</w:t>
      </w:r>
      <w:r>
        <w:rPr>
          <w:rFonts w:cs="B Nazanin"/>
          <w:rtl/>
          <w:szCs w:val="26"/>
        </w:rPr>
        <w:t xml:space="preserve"> </w:t>
      </w:r>
      <w:r>
        <w:rPr>
          <w:rFonts w:cs="B Nazanin"/>
          <w:rtl/>
          <w:szCs w:val="26"/>
        </w:rPr>
        <w:t xml:space="preserve">متغیر دوتایی، ۱ اگر حسابرس سازمان حسابرسی یا مؤسسه‌ای در چارک بالای اندازه (مجموع دارایی‌های صاحبکاران) باشد (DeAngelo, 1981)، به‌همراه تخصص صنعتی (سهم بازار بیش از ۱۵٪؛ Craswell et al., 1995) و عدم اظهارنظر مقبول.</w:t>
      </w:r>
    </w:p>
    <w:p>
      <w:pPr>
        <w:bidi/>
        <w:jc w:val="left"/>
      </w:pPr>
      <w:r>
        <w:rPr>
          <w:rFonts w:cs="B Nazanin"/>
          <w:rtl/>
          <w:bCs/>
          <w:b/>
          <w:szCs w:val="26"/>
        </w:rPr>
        <w:t xml:space="preserve">کنترل‌ها:</w:t>
      </w:r>
      <w:r>
        <w:rPr>
          <w:rFonts w:cs="B Nazanin"/>
          <w:rtl/>
          <w:szCs w:val="26"/>
        </w:rPr>
        <w:t xml:space="preserve"> </w:t>
      </w:r>
      <w:r>
        <w:rPr>
          <w:rFonts w:cs="B Nazanin"/>
          <w:rtl/>
          <w:szCs w:val="26"/>
        </w:rPr>
        <w:t xml:space="preserve">اندازه (لگاریتم دارایی‌ها)، سن شرکت، نوع صنعت (کدگذاری ۲ رقمی)، سال، و مالکیت دولتی (STATE) برای کنترل ویژگی‌های نهادی (La Porta et al., 1999).</w:t>
      </w:r>
    </w:p>
    <w:bookmarkEnd w:id="35"/>
    <w:bookmarkStart w:id="41" w:name="مدلهای-پژوهش"/>
    <w:p>
      <w:pPr>
        <w:bidi/>
        <w:pStyle w:val="Heading2"/>
        <w:jc w:val="left"/>
      </w:pPr>
      <w:r>
        <w:rPr>
          <w:rFonts w:cs="B Nazanin"/>
          <w:rtl/>
          <w:szCs w:val="26"/>
        </w:rPr>
        <w:t xml:space="preserve">۴-۵. مدل‌های پژوهش</w:t>
      </w:r>
    </w:p>
    <w:bookmarkStart w:id="36" w:name="مدل-۱-لاجیت-با-هر-دسته-معیار-فرضیه-۱"/>
    <w:p>
      <w:pPr>
        <w:bidi/>
        <w:pStyle w:val="Heading3"/>
        <w:jc w:val="left"/>
      </w:pPr>
      <w:r>
        <w:rPr>
          <w:rFonts w:cs="B Nazanin"/>
          <w:rtl/>
          <w:szCs w:val="26"/>
        </w:rPr>
        <w:t xml:space="preserve">مدل ۱: لاجیت با هر دسته معیار (فرضیه ۱)</w:t>
      </w:r>
    </w:p>
    <w:p>
      <w:pPr>
        <w:bidi/>
        <w:jc w:val="left"/>
      </w:pPr>
      <m:oMathPara>
        <m:oMathParaPr>
          <m:jc m:val="center"/>
        </m:oMathParaPr>
        <m:oMath>
          <m:r>
            <m:rPr>
              <m:sty m:val="p"/>
            </m:rPr>
            <m:t>Pr</m:t>
          </m:r>
          <m:d>
            <m:dPr>
              <m:begChr m:val="("/>
              <m:endChr m:val=")"/>
              <m:sepChr m:val=""/>
              <m:grow/>
            </m:dPr>
            <m:e>
              <m:r>
                <m:t>D</m:t>
              </m:r>
              <m:r>
                <m:t>E</m:t>
              </m:r>
              <m:sSub>
                <m:e>
                  <m:r>
                    <m:t>F</m:t>
                  </m:r>
                </m:e>
                <m:sub>
                  <m:r>
                    <m:t>i</m:t>
                  </m:r>
                  <m:r>
                    <m:rPr>
                      <m:sty m:val="p"/>
                    </m:rPr>
                    <m:t>,</m:t>
                  </m:r>
                  <m:r>
                    <m:t>t</m:t>
                  </m:r>
                  <m:r>
                    <m:rPr>
                      <m:sty m:val="p"/>
                    </m:rPr>
                    <m:t>+</m:t>
                  </m:r>
                  <m:r>
                    <m:t>1</m:t>
                  </m:r>
                </m:sub>
              </m:sSub>
              <m:r>
                <m:rPr>
                  <m:sty m:val="p"/>
                </m:rPr>
                <m:t>=</m:t>
              </m:r>
              <m:r>
                <m:t>1</m:t>
              </m:r>
            </m:e>
          </m:d>
          <m:r>
            <m:rPr>
              <m:sty m:val="p"/>
            </m:rPr>
            <m:t>=</m:t>
          </m:r>
          <m:r>
            <m:t>Λ</m:t>
          </m:r>
          <m:d>
            <m:dPr>
              <m:begChr m:val="("/>
              <m:endChr m:val=")"/>
              <m:sepChr m:val=""/>
              <m:grow/>
            </m:dPr>
            <m:e>
              <m:sSub>
                <m:e>
                  <m:r>
                    <m:t>β</m:t>
                  </m:r>
                </m:e>
                <m:sub>
                  <m:r>
                    <m:t>0</m:t>
                  </m:r>
                </m:sub>
              </m:sSub>
              <m:r>
                <m:rPr>
                  <m:sty m:val="p"/>
                </m:rPr>
                <m:t>+</m:t>
              </m:r>
              <m:nary>
                <m:naryPr>
                  <m:chr m:val="∑"/>
                  <m:limLoc m:val="undOvr"/>
                  <m:subHide m:val="off"/>
                  <m:supHide m:val="on"/>
                </m:naryPr>
                <m:sub>
                  <m:r>
                    <m:t>j</m:t>
                  </m:r>
                  <m:r>
                    <m:rPr>
                      <m:sty m:val="p"/>
                    </m:rPr>
                    <m:t>∈</m:t>
                  </m:r>
                  <m:sSub>
                    <m:e>
                      <m:r>
                        <m:t>S</m:t>
                      </m:r>
                    </m:e>
                    <m:sub>
                      <m:r>
                        <m:t>m</m:t>
                      </m:r>
                    </m:sub>
                  </m:sSub>
                </m:sub>
                <m:sup>
                  <m:r>
                    <m:t>​</m:t>
                  </m:r>
                </m:sup>
                <m:e>
                  <m:sSub>
                    <m:e>
                      <m:r>
                        <m:t>β</m:t>
                      </m:r>
                    </m:e>
                    <m:sub>
                      <m:r>
                        <m:t>j</m:t>
                      </m:r>
                    </m:sub>
                  </m:sSub>
                </m:e>
              </m:nary>
              <m:sSub>
                <m:e>
                  <m:r>
                    <m:t>X</m:t>
                  </m:r>
                </m:e>
                <m:sub>
                  <m:r>
                    <m:t>j</m:t>
                  </m:r>
                  <m:r>
                    <m:rPr>
                      <m:sty m:val="p"/>
                    </m:rPr>
                    <m:t>,</m:t>
                  </m:r>
                  <m:r>
                    <m:t>i</m:t>
                  </m:r>
                  <m:r>
                    <m:t>t</m:t>
                  </m:r>
                </m:sub>
              </m:sSub>
              <m:r>
                <m:rPr>
                  <m:sty m:val="p"/>
                </m:rPr>
                <m:t>+</m:t>
              </m:r>
              <m:r>
                <m:t>γ</m:t>
              </m:r>
              <m:r>
                <m:rPr>
                  <m:sty m:val="p"/>
                </m:rPr>
                <m:t>′</m:t>
              </m:r>
              <m:r>
                <m:t>C</m:t>
              </m:r>
              <m:r>
                <m:t>O</m:t>
              </m:r>
              <m:r>
                <m:t>N</m:t>
              </m:r>
              <m:r>
                <m:t>T</m:t>
              </m:r>
              <m:r>
                <m:t>R</m:t>
              </m:r>
              <m:r>
                <m:t>O</m:t>
              </m:r>
              <m:sSub>
                <m:e>
                  <m:r>
                    <m:t>L</m:t>
                  </m:r>
                </m:e>
                <m:sub>
                  <m:r>
                    <m:t>i</m:t>
                  </m:r>
                  <m:r>
                    <m:t>t</m:t>
                  </m:r>
                </m:sub>
              </m:sSub>
              <m:r>
                <m:rPr>
                  <m:sty m:val="p"/>
                </m:rPr>
                <m:t>+</m:t>
              </m:r>
              <m:sSub>
                <m:e>
                  <m:r>
                    <m:t>τ</m:t>
                  </m:r>
                </m:e>
                <m:sub>
                  <m:r>
                    <m:t>t</m:t>
                  </m:r>
                </m:sub>
              </m:sSub>
              <m:r>
                <m:rPr>
                  <m:sty m:val="p"/>
                </m:rPr>
                <m:t>+</m:t>
              </m:r>
              <m:sSub>
                <m:e>
                  <m:r>
                    <m:t>θ</m:t>
                  </m:r>
                </m:e>
                <m:sub>
                  <m:r>
                    <m:t>s</m:t>
                  </m:r>
                </m:sub>
              </m:sSub>
            </m:e>
          </m:d>
        </m:oMath>
      </m:oMathPara>
    </w:p>
    <w:p>
      <w:pPr>
        <w:bidi/>
        <w:jc w:val="left"/>
      </w:pPr>
      <w:r>
        <w:rPr>
          <w:rFonts w:cs="B Nazanin"/>
          <w:rtl/>
          <w:szCs w:val="26"/>
        </w:rPr>
        <w:t xml:space="preserve">که</w:t>
      </w:r>
      <w:r>
        <w:rPr>
          <w:rFonts w:cs="B Nazanin"/>
          <w:rtl/>
          <w:szCs w:val="26"/>
        </w:rPr>
        <w:t xml:space="preserve"> </w:t>
      </w:r>
      <m:oMath>
        <m:r>
          <m:t>Λ</m:t>
        </m:r>
        <m:d>
          <m:dPr>
            <m:begChr m:val="("/>
            <m:endChr m:val=")"/>
            <m:sepChr m:val=""/>
            <m:grow/>
          </m:dPr>
          <m:e>
            <m:r>
              <m:rPr>
                <m:sty m:val="p"/>
              </m:rPr>
              <m:t>⋅</m:t>
            </m:r>
          </m:e>
        </m:d>
      </m:oMath>
      <w:r>
        <w:rPr>
          <w:rFonts w:cs="B Nazanin"/>
          <w:rtl/>
          <w:szCs w:val="26"/>
        </w:rPr>
        <w:t xml:space="preserve"> </w:t>
      </w:r>
      <w:r>
        <w:rPr>
          <w:rFonts w:cs="B Nazanin"/>
          <w:rtl/>
          <w:szCs w:val="26"/>
        </w:rPr>
        <w:t xml:space="preserve">تابع توزیع لجستیک،</w:t>
      </w:r>
      <w:r>
        <w:rPr>
          <w:rFonts w:cs="B Nazanin"/>
          <w:rtl/>
          <w:szCs w:val="26"/>
        </w:rPr>
        <w:t xml:space="preserve"> </w:t>
      </w:r>
      <m:oMath>
        <m:sSub>
          <m:e>
            <m:r>
              <m:t>S</m:t>
            </m:r>
          </m:e>
          <m:sub>
            <m:r>
              <m:t>m</m:t>
            </m:r>
          </m:sub>
        </m:sSub>
      </m:oMath>
      <w:r>
        <w:rPr>
          <w:rFonts w:cs="B Nazanin"/>
          <w:rtl/>
          <w:szCs w:val="26"/>
        </w:rPr>
        <w:t xml:space="preserve"> </w:t>
      </w:r>
      <w:r>
        <w:rPr>
          <w:rFonts w:cs="B Nazanin"/>
          <w:rtl/>
          <w:szCs w:val="26"/>
        </w:rPr>
        <w:t xml:space="preserve">مجموعه معیارهای دسته</w:t>
      </w:r>
      <w:r>
        <w:rPr>
          <w:rFonts w:cs="B Nazanin"/>
          <w:rtl/>
          <w:szCs w:val="26"/>
        </w:rPr>
        <w:t xml:space="preserve"> </w:t>
      </w:r>
      <m:oMath>
        <m:r>
          <m:t>m</m:t>
        </m:r>
      </m:oMath>
      <w:r>
        <w:rPr>
          <w:rFonts w:cs="B Nazanin"/>
          <w:rtl/>
          <w:szCs w:val="26"/>
        </w:rPr>
        <w:t xml:space="preserve"> </w:t>
      </w:r>
      <w:r>
        <w:rPr>
          <w:rFonts w:cs="B Nazanin"/>
          <w:rtl/>
          <w:szCs w:val="26"/>
        </w:rPr>
        <w:t xml:space="preserve">(نقدی، سود، ترازنامه، ترکیبی)،</w:t>
      </w:r>
      <w:r>
        <w:rPr>
          <w:rFonts w:cs="B Nazanin"/>
          <w:rtl/>
          <w:szCs w:val="26"/>
        </w:rPr>
        <w:t xml:space="preserve"> </w:t>
      </w:r>
      <m:oMath>
        <m:sSub>
          <m:e>
            <m:r>
              <m:t>τ</m:t>
            </m:r>
          </m:e>
          <m:sub>
            <m:r>
              <m:t>t</m:t>
            </m:r>
          </m:sub>
        </m:sSub>
      </m:oMath>
      <w:r>
        <w:rPr>
          <w:rFonts w:cs="B Nazanin"/>
          <w:rtl/>
          <w:szCs w:val="26"/>
        </w:rPr>
        <w:t xml:space="preserve"> </w:t>
      </w:r>
      <w:r>
        <w:rPr>
          <w:rFonts w:cs="B Nazanin"/>
          <w:rtl/>
          <w:szCs w:val="26"/>
        </w:rPr>
        <w:t xml:space="preserve">اثر ثابت سال و</w:t>
      </w:r>
      <w:r>
        <w:rPr>
          <w:rFonts w:cs="B Nazanin"/>
          <w:rtl/>
          <w:szCs w:val="26"/>
        </w:rPr>
        <w:t xml:space="preserve"> </w:t>
      </w:r>
      <m:oMath>
        <m:sSub>
          <m:e>
            <m:r>
              <m:t>θ</m:t>
            </m:r>
          </m:e>
          <m:sub>
            <m:r>
              <m:t>s</m:t>
            </m:r>
          </m:sub>
        </m:sSub>
      </m:oMath>
      <w:r>
        <w:rPr>
          <w:rFonts w:cs="B Nazanin"/>
          <w:rtl/>
          <w:szCs w:val="26"/>
        </w:rPr>
        <w:t xml:space="preserve"> </w:t>
      </w:r>
      <w:r>
        <w:rPr>
          <w:rFonts w:cs="B Nazanin"/>
          <w:rtl/>
          <w:szCs w:val="26"/>
        </w:rPr>
        <w:t xml:space="preserve">اثر ثابت صنعت است. برای هر دسته AUC محاسبه و با آزمون دیلانگ مقایسه می‌شود. خطای استاندارد در سطح شرکت خوشه‌ای می‌شود. به پیروی از شومویی (2001) می‌توان این مدل را به‌صورت مدل خطر گسسته (لاجیت با مشاهدات شرکت‌ـ‌سال تا لحظه نکول) برآورد کرد.</w:t>
      </w:r>
    </w:p>
    <w:bookmarkEnd w:id="36"/>
    <w:bookmarkStart w:id="37" w:name="X2c189bcb896ef07e27adf909862ec85c5a63811"/>
    <w:p>
      <w:pPr>
        <w:bidi/>
        <w:pStyle w:val="Heading3"/>
        <w:jc w:val="left"/>
      </w:pPr>
      <w:r>
        <w:rPr>
          <w:rFonts w:cs="B Nazanin"/>
          <w:rtl/>
          <w:szCs w:val="26"/>
        </w:rPr>
        <w:t xml:space="preserve">مدل ۲: لاجیت جریمه‌شده لاسو (انتخاب معیار حداقلی)</w:t>
      </w:r>
    </w:p>
    <w:p>
      <w:pPr>
        <w:bidi/>
        <w:jc w:val="left"/>
      </w:pPr>
      <m:oMathPara>
        <m:oMathParaPr>
          <m:jc m:val="center"/>
        </m:oMathParaPr>
        <m:oMath>
          <m:sSup>
            <m:e>
              <m:acc>
                <m:accPr>
                  <m:chr m:val="̂"/>
                </m:accPr>
                <m:e>
                  <m:r>
                    <m:t>β</m:t>
                  </m:r>
                </m:e>
              </m:acc>
            </m:e>
            <m:sup>
              <m:r>
                <m:t>l</m:t>
              </m:r>
              <m:r>
                <m:t>a</m:t>
              </m:r>
              <m:r>
                <m:t>s</m:t>
              </m:r>
              <m:r>
                <m:t>s</m:t>
              </m:r>
              <m:r>
                <m:t>o</m:t>
              </m:r>
            </m:sup>
          </m:sSup>
          <m:r>
            <m:rPr>
              <m:sty m:val="p"/>
            </m:rPr>
            <m:t>=</m:t>
          </m:r>
          <m:r>
            <m:rPr>
              <m:sty m:val="p"/>
            </m:rPr>
            <m:t>arg</m:t>
          </m:r>
          <m:limLow>
            <m:e>
              <m:r>
                <m:rPr>
                  <m:sty m:val="p"/>
                </m:rPr>
                <m:t>min</m:t>
              </m:r>
            </m:e>
            <m:lim>
              <m:r>
                <m:t>β</m:t>
              </m:r>
            </m:lim>
          </m:limLow>
          <m:d>
            <m:dPr>
              <m:begChr m:val="{"/>
              <m:endChr m:val="}"/>
              <m:sep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ln</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ln</m:t>
                      </m:r>
                      <m:d>
                        <m:dPr>
                          <m:begChr m:val="("/>
                          <m:endChr m:val=")"/>
                          <m:sepChr m:val=""/>
                          <m:grow/>
                        </m:dPr>
                        <m:e>
                          <m:r>
                            <m:t>1</m:t>
                          </m:r>
                          <m:r>
                            <m:rPr>
                              <m:sty m:val="p"/>
                            </m:rPr>
                            <m:t>−</m:t>
                          </m:r>
                          <m:sSub>
                            <m:e>
                              <m:r>
                                <m:t>p</m:t>
                              </m:r>
                            </m:e>
                            <m:sub>
                              <m:r>
                                <m:t>i</m:t>
                              </m:r>
                            </m:sub>
                          </m:sSub>
                        </m:e>
                      </m:d>
                    </m:e>
                  </m:d>
                </m:e>
              </m:nary>
              <m:r>
                <m:rPr>
                  <m:sty m:val="p"/>
                </m:rPr>
                <m:t>+</m:t>
              </m:r>
              <m:r>
                <m:t>λ</m:t>
              </m:r>
              <m:nary>
                <m:naryPr>
                  <m:chr m:val="∑"/>
                  <m:limLoc m:val="undOvr"/>
                  <m:subHide m:val="off"/>
                  <m:supHide m:val="off"/>
                </m:naryPr>
                <m:sub>
                  <m:r>
                    <m:t>j</m:t>
                  </m:r>
                  <m:r>
                    <m:rPr>
                      <m:sty m:val="p"/>
                    </m:rPr>
                    <m:t>=</m:t>
                  </m:r>
                  <m:r>
                    <m:t>1</m:t>
                  </m:r>
                </m:sub>
                <m:sup>
                  <m:r>
                    <m:t>14</m:t>
                  </m:r>
                </m:sup>
                <m:e>
                  <m:d>
                    <m:dPr>
                      <m:begChr m:val="|"/>
                      <m:endChr m:val="|"/>
                      <m:sepChr m:val=""/>
                      <m:grow/>
                    </m:dPr>
                    <m:e>
                      <m:sSub>
                        <m:e>
                          <m:r>
                            <m:t>β</m:t>
                          </m:r>
                        </m:e>
                        <m:sub>
                          <m:r>
                            <m:t>j</m:t>
                          </m:r>
                        </m:sub>
                      </m:sSub>
                    </m:e>
                  </m:d>
                </m:e>
              </m:nary>
            </m:e>
          </m:d>
        </m:oMath>
      </m:oMathPara>
    </w:p>
    <w:p>
      <w:pPr>
        <w:bidi/>
        <w:jc w:val="left"/>
      </w:pPr>
      <w:r>
        <w:rPr>
          <w:rFonts w:cs="B Nazanin"/>
          <w:rtl/>
          <w:szCs w:val="26"/>
        </w:rPr>
        <w:t xml:space="preserve">که</w:t>
      </w:r>
      <w:r>
        <w:rPr>
          <w:rFonts w:cs="B Nazanin"/>
          <w:rtl/>
          <w:szCs w:val="26"/>
        </w:rPr>
        <w:t xml:space="preserve"> </w:t>
      </w:r>
      <m:oMath>
        <m:sSub>
          <m:e>
            <m:r>
              <m:t>p</m:t>
            </m:r>
          </m:e>
          <m:sub>
            <m:r>
              <m:t>i</m:t>
            </m:r>
          </m:sub>
        </m:sSub>
        <m:r>
          <m:rPr>
            <m:sty m:val="p"/>
          </m:rPr>
          <m:t>=</m:t>
        </m:r>
        <m:r>
          <m:t>Λ</m:t>
        </m:r>
        <m:d>
          <m:dPr>
            <m:begChr m:val="("/>
            <m:endChr m:val=")"/>
            <m:sepChr m:val=""/>
            <m:grow/>
          </m:dPr>
          <m:e>
            <m:sSub>
              <m:e>
                <m:r>
                  <m:t>β</m:t>
                </m:r>
              </m:e>
              <m:sub>
                <m:r>
                  <m:t>0</m:t>
                </m:r>
              </m:sub>
            </m:sSub>
            <m:r>
              <m:rPr>
                <m:sty m:val="p"/>
              </m:rPr>
              <m:t>+</m:t>
            </m:r>
            <m:sSub>
              <m:e>
                <m:r>
                  <m:t>x</m:t>
                </m:r>
              </m:e>
              <m:sub>
                <m:r>
                  <m:t>i</m:t>
                </m:r>
              </m:sub>
            </m:sSub>
            <m:r>
              <m:rPr>
                <m:sty m:val="p"/>
              </m:rPr>
              <m:t>′</m:t>
            </m:r>
            <m:r>
              <m:t>β</m:t>
            </m:r>
          </m:e>
        </m:d>
      </m:oMath>
      <w:r>
        <w:rPr>
          <w:rFonts w:cs="B Nazanin"/>
          <w:rtl/>
          <w:szCs w:val="26"/>
        </w:rPr>
        <w:t xml:space="preserve"> </w:t>
      </w:r>
      <w:r>
        <w:rPr>
          <w:rFonts w:cs="B Nazanin"/>
          <w:rtl/>
          <w:szCs w:val="26"/>
        </w:rPr>
        <w:t xml:space="preserve">و پارامتر</w:t>
      </w:r>
      <w:r>
        <w:rPr>
          <w:rFonts w:cs="B Nazanin"/>
          <w:rtl/>
          <w:szCs w:val="26"/>
        </w:rPr>
        <w:t xml:space="preserve"> </w:t>
      </w:r>
      <m:oMath>
        <m:r>
          <m:t>λ</m:t>
        </m:r>
      </m:oMath>
      <w:r>
        <w:rPr>
          <w:rFonts w:cs="B Nazanin"/>
          <w:rtl/>
          <w:szCs w:val="26"/>
        </w:rPr>
        <w:t xml:space="preserve"> </w:t>
      </w:r>
      <w:r>
        <w:rPr>
          <w:rFonts w:cs="B Nazanin"/>
          <w:rtl/>
          <w:szCs w:val="26"/>
        </w:rPr>
        <w:t xml:space="preserve">با اعتبارسنجی متقاطع</w:t>
      </w:r>
      <w:r>
        <w:rPr>
          <w:rFonts w:cs="B Nazanin"/>
          <w:rtl/>
          <w:szCs w:val="26"/>
        </w:rPr>
        <w:t xml:space="preserve"> </w:t>
      </w:r>
      <m:oMath>
        <m:r>
          <m:t>K</m:t>
        </m:r>
      </m:oMath>
      <w:r>
        <w:rPr>
          <w:rFonts w:cs="B Nazanin"/>
          <w:rtl/>
          <w:szCs w:val="26"/>
        </w:rPr>
        <w:t xml:space="preserve"> </w:t>
      </w:r>
      <w:r>
        <w:rPr>
          <w:rFonts w:cs="B Nazanin"/>
          <w:rtl/>
          <w:szCs w:val="26"/>
        </w:rPr>
        <w:t xml:space="preserve">تایی (ترجیحاً ۱۰ تایی، با رعایت ترتیب زمانی یا گروه‌بندی بر پایه شرکت) انتخاب می‌شود (Tibshirani, 1996; Friedman et al., 2010). متغیرها پیش از برآورد استانداردسازی می‌شوند. معیارهایی با ضریب غیرصفر در</w:t>
      </w:r>
      <w:r>
        <w:rPr>
          <w:rFonts w:cs="B Nazanin"/>
          <w:rtl/>
          <w:szCs w:val="26"/>
        </w:rPr>
        <w:t xml:space="preserve"> </w:t>
      </w:r>
      <m:oMath>
        <m:r>
          <m:t>λ</m:t>
        </m:r>
      </m:oMath>
      <w:r>
        <w:rPr>
          <w:rFonts w:cs="B Nazanin"/>
          <w:rtl/>
          <w:szCs w:val="26"/>
        </w:rPr>
        <w:t xml:space="preserve"> </w:t>
      </w:r>
      <w:r>
        <w:rPr>
          <w:rFonts w:cs="B Nazanin"/>
          <w:rtl/>
          <w:szCs w:val="26"/>
        </w:rPr>
        <w:t xml:space="preserve">بهینه به‌عنوان «مجموعه معیار پیشنهادی» به قرارداد معرفی می‌شوند. تفسیر ضرایب لاسو برای استنباط آماری مناسب نیست و برای تأیید، مدل لاجیت معمولی روی مجموعه منتخب برآورد می‌شود (روش پس‌لاسو).</w:t>
      </w:r>
    </w:p>
    <w:bookmarkEnd w:id="37"/>
    <w:bookmarkStart w:id="39" w:name="مدل-۳-افزودن-div-فرضیه-۲"/>
    <w:p>
      <w:pPr>
        <w:bidi/>
        <w:pStyle w:val="Heading3"/>
        <w:jc w:val="left"/>
      </w:pPr>
      <w:r>
        <w:rPr>
          <w:rFonts w:cs="B Nazanin"/>
          <w:rtl/>
          <w:szCs w:val="26"/>
        </w:rPr>
        <w:t xml:space="preserve">مدل ۳: افزودن DIV (فرضیه ۲)</w:t>
      </w:r>
    </w:p>
    <w:p>
      <w:pPr>
        <w:bidi/>
        <w:jc w:val="left"/>
      </w:pPr>
      <w:r>
        <w:rPr>
          <w:rFonts w:cs="B Nazanin"/>
          <w:rtl/>
          <w:szCs w:val="26"/>
        </w:rPr>
        <w:t xml:space="preserve">دو مدل لاجیت یکی با ۱۳ معیار و دیگری با افزودن DIV برآورد و AUC آنها با روش دیلانگ و شاخص‌های ΔAUC و بهبود طبقه‌بندی خالص</w:t>
      </w:r>
      <w:r>
        <w:rPr>
          <w:rFonts w:cs="B Nazanin"/>
          <w:rStyle w:val="FootnoteReference"/>
          <w:rtl/>
          <w:szCs w:val="26"/>
        </w:rPr>
        <w:footnoteReference w:id="38"/>
      </w:r>
      <w:r>
        <w:rPr>
          <w:rFonts w:cs="B Nazanin"/>
          <w:rtl/>
          <w:szCs w:val="26"/>
        </w:rPr>
        <w:t xml:space="preserve"> </w:t>
      </w:r>
      <w:r>
        <w:rPr>
          <w:rFonts w:cs="B Nazanin"/>
          <w:rtl/>
          <w:szCs w:val="26"/>
        </w:rPr>
        <w:t xml:space="preserve">مقایسه می‌شود.</w:t>
      </w:r>
    </w:p>
    <w:bookmarkEnd w:id="39"/>
    <w:bookmarkStart w:id="40" w:name="X27cce5606f64b092b537d77ea2df73a518221ec"/>
    <w:p>
      <w:pPr>
        <w:bidi/>
        <w:pStyle w:val="Heading3"/>
        <w:jc w:val="left"/>
      </w:pPr>
      <w:r>
        <w:rPr>
          <w:rFonts w:cs="B Nazanin"/>
          <w:rtl/>
          <w:szCs w:val="26"/>
        </w:rPr>
        <w:t xml:space="preserve">مدل ۴: آستانه‌های صنعتی و تعدیل حسابرسی (فرضیه‌های ۳ و ۴)</w:t>
      </w:r>
    </w:p>
    <w:p>
      <w:pPr>
        <w:bidi/>
        <w:jc w:val="left"/>
      </w:pPr>
      <m:oMathPara>
        <m:oMathParaPr>
          <m:jc m:val="center"/>
        </m:oMathParaPr>
        <m:oMath>
          <m:r>
            <m:rPr>
              <m:sty m:val="p"/>
            </m:rPr>
            <m:t>Pr</m:t>
          </m:r>
          <m:d>
            <m:dPr>
              <m:begChr m:val="("/>
              <m:endChr m:val=")"/>
              <m:sepChr m:val=""/>
              <m:grow/>
            </m:dPr>
            <m:e>
              <m:r>
                <m:t>D</m:t>
              </m:r>
              <m:r>
                <m:t>E</m:t>
              </m:r>
              <m:sSub>
                <m:e>
                  <m:r>
                    <m:t>F</m:t>
                  </m:r>
                </m:e>
                <m:sub>
                  <m:r>
                    <m:t>i</m:t>
                  </m:r>
                  <m:r>
                    <m:rPr>
                      <m:sty m:val="p"/>
                    </m:rPr>
                    <m:t>,</m:t>
                  </m:r>
                  <m:r>
                    <m:t>t</m:t>
                  </m:r>
                  <m:r>
                    <m:rPr>
                      <m:sty m:val="p"/>
                    </m:rPr>
                    <m:t>+</m:t>
                  </m:r>
                  <m:r>
                    <m:t>1</m:t>
                  </m:r>
                </m:sub>
              </m:sSub>
              <m:r>
                <m:rPr>
                  <m:sty m:val="p"/>
                </m:rPr>
                <m:t>=</m:t>
              </m:r>
              <m:r>
                <m:t>1</m:t>
              </m:r>
            </m:e>
          </m:d>
          <m:r>
            <m:rPr>
              <m:sty m:val="p"/>
            </m:rPr>
            <m:t>=</m:t>
          </m:r>
          <m:r>
            <m:t>Λ</m:t>
          </m:r>
          <m:d>
            <m:dPr>
              <m:begChr m:val="("/>
              <m:endChr m:val=")"/>
              <m:sepChr m:val=""/>
              <m:grow/>
            </m:dPr>
            <m:e>
              <m:sSub>
                <m:e>
                  <m:r>
                    <m:t>β</m:t>
                  </m:r>
                </m:e>
                <m:sub>
                  <m:r>
                    <m:t>0</m:t>
                  </m:r>
                </m:sub>
              </m:sSub>
              <m:r>
                <m:rPr>
                  <m:sty m:val="p"/>
                </m:rPr>
                <m:t>+</m:t>
              </m:r>
              <m:sSub>
                <m:e>
                  <m:r>
                    <m:t>β</m:t>
                  </m:r>
                </m:e>
                <m:sub>
                  <m:r>
                    <m:t>1</m:t>
                  </m:r>
                </m:sub>
              </m:sSub>
              <m:sSub>
                <m:e>
                  <m:r>
                    <m:t>X</m:t>
                  </m:r>
                </m:e>
                <m:sub>
                  <m:r>
                    <m:t>i</m:t>
                  </m:r>
                  <m:r>
                    <m:t>t</m:t>
                  </m:r>
                </m:sub>
              </m:sSub>
              <m:r>
                <m:rPr>
                  <m:sty m:val="p"/>
                </m:rPr>
                <m:t>+</m:t>
              </m:r>
              <m:sSub>
                <m:e>
                  <m:r>
                    <m:t>β</m:t>
                  </m:r>
                </m:e>
                <m:sub>
                  <m:r>
                    <m:t>2</m:t>
                  </m:r>
                </m:sub>
              </m:sSub>
              <m:r>
                <m:t>A</m:t>
              </m:r>
              <m:r>
                <m:t>U</m:t>
              </m:r>
              <m:r>
                <m:t>D</m:t>
              </m:r>
              <m:sSub>
                <m:e>
                  <m:r>
                    <m:t>Q</m:t>
                  </m:r>
                </m:e>
                <m:sub>
                  <m:r>
                    <m:t>i</m:t>
                  </m:r>
                  <m:r>
                    <m:t>t</m:t>
                  </m:r>
                </m:sub>
              </m:sSub>
              <m:r>
                <m:rPr>
                  <m:sty m:val="p"/>
                </m:rPr>
                <m:t>+</m:t>
              </m:r>
              <m:sSub>
                <m:e>
                  <m:r>
                    <m:t>β</m:t>
                  </m:r>
                </m:e>
                <m:sub>
                  <m:r>
                    <m:t>3</m:t>
                  </m:r>
                </m:sub>
              </m:sSub>
              <m:d>
                <m:dPr>
                  <m:begChr m:val="("/>
                  <m:endChr m:val=")"/>
                  <m:sepChr m:val=""/>
                  <m:grow/>
                </m:dPr>
                <m:e>
                  <m:sSub>
                    <m:e>
                      <m:r>
                        <m:t>X</m:t>
                      </m:r>
                    </m:e>
                    <m:sub>
                      <m:r>
                        <m:t>i</m:t>
                      </m:r>
                      <m:r>
                        <m:t>t</m:t>
                      </m:r>
                    </m:sub>
                  </m:sSub>
                  <m:r>
                    <m:rPr>
                      <m:sty m:val="p"/>
                    </m:rPr>
                    <m:t>×</m:t>
                  </m:r>
                  <m:r>
                    <m:t>A</m:t>
                  </m:r>
                  <m:r>
                    <m:t>U</m:t>
                  </m:r>
                  <m:r>
                    <m:t>D</m:t>
                  </m:r>
                  <m:sSub>
                    <m:e>
                      <m:r>
                        <m:t>Q</m:t>
                      </m:r>
                    </m:e>
                    <m:sub>
                      <m:r>
                        <m:t>i</m:t>
                      </m:r>
                      <m:r>
                        <m:t>t</m:t>
                      </m:r>
                    </m:sub>
                  </m:sSub>
                </m:e>
              </m:d>
              <m:r>
                <m:rPr>
                  <m:sty m:val="p"/>
                </m:rPr>
                <m:t>+</m:t>
              </m:r>
              <m:r>
                <m:t>γ</m:t>
              </m:r>
              <m:r>
                <m:rPr>
                  <m:sty m:val="p"/>
                </m:rPr>
                <m:t>′</m:t>
              </m:r>
              <m:r>
                <m:t>C</m:t>
              </m:r>
              <m:r>
                <m:t>O</m:t>
              </m:r>
              <m:r>
                <m:t>N</m:t>
              </m:r>
              <m:r>
                <m:t>T</m:t>
              </m:r>
              <m:r>
                <m:t>R</m:t>
              </m:r>
              <m:r>
                <m:t>O</m:t>
              </m:r>
              <m:sSub>
                <m:e>
                  <m:r>
                    <m:t>L</m:t>
                  </m:r>
                </m:e>
                <m:sub>
                  <m:r>
                    <m:t>i</m:t>
                  </m:r>
                  <m:r>
                    <m:t>t</m:t>
                  </m:r>
                </m:sub>
              </m:sSub>
              <m:r>
                <m:rPr>
                  <m:sty m:val="p"/>
                </m:rPr>
                <m:t>+</m:t>
              </m:r>
              <m:sSub>
                <m:e>
                  <m:r>
                    <m:t>τ</m:t>
                  </m:r>
                </m:e>
                <m:sub>
                  <m:r>
                    <m:t>t</m:t>
                  </m:r>
                </m:sub>
              </m:sSub>
              <m:r>
                <m:rPr>
                  <m:sty m:val="p"/>
                </m:rPr>
                <m:t>+</m:t>
              </m:r>
              <m:sSub>
                <m:e>
                  <m:r>
                    <m:t>θ</m:t>
                  </m:r>
                </m:e>
                <m:sub>
                  <m:r>
                    <m:t>s</m:t>
                  </m:r>
                </m:sub>
              </m:sSub>
            </m:e>
          </m:d>
        </m:oMath>
      </m:oMathPara>
    </w:p>
    <w:p>
      <w:pPr>
        <w:bidi/>
        <w:jc w:val="left"/>
      </w:pPr>
      <w:r>
        <w:rPr>
          <w:rFonts w:cs="B Nazanin"/>
          <w:rtl/>
          <w:szCs w:val="26"/>
        </w:rPr>
        <w:t xml:space="preserve">که</w:t>
      </w:r>
      <w:r>
        <w:rPr>
          <w:rFonts w:cs="B Nazanin"/>
          <w:rtl/>
          <w:szCs w:val="26"/>
        </w:rPr>
        <w:t xml:space="preserve"> </w:t>
      </w:r>
      <m:oMath>
        <m:r>
          <m:t>X</m:t>
        </m:r>
      </m:oMath>
      <w:r>
        <w:rPr>
          <w:rFonts w:cs="B Nazanin"/>
          <w:rtl/>
          <w:szCs w:val="26"/>
        </w:rPr>
        <w:t xml:space="preserve"> </w:t>
      </w:r>
      <w:r>
        <w:rPr>
          <w:rFonts w:cs="B Nazanin"/>
          <w:rtl/>
          <w:szCs w:val="26"/>
        </w:rPr>
        <w:t xml:space="preserve">معیار منتخب است. انتظار می‌رود</w:t>
      </w:r>
      <w:r>
        <w:rPr>
          <w:rFonts w:cs="B Nazanin"/>
          <w:rtl/>
          <w:szCs w:val="26"/>
        </w:rPr>
        <w:t xml:space="preserve"> </w:t>
      </w:r>
      <m:oMath>
        <m:sSub>
          <m:e>
            <m:r>
              <m:t>β</m:t>
            </m:r>
          </m:e>
          <m:sub>
            <m:r>
              <m:t>3</m:t>
            </m:r>
          </m:sub>
        </m:sSub>
      </m:oMath>
      <w:r>
        <w:rPr>
          <w:rFonts w:cs="B Nazanin"/>
          <w:rtl/>
          <w:szCs w:val="26"/>
        </w:rPr>
        <w:t xml:space="preserve"> </w:t>
      </w:r>
      <w:r>
        <w:rPr>
          <w:rFonts w:cs="B Nazanin"/>
          <w:rtl/>
          <w:szCs w:val="26"/>
        </w:rPr>
        <w:t xml:space="preserve">در جهت تقویت اثر معیار باشد (فرضیه ۴). برای فرضیه ۳، آستانه بهینه هر صنعت جداگانه برآورد و با آستانه واحد مقایسه می‌شود.</w:t>
      </w:r>
    </w:p>
    <w:bookmarkEnd w:id="40"/>
    <w:bookmarkEnd w:id="41"/>
    <w:bookmarkStart w:id="42" w:name="تعیین-آستانه-بهینه"/>
    <w:p>
      <w:pPr>
        <w:bidi/>
        <w:pStyle w:val="Heading2"/>
        <w:jc w:val="left"/>
      </w:pPr>
      <w:r>
        <w:rPr>
          <w:rFonts w:cs="B Nazanin"/>
          <w:rtl/>
          <w:szCs w:val="26"/>
        </w:rPr>
        <w:t xml:space="preserve">۴-۶. تعیین آستانه بهینه</w:t>
      </w:r>
    </w:p>
    <w:p>
      <w:pPr>
        <w:bidi/>
        <w:jc w:val="left"/>
      </w:pPr>
      <w:r>
        <w:rPr>
          <w:rFonts w:cs="B Nazanin"/>
          <w:rtl/>
          <w:bCs/>
          <w:b/>
          <w:szCs w:val="26"/>
        </w:rPr>
        <w:t xml:space="preserve">الف) شاخص یودن:</w:t>
      </w:r>
      <w:r>
        <w:rPr>
          <w:rFonts w:cs="B Nazanin"/>
          <w:rtl/>
          <w:szCs w:val="26"/>
        </w:rPr>
        <w:t xml:space="preserve"> </w:t>
      </w:r>
      <w:r>
        <w:rPr>
          <w:rFonts w:cs="B Nazanin"/>
          <w:rtl/>
          <w:szCs w:val="26"/>
        </w:rPr>
        <w:t xml:space="preserve">(Youden, 1950)</w:t>
      </w:r>
    </w:p>
    <w:p>
      <w:pPr>
        <w:bidi/>
        <w:jc w:val="left"/>
      </w:pPr>
      <m:oMathPara>
        <m:oMathParaPr>
          <m:jc m:val="center"/>
        </m:oMathParaPr>
        <m:oMath>
          <m:r>
            <m:t>J</m:t>
          </m:r>
          <m:d>
            <m:dPr>
              <m:begChr m:val="("/>
              <m:endChr m:val=")"/>
              <m:sepChr m:val=""/>
              <m:grow/>
            </m:dPr>
            <m:e>
              <m:r>
                <m:t>c</m:t>
              </m:r>
            </m:e>
          </m:d>
          <m:r>
            <m:rPr>
              <m:sty m:val="p"/>
            </m:rPr>
            <m:t>=</m:t>
          </m:r>
          <m:r>
            <m:t>S</m:t>
          </m:r>
          <m:r>
            <m:t>e</m:t>
          </m:r>
          <m:r>
            <m:t>n</m:t>
          </m:r>
          <m:r>
            <m:t>s</m:t>
          </m:r>
          <m:r>
            <m:t>i</m:t>
          </m:r>
          <m:r>
            <m:t>t</m:t>
          </m:r>
          <m:r>
            <m:t>i</m:t>
          </m:r>
          <m:r>
            <m:t>v</m:t>
          </m:r>
          <m:r>
            <m:t>i</m:t>
          </m:r>
          <m:r>
            <m:t>t</m:t>
          </m:r>
          <m:r>
            <m:t>y</m:t>
          </m:r>
          <m:d>
            <m:dPr>
              <m:begChr m:val="("/>
              <m:endChr m:val=")"/>
              <m:sepChr m:val=""/>
              <m:grow/>
            </m:dPr>
            <m:e>
              <m:r>
                <m:t>c</m:t>
              </m:r>
            </m:e>
          </m:d>
          <m:r>
            <m:rPr>
              <m:sty m:val="p"/>
            </m:rPr>
            <m:t>+</m:t>
          </m:r>
          <m:r>
            <m:t>S</m:t>
          </m:r>
          <m:r>
            <m:t>p</m:t>
          </m:r>
          <m:r>
            <m:t>e</m:t>
          </m:r>
          <m:r>
            <m:t>c</m:t>
          </m:r>
          <m:r>
            <m:t>i</m:t>
          </m:r>
          <m:r>
            <m:t>f</m:t>
          </m:r>
          <m:r>
            <m:t>i</m:t>
          </m:r>
          <m:r>
            <m:t>c</m:t>
          </m:r>
          <m:r>
            <m:t>i</m:t>
          </m:r>
          <m:r>
            <m:t>t</m:t>
          </m:r>
          <m:r>
            <m:t>y</m:t>
          </m:r>
          <m:d>
            <m:dPr>
              <m:begChr m:val="("/>
              <m:endChr m:val=")"/>
              <m:sepChr m:val=""/>
              <m:grow/>
            </m:dPr>
            <m:e>
              <m:r>
                <m:t>c</m:t>
              </m:r>
            </m:e>
          </m:d>
          <m:r>
            <m:rPr>
              <m:sty m:val="p"/>
            </m:rPr>
            <m:t>−</m:t>
          </m:r>
          <m:r>
            <m:t>1</m:t>
          </m:r>
          <m:r>
            <m:rPr>
              <m:sty m:val="p"/>
            </m:rPr>
            <m:t>,</m:t>
          </m:r>
          <m:r>
            <m:t> </m:t>
          </m:r>
          <m:sSup>
            <m:e>
              <m:r>
                <m:t>c</m:t>
              </m:r>
            </m:e>
            <m:sup>
              <m:r>
                <m:rPr>
                  <m:sty m:val="p"/>
                </m:rPr>
                <m:t>*</m:t>
              </m:r>
            </m:sup>
          </m:sSup>
          <m:r>
            <m:rPr>
              <m:sty m:val="p"/>
            </m:rPr>
            <m:t>=</m:t>
          </m:r>
          <m:r>
            <m:rPr>
              <m:sty m:val="p"/>
            </m:rPr>
            <m:t>arg</m:t>
          </m:r>
          <m:limLow>
            <m:e>
              <m:r>
                <m:rPr>
                  <m:sty m:val="p"/>
                </m:rPr>
                <m:t>max</m:t>
              </m:r>
            </m:e>
            <m:lim>
              <m:r>
                <m:t>c</m:t>
              </m:r>
            </m:lim>
          </m:limLow>
          <m:r>
            <m:t>J</m:t>
          </m:r>
          <m:d>
            <m:dPr>
              <m:begChr m:val="("/>
              <m:endChr m:val=")"/>
              <m:sepChr m:val=""/>
              <m:grow/>
            </m:dPr>
            <m:e>
              <m:r>
                <m:t>c</m:t>
              </m:r>
            </m:e>
          </m:d>
        </m:oMath>
      </m:oMathPara>
    </w:p>
    <w:p>
      <w:pPr>
        <w:bidi/>
        <w:jc w:val="left"/>
      </w:pPr>
      <w:r>
        <w:rPr>
          <w:rFonts w:cs="B Nazanin"/>
          <w:rtl/>
          <w:bCs/>
          <w:b/>
          <w:szCs w:val="26"/>
        </w:rPr>
        <w:t xml:space="preserve">ب) کمینه‌سازی هزینه مورد انتظار:</w:t>
      </w:r>
      <w:r>
        <w:rPr>
          <w:rFonts w:cs="B Nazanin"/>
          <w:rtl/>
          <w:szCs w:val="26"/>
        </w:rPr>
        <w:t xml:space="preserve"> </w:t>
      </w:r>
      <w:r>
        <w:rPr>
          <w:rFonts w:cs="B Nazanin"/>
          <w:rtl/>
          <w:szCs w:val="26"/>
        </w:rPr>
        <w:t xml:space="preserve">چون زیان ناشی از اعطای وام به شرکت نکول‌کننده (</w:t>
      </w:r>
      <m:oMath>
        <m:sSub>
          <m:e>
            <m:r>
              <m:t>C</m:t>
            </m:r>
          </m:e>
          <m:sub>
            <m:r>
              <m:t>F</m:t>
            </m:r>
            <m:r>
              <m:t>N</m:t>
            </m:r>
          </m:sub>
        </m:sSub>
      </m:oMath>
      <w:r>
        <w:rPr>
          <w:rFonts w:cs="B Nazanin"/>
          <w:rtl/>
          <w:szCs w:val="26"/>
        </w:rPr>
        <w:t xml:space="preserve">) معمولاً بسیار بیشتر از زیان از دست رفتن وام خوب (</w:t>
      </w:r>
      <m:oMath>
        <m:sSub>
          <m:e>
            <m:r>
              <m:t>C</m:t>
            </m:r>
          </m:e>
          <m:sub>
            <m:r>
              <m:t>F</m:t>
            </m:r>
            <m:r>
              <m:t>P</m:t>
            </m:r>
          </m:sub>
        </m:sSub>
      </m:oMath>
      <w:r>
        <w:rPr>
          <w:rFonts w:cs="B Nazanin"/>
          <w:rtl/>
          <w:szCs w:val="26"/>
        </w:rPr>
        <w:t xml:space="preserve">) است، آستانه‌ای انتخاب می‌شود که هزینه کل را کمینه کند:</w:t>
      </w:r>
    </w:p>
    <w:p>
      <w:pPr>
        <w:bidi/>
        <w:jc w:val="left"/>
      </w:pPr>
      <m:oMathPara>
        <m:oMathParaPr>
          <m:jc m:val="center"/>
        </m:oMathParaPr>
        <m:oMath>
          <m:r>
            <m:t>E</m:t>
          </m:r>
          <m:r>
            <m:t>C</m:t>
          </m:r>
          <m:d>
            <m:dPr>
              <m:begChr m:val="("/>
              <m:endChr m:val=")"/>
              <m:sepChr m:val=""/>
              <m:grow/>
            </m:dPr>
            <m:e>
              <m:r>
                <m:t>c</m:t>
              </m:r>
            </m:e>
          </m:d>
          <m:r>
            <m:rPr>
              <m:sty m:val="p"/>
            </m:rPr>
            <m:t>=</m:t>
          </m:r>
          <m:r>
            <m:t>π</m:t>
          </m:r>
          <m:r>
            <m:rPr>
              <m:sty m:val="p"/>
            </m:rPr>
            <m:t>⋅</m:t>
          </m:r>
          <m:sSub>
            <m:e>
              <m:r>
                <m:t>C</m:t>
              </m:r>
            </m:e>
            <m:sub>
              <m:r>
                <m:t>F</m:t>
              </m:r>
              <m:r>
                <m:t>N</m:t>
              </m:r>
            </m:sub>
          </m:sSub>
          <m:r>
            <m:rPr>
              <m:sty m:val="p"/>
            </m:rPr>
            <m:t>⋅</m:t>
          </m:r>
          <m:d>
            <m:dPr>
              <m:begChr m:val="("/>
              <m:endChr m:val=")"/>
              <m:sepChr m:val=""/>
              <m:grow/>
            </m:dPr>
            <m:e>
              <m:r>
                <m:t>1</m:t>
              </m:r>
              <m:r>
                <m:rPr>
                  <m:sty m:val="p"/>
                </m:rPr>
                <m:t>−</m:t>
              </m:r>
              <m:r>
                <m:t>T</m:t>
              </m:r>
              <m:r>
                <m:t>P</m:t>
              </m:r>
              <m:r>
                <m:t>R</m:t>
              </m:r>
              <m:d>
                <m:dPr>
                  <m:begChr m:val="("/>
                  <m:endChr m:val=")"/>
                  <m:sepChr m:val=""/>
                  <m:grow/>
                </m:dPr>
                <m:e>
                  <m:r>
                    <m:t>c</m:t>
                  </m:r>
                </m:e>
              </m:d>
            </m:e>
          </m:d>
          <m:r>
            <m:rPr>
              <m:sty m:val="p"/>
            </m:rPr>
            <m:t>+</m:t>
          </m:r>
          <m:d>
            <m:dPr>
              <m:begChr m:val="("/>
              <m:endChr m:val=")"/>
              <m:sepChr m:val=""/>
              <m:grow/>
            </m:dPr>
            <m:e>
              <m:r>
                <m:t>1</m:t>
              </m:r>
              <m:r>
                <m:rPr>
                  <m:sty m:val="p"/>
                </m:rPr>
                <m:t>−</m:t>
              </m:r>
              <m:r>
                <m:t>π</m:t>
              </m:r>
            </m:e>
          </m:d>
          <m:r>
            <m:rPr>
              <m:sty m:val="p"/>
            </m:rPr>
            <m:t>⋅</m:t>
          </m:r>
          <m:sSub>
            <m:e>
              <m:r>
                <m:t>C</m:t>
              </m:r>
            </m:e>
            <m:sub>
              <m:r>
                <m:t>F</m:t>
              </m:r>
              <m:r>
                <m:t>P</m:t>
              </m:r>
            </m:sub>
          </m:sSub>
          <m:r>
            <m:rPr>
              <m:sty m:val="p"/>
            </m:rPr>
            <m:t>⋅</m:t>
          </m:r>
          <m:r>
            <m:t>F</m:t>
          </m:r>
          <m:r>
            <m:t>P</m:t>
          </m:r>
          <m:r>
            <m:t>R</m:t>
          </m:r>
          <m:d>
            <m:dPr>
              <m:begChr m:val="("/>
              <m:endChr m:val=")"/>
              <m:sepChr m:val=""/>
              <m:grow/>
            </m:dPr>
            <m:e>
              <m:r>
                <m:t>c</m:t>
              </m:r>
            </m:e>
          </m:d>
        </m:oMath>
      </m:oMathPara>
    </w:p>
    <w:p>
      <w:pPr>
        <w:bidi/>
        <w:jc w:val="left"/>
      </w:pPr>
      <w:r>
        <w:rPr>
          <w:rFonts w:cs="B Nazanin"/>
          <w:rtl/>
          <w:szCs w:val="26"/>
        </w:rPr>
        <w:t xml:space="preserve">که</w:t>
      </w:r>
      <w:r>
        <w:rPr>
          <w:rFonts w:cs="B Nazanin"/>
          <w:rtl/>
          <w:szCs w:val="26"/>
        </w:rPr>
        <w:t xml:space="preserve"> </w:t>
      </w:r>
      <m:oMath>
        <m:r>
          <m:t>π</m:t>
        </m:r>
      </m:oMath>
      <w:r>
        <w:rPr>
          <w:rFonts w:cs="B Nazanin"/>
          <w:rtl/>
          <w:szCs w:val="26"/>
        </w:rPr>
        <w:t xml:space="preserve"> </w:t>
      </w:r>
      <w:r>
        <w:rPr>
          <w:rFonts w:cs="B Nazanin"/>
          <w:rtl/>
          <w:szCs w:val="26"/>
        </w:rPr>
        <w:t xml:space="preserve">نرخ پایه نکول در نمونه است. نسبت</w:t>
      </w:r>
      <w:r>
        <w:rPr>
          <w:rFonts w:cs="B Nazanin"/>
          <w:rtl/>
          <w:szCs w:val="26"/>
        </w:rPr>
        <w:t xml:space="preserve"> </w:t>
      </w:r>
      <m:oMath>
        <m:sSub>
          <m:e>
            <m:r>
              <m:t>C</m:t>
            </m:r>
          </m:e>
          <m:sub>
            <m:r>
              <m:t>F</m:t>
            </m:r>
            <m:r>
              <m:t>N</m:t>
            </m:r>
          </m:sub>
        </m:sSub>
        <m:r>
          <m:rPr>
            <m:sty m:val="p"/>
          </m:rPr>
          <m:t>/</m:t>
        </m:r>
        <m:sSub>
          <m:e>
            <m:r>
              <m:t>C</m:t>
            </m:r>
          </m:e>
          <m:sub>
            <m:r>
              <m:t>F</m:t>
            </m:r>
            <m:r>
              <m:t>P</m:t>
            </m:r>
          </m:sub>
        </m:sSub>
      </m:oMath>
      <w:r>
        <w:rPr>
          <w:rFonts w:cs="B Nazanin"/>
          <w:rtl/>
          <w:szCs w:val="26"/>
        </w:rPr>
        <w:t xml:space="preserve"> </w:t>
      </w:r>
      <w:r>
        <w:rPr>
          <w:rFonts w:cs="B Nazanin"/>
          <w:rtl/>
          <w:szCs w:val="26"/>
        </w:rPr>
        <w:t xml:space="preserve">در سناریوهای ۲، ۵، ۱۰ و ۲۰ تغییر داده می‌شود و حساسیت آستانه نسبت به آن گزارش می‌شود (Fawcett, 2006). تفسیر قراردادی: آستانه بهینه، «حد مجاز بند پیمان» است و نقض آن موجب بازنگری شرایط وام می‌شود.</w:t>
      </w:r>
    </w:p>
    <w:bookmarkEnd w:id="42"/>
    <w:bookmarkStart w:id="43" w:name="ارزیابی-عملکرد-و-اعتبارسنجی"/>
    <w:p>
      <w:pPr>
        <w:bidi/>
        <w:pStyle w:val="Heading2"/>
        <w:jc w:val="left"/>
      </w:pPr>
      <w:r>
        <w:rPr>
          <w:rFonts w:cs="B Nazanin"/>
          <w:rtl/>
          <w:szCs w:val="26"/>
        </w:rPr>
        <w:t xml:space="preserve">۴-۷. ارزیابی عملکرد و اعتبارسنجی</w:t>
      </w:r>
    </w:p>
    <w:p>
      <w:pPr>
        <w:bidi/>
        <w:jc w:val="left"/>
      </w:pPr>
      <w:r>
        <w:rPr>
          <w:rFonts w:cs="B Nazanin"/>
          <w:rtl/>
          <w:szCs w:val="26"/>
        </w:rPr>
        <w:t xml:space="preserve">۱.</w:t>
      </w:r>
      <w:r>
        <w:rPr>
          <w:rFonts w:cs="B Nazanin"/>
          <w:rtl/>
          <w:szCs w:val="26"/>
        </w:rPr>
        <w:t xml:space="preserve"> </w:t>
      </w:r>
      <w:r>
        <w:rPr>
          <w:rFonts w:cs="B Nazanin"/>
          <w:rtl/>
          <w:bCs/>
          <w:b/>
          <w:szCs w:val="26"/>
        </w:rPr>
        <w:t xml:space="preserve">تمایز:</w:t>
      </w:r>
      <w:r>
        <w:rPr>
          <w:rFonts w:cs="B Nazanin"/>
          <w:rtl/>
          <w:szCs w:val="26"/>
        </w:rPr>
        <w:t xml:space="preserve"> </w:t>
      </w:r>
      <w:r>
        <w:rPr>
          <w:rFonts w:cs="B Nazanin"/>
          <w:rtl/>
          <w:szCs w:val="26"/>
        </w:rPr>
        <w:t xml:space="preserve">AUC و سطح اطمینان آن، آزمون دیلانگ برای مقایسه (DeLong et al., 1988).</w:t>
      </w:r>
      <w:r>
        <w:rPr>
          <w:rFonts w:cs="B Nazanin"/>
          <w:rtl/>
          <w:szCs w:val="26"/>
        </w:rPr>
        <w:t xml:space="preserve"> </w:t>
      </w:r>
      <w:r>
        <w:rPr>
          <w:rFonts w:cs="B Nazanin"/>
          <w:rtl/>
          <w:szCs w:val="26"/>
        </w:rPr>
        <w:t xml:space="preserve">۲.</w:t>
      </w:r>
      <w:r>
        <w:rPr>
          <w:rFonts w:cs="B Nazanin"/>
          <w:rtl/>
          <w:szCs w:val="26"/>
        </w:rPr>
        <w:t xml:space="preserve"> </w:t>
      </w:r>
      <w:r>
        <w:rPr>
          <w:rFonts w:cs="B Nazanin"/>
          <w:rtl/>
          <w:bCs/>
          <w:b/>
          <w:szCs w:val="26"/>
        </w:rPr>
        <w:t xml:space="preserve">کالیبراسیون:</w:t>
      </w:r>
      <w:r>
        <w:rPr>
          <w:rFonts w:cs="B Nazanin"/>
          <w:rtl/>
          <w:szCs w:val="26"/>
        </w:rPr>
        <w:t xml:space="preserve"> </w:t>
      </w:r>
      <w:r>
        <w:rPr>
          <w:rFonts w:cs="B Nazanin"/>
          <w:rtl/>
          <w:szCs w:val="26"/>
        </w:rPr>
        <w:t xml:space="preserve">آزمون هاسمر و لمشو و امتیاز برایر (Hosmer &amp; Lemeshow, 2000; Brier, 1950).</w:t>
      </w:r>
      <w:r>
        <w:rPr>
          <w:rFonts w:cs="B Nazanin"/>
          <w:rtl/>
          <w:szCs w:val="26"/>
        </w:rPr>
        <w:t xml:space="preserve"> </w:t>
      </w:r>
      <w:r>
        <w:rPr>
          <w:rFonts w:cs="B Nazanin"/>
          <w:rtl/>
          <w:szCs w:val="26"/>
        </w:rPr>
        <w:t xml:space="preserve">۳.</w:t>
      </w:r>
      <w:r>
        <w:rPr>
          <w:rFonts w:cs="B Nazanin"/>
          <w:rtl/>
          <w:szCs w:val="26"/>
        </w:rPr>
        <w:t xml:space="preserve"> </w:t>
      </w:r>
      <w:r>
        <w:rPr>
          <w:rFonts w:cs="B Nazanin"/>
          <w:rtl/>
          <w:bCs/>
          <w:b/>
          <w:szCs w:val="26"/>
        </w:rPr>
        <w:t xml:space="preserve">اعتبارسنجی زمانی برون‌نمونه‌ای:</w:t>
      </w:r>
      <w:r>
        <w:rPr>
          <w:rFonts w:cs="B Nazanin"/>
          <w:rtl/>
          <w:szCs w:val="26"/>
        </w:rPr>
        <w:t xml:space="preserve"> </w:t>
      </w:r>
      <w:r>
        <w:rPr>
          <w:rFonts w:cs="B Nazanin"/>
          <w:rtl/>
          <w:szCs w:val="26"/>
        </w:rPr>
        <w:t xml:space="preserve">آموزش بر داده‌های ۱۳۹۳ تا ۱۳۹۹ و آزمون بر ۱۴۰۰ تا ۱۴۰۲، تا از نشت اطلاعات آینده جلوگیری شود.</w:t>
      </w:r>
      <w:r>
        <w:rPr>
          <w:rFonts w:cs="B Nazanin"/>
          <w:rtl/>
          <w:szCs w:val="26"/>
        </w:rPr>
        <w:t xml:space="preserve"> </w:t>
      </w:r>
      <w:r>
        <w:rPr>
          <w:rFonts w:cs="B Nazanin"/>
          <w:rtl/>
          <w:szCs w:val="26"/>
        </w:rPr>
        <w:t xml:space="preserve">۴.</w:t>
      </w:r>
      <w:r>
        <w:rPr>
          <w:rFonts w:cs="B Nazanin"/>
          <w:rtl/>
          <w:szCs w:val="26"/>
        </w:rPr>
        <w:t xml:space="preserve"> </w:t>
      </w:r>
      <w:r>
        <w:rPr>
          <w:rFonts w:cs="B Nazanin"/>
          <w:rtl/>
          <w:bCs/>
          <w:b/>
          <w:szCs w:val="26"/>
        </w:rPr>
        <w:t xml:space="preserve">اعتبار متقاطع K‌تایی:</w:t>
      </w:r>
      <w:r>
        <w:rPr>
          <w:rFonts w:cs="B Nazanin"/>
          <w:rtl/>
          <w:szCs w:val="26"/>
        </w:rPr>
        <w:t xml:space="preserve"> </w:t>
      </w:r>
      <w:r>
        <w:rPr>
          <w:rFonts w:cs="B Nazanin"/>
          <w:rtl/>
          <w:szCs w:val="26"/>
        </w:rPr>
        <w:t xml:space="preserve">برای انتخاب</w:t>
      </w:r>
      <w:r>
        <w:rPr>
          <w:rFonts w:cs="B Nazanin"/>
          <w:rtl/>
          <w:szCs w:val="26"/>
        </w:rPr>
        <w:t xml:space="preserve"> </w:t>
      </w:r>
      <m:oMath>
        <m:r>
          <m:t>λ</m:t>
        </m:r>
      </m:oMath>
      <w:r>
        <w:rPr>
          <w:rFonts w:cs="B Nazanin"/>
          <w:rtl/>
          <w:szCs w:val="26"/>
        </w:rPr>
        <w:t xml:space="preserve"> </w:t>
      </w:r>
      <w:r>
        <w:rPr>
          <w:rFonts w:cs="B Nazanin"/>
          <w:rtl/>
          <w:szCs w:val="26"/>
        </w:rPr>
        <w:t xml:space="preserve">و محاسبه واریانس AUC.</w:t>
      </w:r>
      <w:r>
        <w:rPr>
          <w:rFonts w:cs="B Nazanin"/>
          <w:rtl/>
          <w:szCs w:val="26"/>
        </w:rPr>
        <w:t xml:space="preserve"> </w:t>
      </w:r>
      <w:r>
        <w:rPr>
          <w:rFonts w:cs="B Nazanin"/>
          <w:rtl/>
          <w:szCs w:val="26"/>
        </w:rPr>
        <w:t xml:space="preserve">۵.</w:t>
      </w:r>
      <w:r>
        <w:rPr>
          <w:rFonts w:cs="B Nazanin"/>
          <w:rtl/>
          <w:szCs w:val="26"/>
        </w:rPr>
        <w:t xml:space="preserve"> </w:t>
      </w:r>
      <w:r>
        <w:rPr>
          <w:rFonts w:cs="B Nazanin"/>
          <w:rtl/>
          <w:bCs/>
          <w:b/>
          <w:szCs w:val="26"/>
        </w:rPr>
        <w:t xml:space="preserve">حساسیت و ویژگی</w:t>
      </w:r>
      <w:r>
        <w:rPr>
          <w:rFonts w:cs="B Nazanin"/>
          <w:rtl/>
          <w:szCs w:val="26"/>
        </w:rPr>
        <w:t xml:space="preserve"> </w:t>
      </w:r>
      <w:r>
        <w:rPr>
          <w:rFonts w:cs="B Nazanin"/>
          <w:rtl/>
          <w:szCs w:val="26"/>
        </w:rPr>
        <w:t xml:space="preserve">در آستانه بهینه و ماتریس درهم‌ریختگی.</w:t>
      </w:r>
    </w:p>
    <w:bookmarkEnd w:id="43"/>
    <w:bookmarkEnd w:id="44"/>
    <w:bookmarkStart w:id="45" w:name="طرح-تحلیل-و-ساختار-گزارش-یافتهها"/>
    <w:p>
      <w:pPr>
        <w:bidi/>
        <w:pStyle w:val="Heading1"/>
        <w:jc w:val="left"/>
      </w:pPr>
      <w:r>
        <w:rPr>
          <w:rFonts w:cs="B Nazanin"/>
          <w:rtl/>
          <w:szCs w:val="26"/>
        </w:rPr>
        <w:t xml:space="preserve">۵. طرح تحلیل و ساختار گزارش یافته‌ها</w:t>
      </w:r>
    </w:p>
    <w:p>
      <w:pPr>
        <w:bidi/>
        <w:jc w:val="left"/>
      </w:pPr>
      <w:r>
        <w:rPr>
          <w:rFonts w:cs="B Nazanin"/>
          <w:rtl/>
          <w:bCs/>
          <w:b/>
          <w:szCs w:val="26"/>
        </w:rPr>
        <w:t xml:space="preserve">جدول ۱ ـ آمار توصیفی و مقایسه گروه نکول و غیرنکول (آزمون t و من‌ـ‌ویتنی):</w:t>
      </w:r>
      <w:r>
        <w:rPr>
          <w:rFonts w:cs="B Nazanin"/>
          <w:rtl/>
          <w:szCs w:val="26"/>
        </w:rPr>
        <w:t xml:space="preserve"> </w:t>
      </w:r>
      <w:r>
        <w:rPr>
          <w:rFonts w:cs="B Nazanin"/>
          <w:rtl/>
          <w:szCs w:val="26"/>
        </w:rPr>
        <w:t xml:space="preserve">[با داده واقعی تکمیل شود].</w:t>
      </w:r>
    </w:p>
    <w:p>
      <w:pPr>
        <w:bidi/>
        <w:jc w:val="left"/>
      </w:pPr>
      <w:r>
        <w:rPr>
          <w:rFonts w:cs="B Nazanin"/>
          <w:rtl/>
          <w:bCs/>
          <w:b/>
          <w:szCs w:val="26"/>
        </w:rPr>
        <w:t xml:space="preserve">جدول ۲ ـ ماتریس همبستگی معیارها:</w:t>
      </w:r>
      <w:r>
        <w:rPr>
          <w:rFonts w:cs="B Nazanin"/>
          <w:rtl/>
          <w:szCs w:val="26"/>
        </w:rPr>
        <w:t xml:space="preserve"> </w:t>
      </w:r>
      <w:r>
        <w:rPr>
          <w:rFonts w:cs="B Nazanin"/>
          <w:rtl/>
          <w:szCs w:val="26"/>
        </w:rPr>
        <w:t xml:space="preserve">[تکمیل شود].</w:t>
      </w:r>
    </w:p>
    <w:p>
      <w:pPr>
        <w:bidi/>
        <w:jc w:val="left"/>
      </w:pPr>
      <w:r>
        <w:rPr>
          <w:rFonts w:cs="B Nazanin"/>
          <w:rtl/>
          <w:bCs/>
          <w:b/>
          <w:szCs w:val="26"/>
        </w:rPr>
        <w:t xml:space="preserve">جدول ۳ ـ AUC به‌تفکیک دسته معیار و آزمون دیلانگ (فرضیه ۱):</w:t>
      </w:r>
      <w:r>
        <w:rPr>
          <w:rFonts w:cs="B Nazanin"/>
          <w:rtl/>
          <w:szCs w:val="26"/>
        </w:rPr>
        <w:t xml:space="preserve"> </w:t>
      </w:r>
      <w:r>
        <w:rPr>
          <w:rFonts w:cs="B Nazanin"/>
          <w:rtl/>
          <w:szCs w:val="26"/>
        </w:rPr>
        <w:t xml:space="preserve">[تکمیل شود].</w:t>
      </w:r>
    </w:p>
    <w:p>
      <w:pPr>
        <w:bidi/>
        <w:jc w:val="left"/>
      </w:pPr>
      <w:r>
        <w:rPr>
          <w:rFonts w:cs="B Nazanin"/>
          <w:rtl/>
          <w:bCs/>
          <w:b/>
          <w:szCs w:val="26"/>
        </w:rPr>
        <w:t xml:space="preserve">جدول ۴ ـ مسیر ضرایب لاسو و مجموعه معیار منتخب:</w:t>
      </w:r>
      <w:r>
        <w:rPr>
          <w:rFonts w:cs="B Nazanin"/>
          <w:rtl/>
          <w:szCs w:val="26"/>
        </w:rPr>
        <w:t xml:space="preserve"> </w:t>
      </w:r>
      <w:r>
        <w:rPr>
          <w:rFonts w:cs="B Nazanin"/>
          <w:rtl/>
          <w:szCs w:val="26"/>
        </w:rPr>
        <w:t xml:space="preserve">[تکمیل شود].</w:t>
      </w:r>
    </w:p>
    <w:p>
      <w:pPr>
        <w:bidi/>
        <w:jc w:val="left"/>
      </w:pPr>
      <w:r>
        <w:rPr>
          <w:rFonts w:cs="B Nazanin"/>
          <w:rtl/>
          <w:bCs/>
          <w:b/>
          <w:szCs w:val="26"/>
        </w:rPr>
        <w:t xml:space="preserve">جدول ۵ ـ مقایسه مدل با و بدون DIV (فرضیه ۲):</w:t>
      </w:r>
      <w:r>
        <w:rPr>
          <w:rFonts w:cs="B Nazanin"/>
          <w:rtl/>
          <w:szCs w:val="26"/>
        </w:rPr>
        <w:t xml:space="preserve"> </w:t>
      </w:r>
      <w:r>
        <w:rPr>
          <w:rFonts w:cs="B Nazanin"/>
          <w:rtl/>
          <w:szCs w:val="26"/>
        </w:rPr>
        <w:t xml:space="preserve">[تکمیل شود].</w:t>
      </w:r>
    </w:p>
    <w:p>
      <w:pPr>
        <w:bidi/>
        <w:jc w:val="left"/>
      </w:pPr>
      <w:r>
        <w:rPr>
          <w:rFonts w:cs="B Nazanin"/>
          <w:rtl/>
          <w:bCs/>
          <w:b/>
          <w:szCs w:val="26"/>
        </w:rPr>
        <w:t xml:space="preserve">جدول ۶ ـ آستانه‌های بهینه به‌تفکیک صنعت و سناریوهای هزینه (فرضیه ۳):</w:t>
      </w:r>
      <w:r>
        <w:rPr>
          <w:rFonts w:cs="B Nazanin"/>
          <w:rtl/>
          <w:szCs w:val="26"/>
        </w:rPr>
        <w:t xml:space="preserve"> </w:t>
      </w:r>
      <w:r>
        <w:rPr>
          <w:rFonts w:cs="B Nazanin"/>
          <w:rtl/>
          <w:szCs w:val="26"/>
        </w:rPr>
        <w:t xml:space="preserve">[تکمیل شود].</w:t>
      </w:r>
    </w:p>
    <w:p>
      <w:pPr>
        <w:bidi/>
        <w:jc w:val="left"/>
      </w:pPr>
      <w:r>
        <w:rPr>
          <w:rFonts w:cs="B Nazanin"/>
          <w:rtl/>
          <w:bCs/>
          <w:b/>
          <w:szCs w:val="26"/>
        </w:rPr>
        <w:t xml:space="preserve">جدول ۷ ـ تعدیل کیفیت حسابرسی (فرضیه ۴):</w:t>
      </w:r>
      <w:r>
        <w:rPr>
          <w:rFonts w:cs="B Nazanin"/>
          <w:rtl/>
          <w:szCs w:val="26"/>
        </w:rPr>
        <w:t xml:space="preserve"> </w:t>
      </w:r>
      <w:r>
        <w:rPr>
          <w:rFonts w:cs="B Nazanin"/>
          <w:rtl/>
          <w:szCs w:val="26"/>
        </w:rPr>
        <w:t xml:space="preserve">[تکمیل شود].</w:t>
      </w:r>
    </w:p>
    <w:p>
      <w:pPr>
        <w:bidi/>
        <w:jc w:val="left"/>
      </w:pPr>
      <w:r>
        <w:rPr>
          <w:rFonts w:cs="B Nazanin"/>
          <w:rtl/>
          <w:bCs/>
          <w:b/>
          <w:szCs w:val="26"/>
        </w:rPr>
        <w:t xml:space="preserve">جدول ۸ ـ جدول پیشنهادی بندهای قرارداد:</w:t>
      </w:r>
      <w:r>
        <w:rPr>
          <w:rFonts w:cs="B Nazanin"/>
          <w:rtl/>
          <w:szCs w:val="26"/>
        </w:rPr>
        <w:t xml:space="preserve"> </w:t>
      </w:r>
      <w:r>
        <w:rPr>
          <w:rFonts w:cs="B Nazanin"/>
          <w:rtl/>
          <w:szCs w:val="26"/>
        </w:rPr>
        <w:t xml:space="preserve">برای هر معیار منتخب: تعریف دقیق، منبع داده حسابرسی‌شده، آستانه، حساسیت، ویژگی، فواصل زمانی پایش و پیامد نقض. این جدول خروجی کاربردی اصلی مقاله است [تکمیل شود].</w:t>
      </w:r>
    </w:p>
    <w:bookmarkEnd w:id="45"/>
    <w:bookmarkStart w:id="47" w:name="آزمونهای-استحکام"/>
    <w:p>
      <w:pPr>
        <w:bidi/>
        <w:pStyle w:val="Heading1"/>
        <w:jc w:val="left"/>
      </w:pPr>
      <w:r>
        <w:rPr>
          <w:rFonts w:cs="B Nazanin"/>
          <w:rtl/>
          <w:szCs w:val="26"/>
        </w:rPr>
        <w:t xml:space="preserve">۶. آزمون‌های استحکام</w:t>
      </w:r>
    </w:p>
    <w:p>
      <w:pPr>
        <w:bidi/>
        <w:jc w:val="left"/>
      </w:pPr>
      <w:r>
        <w:rPr>
          <w:rFonts w:cs="B Nazanin"/>
          <w:rtl/>
          <w:szCs w:val="26"/>
        </w:rPr>
        <w:t xml:space="preserve">۱. تعریف‌های جایگزین متغیر وابسته (DEF_141، DEF_BANK و DEF_Z جداگانه).</w:t>
      </w:r>
      <w:r>
        <w:rPr>
          <w:rFonts w:cs="B Nazanin"/>
          <w:rtl/>
          <w:szCs w:val="26"/>
        </w:rPr>
        <w:t xml:space="preserve"> </w:t>
      </w:r>
      <w:r>
        <w:rPr>
          <w:rFonts w:cs="B Nazanin"/>
          <w:rtl/>
          <w:szCs w:val="26"/>
        </w:rPr>
        <w:t xml:space="preserve">۲. مدل خطر گسسته به‌جای لاجیت ایستا.</w:t>
      </w:r>
      <w:r>
        <w:rPr>
          <w:rFonts w:cs="B Nazanin"/>
          <w:rtl/>
          <w:szCs w:val="26"/>
        </w:rPr>
        <w:t xml:space="preserve"> </w:t>
      </w:r>
      <w:r>
        <w:rPr>
          <w:rFonts w:cs="B Nazanin"/>
          <w:rtl/>
          <w:szCs w:val="26"/>
        </w:rPr>
        <w:t xml:space="preserve">۳. حذف ZSCORE و DIV از کاندیدها برای بررسی پایداری انتخاب لاسو.</w:t>
      </w:r>
      <w:r>
        <w:rPr>
          <w:rFonts w:cs="B Nazanin"/>
          <w:rtl/>
          <w:szCs w:val="26"/>
        </w:rPr>
        <w:t xml:space="preserve"> </w:t>
      </w:r>
      <w:r>
        <w:rPr>
          <w:rFonts w:cs="B Nazanin"/>
          <w:rtl/>
          <w:szCs w:val="26"/>
        </w:rPr>
        <w:t xml:space="preserve">۴. شبکه الاستیک</w:t>
      </w:r>
      <w:r>
        <w:rPr>
          <w:rFonts w:cs="B Nazanin"/>
          <w:rStyle w:val="FootnoteReference"/>
          <w:rtl/>
          <w:szCs w:val="26"/>
        </w:rPr>
        <w:footnoteReference w:id="46"/>
      </w:r>
      <w:r>
        <w:rPr>
          <w:rFonts w:cs="B Nazanin"/>
          <w:rtl/>
          <w:szCs w:val="26"/>
        </w:rPr>
        <w:t xml:space="preserve"> </w:t>
      </w:r>
      <w:r>
        <w:rPr>
          <w:rFonts w:cs="B Nazanin"/>
          <w:rtl/>
          <w:szCs w:val="26"/>
        </w:rPr>
        <w:t xml:space="preserve">به‌جای لاسو، برای کنترل هم‌خطی میان نسبت‌ها (Zou &amp; Hastie, 2005).</w:t>
      </w:r>
      <w:r>
        <w:rPr>
          <w:rFonts w:cs="B Nazanin"/>
          <w:rtl/>
          <w:szCs w:val="26"/>
        </w:rPr>
        <w:t xml:space="preserve"> </w:t>
      </w:r>
      <w:r>
        <w:rPr>
          <w:rFonts w:cs="B Nazanin"/>
          <w:rtl/>
          <w:szCs w:val="26"/>
        </w:rPr>
        <w:t xml:space="preserve">۵. حذف سال‌های شوک ارزی و تحریمی و بررسی پایداری آستانه.</w:t>
      </w:r>
      <w:r>
        <w:rPr>
          <w:rFonts w:cs="B Nazanin"/>
          <w:rtl/>
          <w:szCs w:val="26"/>
        </w:rPr>
        <w:t xml:space="preserve"> </w:t>
      </w:r>
      <w:r>
        <w:rPr>
          <w:rFonts w:cs="B Nazanin"/>
          <w:rtl/>
          <w:szCs w:val="26"/>
        </w:rPr>
        <w:t xml:space="preserve">۶. بررسی مرزهای آستانه با بوت‌استرپ (۱۰۰۰ تکرار).</w:t>
      </w:r>
      <w:r>
        <w:rPr>
          <w:rFonts w:cs="B Nazanin"/>
          <w:rtl/>
          <w:szCs w:val="26"/>
        </w:rPr>
        <w:t xml:space="preserve"> </w:t>
      </w:r>
      <w:r>
        <w:rPr>
          <w:rFonts w:cs="B Nazanin"/>
          <w:rtl/>
          <w:szCs w:val="26"/>
        </w:rPr>
        <w:t xml:space="preserve">۷. تفکیک شرکت‌های بزرگ و کوچک و شرکت‌های دولتی و خصوصی.</w:t>
      </w:r>
    </w:p>
    <w:bookmarkEnd w:id="47"/>
    <w:bookmarkStart w:id="48" w:name="نتیجهگیری-و-پیشنهادها"/>
    <w:p>
      <w:pPr>
        <w:bidi/>
        <w:pStyle w:val="Heading1"/>
        <w:jc w:val="left"/>
      </w:pPr>
      <w:r>
        <w:rPr>
          <w:rFonts w:cs="B Nazanin"/>
          <w:rtl/>
          <w:szCs w:val="26"/>
        </w:rPr>
        <w:t xml:space="preserve">۷. نتیجه‌گیری و پیشنهادها</w:t>
      </w:r>
    </w:p>
    <w:p>
      <w:pPr>
        <w:bidi/>
        <w:jc w:val="left"/>
      </w:pPr>
      <w:r>
        <w:rPr>
          <w:rFonts w:cs="B Nazanin"/>
          <w:rtl/>
          <w:szCs w:val="26"/>
        </w:rPr>
        <w:t xml:space="preserve">[بخش نتیجه‌گیری پس از دریافت نتایج تجربی تکمیل می‌شود.] چارچوب پیشنهادی: خلاصه یافته‌ها و پذیرش یا رد فرضیه‌ها؛ توضیح مجموعه معیار منتخب و آستانه‌ها؛ سپس پیشنهادها:</w:t>
      </w:r>
    </w:p>
    <w:p>
      <w:pPr>
        <w:bidi/>
        <w:numPr>
          <w:ilvl w:val="0"/>
          <w:numId w:val="1002"/>
        </w:numPr>
        <w:pStyle w:val="Compact"/>
        <w:jc w:val="left"/>
      </w:pPr>
      <w:r>
        <w:rPr>
          <w:rFonts w:cs="B Nazanin"/>
          <w:rtl/>
          <w:bCs/>
          <w:b/>
          <w:szCs w:val="26"/>
        </w:rPr>
        <w:t xml:space="preserve">برای بانک‌ها:</w:t>
      </w:r>
      <w:r>
        <w:rPr>
          <w:rFonts w:cs="B Nazanin"/>
          <w:rtl/>
          <w:szCs w:val="26"/>
        </w:rPr>
        <w:t xml:space="preserve"> </w:t>
      </w:r>
      <w:r>
        <w:rPr>
          <w:rFonts w:cs="B Nazanin"/>
          <w:rtl/>
          <w:szCs w:val="26"/>
        </w:rPr>
        <w:t xml:space="preserve">درج معیارهای منتخب با تعریف دقیق و آستانه‌های صنعت در قراردادهای تسهیلات، و استفاده از آستانه‌ها به‌صورت سیستم هشدار (نه فقط محرک مطالبه فوری) برای جلوگیری از هزینه‌های رد وام خوب.</w:t>
      </w:r>
    </w:p>
    <w:p>
      <w:pPr>
        <w:bidi/>
        <w:numPr>
          <w:ilvl w:val="0"/>
          <w:numId w:val="1002"/>
        </w:numPr>
        <w:pStyle w:val="Compact"/>
        <w:jc w:val="left"/>
      </w:pPr>
      <w:r>
        <w:rPr>
          <w:rFonts w:cs="B Nazanin"/>
          <w:rtl/>
          <w:bCs/>
          <w:b/>
          <w:szCs w:val="26"/>
        </w:rPr>
        <w:t xml:space="preserve">برای حرفه حسابرسی:</w:t>
      </w:r>
      <w:r>
        <w:rPr>
          <w:rFonts w:cs="B Nazanin"/>
          <w:rtl/>
          <w:szCs w:val="26"/>
        </w:rPr>
        <w:t xml:space="preserve"> </w:t>
      </w:r>
      <w:r>
        <w:rPr>
          <w:rFonts w:cs="B Nazanin"/>
          <w:rtl/>
          <w:szCs w:val="26"/>
        </w:rPr>
        <w:t xml:space="preserve">ارائه گزارش اطمینان‌بخشی ویژه درباره محاسبه معیارهای پیمان به‌صورت دوره‌ای و استفاده از ظرفیت حسابرسی برای کاهش دستکاری اقلام.</w:t>
      </w:r>
    </w:p>
    <w:p>
      <w:pPr>
        <w:bidi/>
        <w:numPr>
          <w:ilvl w:val="0"/>
          <w:numId w:val="1002"/>
        </w:numPr>
        <w:pStyle w:val="Compact"/>
        <w:jc w:val="left"/>
      </w:pPr>
      <w:r>
        <w:rPr>
          <w:rFonts w:cs="B Nazanin"/>
          <w:rtl/>
          <w:bCs/>
          <w:b/>
          <w:szCs w:val="26"/>
        </w:rPr>
        <w:t xml:space="preserve">برای نهاد ناظر:</w:t>
      </w:r>
      <w:r>
        <w:rPr>
          <w:rFonts w:cs="B Nazanin"/>
          <w:rtl/>
          <w:szCs w:val="26"/>
        </w:rPr>
        <w:t xml:space="preserve"> </w:t>
      </w:r>
      <w:r>
        <w:rPr>
          <w:rFonts w:cs="B Nazanin"/>
          <w:rtl/>
          <w:szCs w:val="26"/>
        </w:rPr>
        <w:t xml:space="preserve">تدوین راهنمای معیارهای حداقلی قراردادی و الزام به افشای شاخص‌های مربوط در یادداشت‌های توضیحی.</w:t>
      </w:r>
    </w:p>
    <w:p>
      <w:pPr>
        <w:bidi/>
        <w:numPr>
          <w:ilvl w:val="0"/>
          <w:numId w:val="1002"/>
        </w:numPr>
        <w:pStyle w:val="Compact"/>
        <w:jc w:val="left"/>
      </w:pPr>
      <w:r>
        <w:rPr>
          <w:rFonts w:cs="B Nazanin"/>
          <w:rtl/>
          <w:bCs/>
          <w:b/>
          <w:szCs w:val="26"/>
        </w:rPr>
        <w:t xml:space="preserve">پژوهش‌های آینده:</w:t>
      </w:r>
      <w:r>
        <w:rPr>
          <w:rFonts w:cs="B Nazanin"/>
          <w:rtl/>
          <w:szCs w:val="26"/>
        </w:rPr>
        <w:t xml:space="preserve"> </w:t>
      </w:r>
      <w:r>
        <w:rPr>
          <w:rFonts w:cs="B Nazanin"/>
          <w:rtl/>
          <w:szCs w:val="26"/>
        </w:rPr>
        <w:t xml:space="preserve">استفاده از داده‌های واقعی وام و نکول بانکی به‌جای ملاک‌های مبتنی بر صورت‌های مالی، و روش‌های یادگیری ماشین غیرخطی.</w:t>
      </w:r>
    </w:p>
    <w:p>
      <w:pPr>
        <w:bidi/>
        <w:jc w:val="left"/>
      </w:pPr>
      <w:r>
        <w:rPr>
          <w:rFonts w:cs="B Nazanin"/>
          <w:rtl/>
          <w:bCs/>
          <w:b/>
          <w:szCs w:val="26"/>
        </w:rPr>
        <w:t xml:space="preserve">محدودیت‌ها:</w:t>
      </w:r>
      <w:r>
        <w:rPr>
          <w:rFonts w:cs="B Nazanin"/>
          <w:rtl/>
          <w:szCs w:val="26"/>
        </w:rPr>
        <w:t xml:space="preserve"> </w:t>
      </w:r>
      <w:r>
        <w:rPr>
          <w:rFonts w:cs="B Nazanin"/>
          <w:rtl/>
          <w:szCs w:val="26"/>
        </w:rPr>
        <w:t xml:space="preserve">متغیر وابسته بر پایه افشای صورت‌های مالی و نه داده محرمانه بانکی است؛ شرکت‌های بورسی نماینده کل وام‌گیرندگان (به‌ویژه بنگاه‌های کوچک) نیستند؛ و آستانه‌ها ممکن است با دوره‌های اقتصادی تغییر کنند.</w:t>
      </w:r>
    </w:p>
    <w:bookmarkEnd w:id="48"/>
    <w:bookmarkStart w:id="49" w:name="منابع"/>
    <w:p>
      <w:pPr>
        <w:bidi/>
        <w:pStyle w:val="Heading1"/>
        <w:jc w:val="left"/>
      </w:pPr>
      <w:r>
        <w:rPr>
          <w:rFonts w:cs="B Nazanin"/>
          <w:rtl/>
          <w:szCs w:val="26"/>
        </w:rPr>
        <w:t xml:space="preserve">۸. منابع</w:t>
      </w:r>
    </w:p>
    <w:p>
      <w:pPr>
        <w:bidi/>
        <w:jc w:val="left"/>
      </w:pPr>
      <w:r>
        <w:rPr>
          <w:rFonts w:cs="B Nazanin"/>
          <w:rtl/>
          <w:bCs/>
          <w:b/>
          <w:szCs w:val="26"/>
        </w:rPr>
        <w:t xml:space="preserve">منابع فارسی:</w:t>
      </w:r>
      <w:r>
        <w:rPr>
          <w:rFonts w:cs="B Nazanin"/>
          <w:rtl/>
          <w:szCs w:val="26"/>
        </w:rPr>
        <w:t xml:space="preserve"> </w:t>
      </w:r>
      <w:r>
        <w:rPr>
          <w:rFonts w:cs="B Nazanin"/>
          <w:rtl/>
          <w:szCs w:val="26"/>
        </w:rPr>
        <w:t xml:space="preserve">[این بخش را با منابع فارسی معتبر (مقالات علمی‌پژوهشی نمایه‌شده در SID/ISC/Magiran درباره پیش‌بینی درماندگی مالی، بندهای پیمان و اعتبارسنجی بانکی در ایران) تکمیل کنید.]</w:t>
      </w:r>
    </w:p>
    <w:p>
      <w:pPr>
        <w:bidi/>
        <w:numPr>
          <w:ilvl w:val="0"/>
          <w:numId w:val="1003"/>
        </w:numPr>
        <w:pStyle w:val="Compact"/>
        <w:jc w:val="left"/>
      </w:pPr>
      <w:r>
        <w:rPr>
          <w:rFonts w:cs="B Nazanin"/>
          <w:rtl/>
          <w:szCs w:val="26"/>
        </w:rPr>
        <w:t xml:space="preserve">سازمان حسابرسی. (آخرین ویرایش).</w:t>
      </w:r>
      <w:r>
        <w:rPr>
          <w:rFonts w:cs="B Nazanin"/>
          <w:rtl/>
          <w:szCs w:val="26"/>
        </w:rPr>
        <w:t xml:space="preserve"> </w:t>
      </w:r>
      <w:r>
        <w:rPr>
          <w:rFonts w:cs="B Nazanin"/>
          <w:rtl/>
          <w:iCs/>
          <w:i/>
          <w:szCs w:val="26"/>
        </w:rPr>
        <w:t xml:space="preserve">استانداردهای حسابداری</w:t>
      </w:r>
      <w:r>
        <w:rPr>
          <w:rFonts w:cs="B Nazanin"/>
          <w:rtl/>
          <w:szCs w:val="26"/>
        </w:rPr>
        <w:t xml:space="preserve">. تهران: انتشارات سازمان حسابرسی.</w:t>
      </w:r>
    </w:p>
    <w:p>
      <w:pPr>
        <w:bidi/>
        <w:numPr>
          <w:ilvl w:val="0"/>
          <w:numId w:val="1003"/>
        </w:numPr>
        <w:pStyle w:val="Compact"/>
        <w:jc w:val="left"/>
      </w:pPr>
      <w:r>
        <w:rPr>
          <w:rFonts w:cs="B Nazanin"/>
          <w:rtl/>
          <w:szCs w:val="26"/>
        </w:rPr>
        <w:t xml:space="preserve">قانون تجارت ایران، ماده ۱۴۱.</w:t>
      </w:r>
    </w:p>
    <w:p>
      <w:pPr>
        <w:bidi/>
        <w:jc w:val="left"/>
      </w:pPr>
      <w:r>
        <w:rPr>
          <w:rFonts w:cs="B Nazanin"/>
          <w:rtl/>
          <w:bCs/>
          <w:b/>
          <w:szCs w:val="26"/>
        </w:rPr>
        <w:t xml:space="preserve">منابع لاتین:</w:t>
      </w:r>
    </w:p>
    <w:p>
      <w:pPr>
        <w:bidi/>
        <w:numPr>
          <w:ilvl w:val="0"/>
          <w:numId w:val="1004"/>
        </w:numPr>
        <w:pStyle w:val="Compact"/>
        <w:jc w:val="left"/>
      </w:pPr>
      <w:r>
        <w:rPr>
          <w:rFonts w:cs="B Nazanin"/>
          <w:rtl/>
          <w:szCs w:val="26"/>
        </w:rPr>
        <w:t xml:space="preserve">Akerlof, G. A. (1970). The market for</w:t>
      </w:r>
      <w:r>
        <w:rPr>
          <w:rFonts w:cs="B Nazanin"/>
          <w:rtl/>
          <w:szCs w:val="26"/>
        </w:rPr>
        <w:t xml:space="preserve"> </w:t>
      </w:r>
      <w:r>
        <w:rPr>
          <w:rFonts w:cs="B Nazanin"/>
          <w:rtl/>
          <w:szCs w:val="26"/>
        </w:rPr>
        <w:t xml:space="preserve">“</w:t>
      </w:r>
      <w:r>
        <w:rPr>
          <w:rFonts w:cs="B Nazanin"/>
          <w:rtl/>
          <w:szCs w:val="26"/>
        </w:rPr>
        <w:t xml:space="preserve">lemons</w:t>
      </w:r>
      <w:r>
        <w:rPr>
          <w:rFonts w:cs="B Nazanin"/>
          <w:rtl/>
          <w:szCs w:val="26"/>
        </w:rPr>
        <w:t xml:space="preserve">”</w:t>
      </w:r>
      <w:r>
        <w:rPr>
          <w:rFonts w:cs="B Nazanin"/>
          <w:rtl/>
          <w:szCs w:val="26"/>
        </w:rPr>
        <w:t xml:space="preserve">: Quality uncertainty and the market mechanism.</w:t>
      </w:r>
      <w:r>
        <w:rPr>
          <w:rFonts w:cs="B Nazanin"/>
          <w:rtl/>
          <w:szCs w:val="26"/>
        </w:rPr>
        <w:t xml:space="preserve"> </w:t>
      </w:r>
      <w:r>
        <w:rPr>
          <w:rFonts w:cs="B Nazanin"/>
          <w:rtl/>
          <w:iCs/>
          <w:i/>
          <w:szCs w:val="26"/>
        </w:rPr>
        <w:t xml:space="preserve">Quarterly Journal of Economics, 84</w:t>
      </w:r>
      <w:r>
        <w:rPr>
          <w:rFonts w:cs="B Nazanin"/>
          <w:rtl/>
          <w:szCs w:val="26"/>
        </w:rPr>
        <w:t xml:space="preserve">(3), 488–500.</w:t>
      </w:r>
    </w:p>
    <w:p>
      <w:pPr>
        <w:bidi/>
        <w:numPr>
          <w:ilvl w:val="0"/>
          <w:numId w:val="1004"/>
        </w:numPr>
        <w:pStyle w:val="Compact"/>
        <w:jc w:val="left"/>
      </w:pPr>
      <w:r>
        <w:rPr>
          <w:rFonts w:cs="B Nazanin"/>
          <w:rtl/>
          <w:szCs w:val="26"/>
        </w:rPr>
        <w:t xml:space="preserve">Altman, E. I. (1968). Financial ratios, discriminant analysis and the prediction of corporate bankruptcy.</w:t>
      </w:r>
      <w:r>
        <w:rPr>
          <w:rFonts w:cs="B Nazanin"/>
          <w:rtl/>
          <w:szCs w:val="26"/>
        </w:rPr>
        <w:t xml:space="preserve"> </w:t>
      </w:r>
      <w:r>
        <w:rPr>
          <w:rFonts w:cs="B Nazanin"/>
          <w:rtl/>
          <w:iCs/>
          <w:i/>
          <w:szCs w:val="26"/>
        </w:rPr>
        <w:t xml:space="preserve">Journal of Finance, 23</w:t>
      </w:r>
      <w:r>
        <w:rPr>
          <w:rFonts w:cs="B Nazanin"/>
          <w:rtl/>
          <w:szCs w:val="26"/>
        </w:rPr>
        <w:t xml:space="preserve">(4), 589–609.</w:t>
      </w:r>
    </w:p>
    <w:p>
      <w:pPr>
        <w:bidi/>
        <w:numPr>
          <w:ilvl w:val="0"/>
          <w:numId w:val="1004"/>
        </w:numPr>
        <w:pStyle w:val="Compact"/>
        <w:jc w:val="left"/>
      </w:pPr>
      <w:r>
        <w:rPr>
          <w:rFonts w:cs="B Nazanin"/>
          <w:rtl/>
          <w:szCs w:val="26"/>
        </w:rPr>
        <w:t xml:space="preserve">Altman, E. I., Hartzell, J., &amp; Peck, M. (1995).</w:t>
      </w:r>
      <w:r>
        <w:rPr>
          <w:rFonts w:cs="B Nazanin"/>
          <w:rtl/>
          <w:szCs w:val="26"/>
        </w:rPr>
        <w:t xml:space="preserve"> </w:t>
      </w:r>
      <w:r>
        <w:rPr>
          <w:rFonts w:cs="B Nazanin"/>
          <w:rtl/>
          <w:iCs/>
          <w:i/>
          <w:szCs w:val="26"/>
        </w:rPr>
        <w:t xml:space="preserve">Emerging markets corporate bonds: A scoring system</w:t>
      </w:r>
      <w:r>
        <w:rPr>
          <w:rFonts w:cs="B Nazanin"/>
          <w:rtl/>
          <w:szCs w:val="26"/>
        </w:rPr>
        <w:t xml:space="preserve">. Salomon Brothers.</w:t>
      </w:r>
    </w:p>
    <w:p>
      <w:pPr>
        <w:bidi/>
        <w:numPr>
          <w:ilvl w:val="0"/>
          <w:numId w:val="1004"/>
        </w:numPr>
        <w:pStyle w:val="Compact"/>
        <w:jc w:val="left"/>
      </w:pPr>
      <w:r>
        <w:rPr>
          <w:rFonts w:cs="B Nazanin"/>
          <w:rtl/>
          <w:szCs w:val="26"/>
        </w:rPr>
        <w:t xml:space="preserve">Beaver, W. H. (1966). Financial ratios as predictors of failure.</w:t>
      </w:r>
      <w:r>
        <w:rPr>
          <w:rFonts w:cs="B Nazanin"/>
          <w:rtl/>
          <w:szCs w:val="26"/>
        </w:rPr>
        <w:t xml:space="preserve"> </w:t>
      </w:r>
      <w:r>
        <w:rPr>
          <w:rFonts w:cs="B Nazanin"/>
          <w:rtl/>
          <w:iCs/>
          <w:i/>
          <w:szCs w:val="26"/>
        </w:rPr>
        <w:t xml:space="preserve">Journal of Accounting Research, 4</w:t>
      </w:r>
      <w:r>
        <w:rPr>
          <w:rFonts w:cs="B Nazanin"/>
          <w:rtl/>
          <w:szCs w:val="26"/>
        </w:rPr>
        <w:t xml:space="preserve">(Supplement), 71–111.</w:t>
      </w:r>
    </w:p>
    <w:p>
      <w:pPr>
        <w:bidi/>
        <w:numPr>
          <w:ilvl w:val="0"/>
          <w:numId w:val="1004"/>
        </w:numPr>
        <w:pStyle w:val="Compact"/>
        <w:jc w:val="left"/>
      </w:pPr>
      <w:r>
        <w:rPr>
          <w:rFonts w:cs="B Nazanin"/>
          <w:rtl/>
          <w:szCs w:val="26"/>
        </w:rPr>
        <w:t xml:space="preserve">Bharath, S. T., Sunder, J., &amp; Sunder, S. V. (2008). Accounting quality and debt contracting.</w:t>
      </w:r>
      <w:r>
        <w:rPr>
          <w:rFonts w:cs="B Nazanin"/>
          <w:rtl/>
          <w:szCs w:val="26"/>
        </w:rPr>
        <w:t xml:space="preserve"> </w:t>
      </w:r>
      <w:r>
        <w:rPr>
          <w:rFonts w:cs="B Nazanin"/>
          <w:rtl/>
          <w:iCs/>
          <w:i/>
          <w:szCs w:val="26"/>
        </w:rPr>
        <w:t xml:space="preserve">The Accounting Review, 83</w:t>
      </w:r>
      <w:r>
        <w:rPr>
          <w:rFonts w:cs="B Nazanin"/>
          <w:rtl/>
          <w:szCs w:val="26"/>
        </w:rPr>
        <w:t xml:space="preserve">(1), 1–28.</w:t>
      </w:r>
    </w:p>
    <w:p>
      <w:pPr>
        <w:bidi/>
        <w:numPr>
          <w:ilvl w:val="0"/>
          <w:numId w:val="1004"/>
        </w:numPr>
        <w:pStyle w:val="Compact"/>
        <w:jc w:val="left"/>
      </w:pPr>
      <w:r>
        <w:rPr>
          <w:rFonts w:cs="B Nazanin"/>
          <w:rtl/>
          <w:szCs w:val="26"/>
        </w:rPr>
        <w:t xml:space="preserve">Bradley, M., &amp; Roberts, M. R. (2015). The structure and pricing of corporate debt covenants.</w:t>
      </w:r>
      <w:r>
        <w:rPr>
          <w:rFonts w:cs="B Nazanin"/>
          <w:rtl/>
          <w:szCs w:val="26"/>
        </w:rPr>
        <w:t xml:space="preserve"> </w:t>
      </w:r>
      <w:r>
        <w:rPr>
          <w:rFonts w:cs="B Nazanin"/>
          <w:rtl/>
          <w:iCs/>
          <w:i/>
          <w:szCs w:val="26"/>
        </w:rPr>
        <w:t xml:space="preserve">Quarterly Journal of Finance, 5</w:t>
      </w:r>
      <w:r>
        <w:rPr>
          <w:rFonts w:cs="B Nazanin"/>
          <w:rtl/>
          <w:szCs w:val="26"/>
        </w:rPr>
        <w:t xml:space="preserve">(2), 1550001.</w:t>
      </w:r>
    </w:p>
    <w:p>
      <w:pPr>
        <w:bidi/>
        <w:numPr>
          <w:ilvl w:val="0"/>
          <w:numId w:val="1004"/>
        </w:numPr>
        <w:pStyle w:val="Compact"/>
        <w:jc w:val="left"/>
      </w:pPr>
      <w:r>
        <w:rPr>
          <w:rFonts w:cs="B Nazanin"/>
          <w:rtl/>
          <w:szCs w:val="26"/>
        </w:rPr>
        <w:t xml:space="preserve">Brier, G. W. (1950). Verification of forecasts expressed in terms of probability.</w:t>
      </w:r>
      <w:r>
        <w:rPr>
          <w:rFonts w:cs="B Nazanin"/>
          <w:rtl/>
          <w:szCs w:val="26"/>
        </w:rPr>
        <w:t xml:space="preserve"> </w:t>
      </w:r>
      <w:r>
        <w:rPr>
          <w:rFonts w:cs="B Nazanin"/>
          <w:rtl/>
          <w:iCs/>
          <w:i/>
          <w:szCs w:val="26"/>
        </w:rPr>
        <w:t xml:space="preserve">Monthly Weather Review, 78</w:t>
      </w:r>
      <w:r>
        <w:rPr>
          <w:rFonts w:cs="B Nazanin"/>
          <w:rtl/>
          <w:szCs w:val="26"/>
        </w:rPr>
        <w:t xml:space="preserve">(1), 1–3.</w:t>
      </w:r>
    </w:p>
    <w:p>
      <w:pPr>
        <w:bidi/>
        <w:numPr>
          <w:ilvl w:val="0"/>
          <w:numId w:val="1004"/>
        </w:numPr>
        <w:pStyle w:val="Compact"/>
        <w:jc w:val="left"/>
      </w:pPr>
      <w:r>
        <w:rPr>
          <w:rFonts w:cs="B Nazanin"/>
          <w:rtl/>
          <w:szCs w:val="26"/>
        </w:rPr>
        <w:t xml:space="preserve">Campbell, J. Y., Hilscher, J., &amp; Szilagyi, J. (2008). In search of distress risk.</w:t>
      </w:r>
      <w:r>
        <w:rPr>
          <w:rFonts w:cs="B Nazanin"/>
          <w:rtl/>
          <w:szCs w:val="26"/>
        </w:rPr>
        <w:t xml:space="preserve"> </w:t>
      </w:r>
      <w:r>
        <w:rPr>
          <w:rFonts w:cs="B Nazanin"/>
          <w:rtl/>
          <w:iCs/>
          <w:i/>
          <w:szCs w:val="26"/>
        </w:rPr>
        <w:t xml:space="preserve">Journal of Finance, 63</w:t>
      </w:r>
      <w:r>
        <w:rPr>
          <w:rFonts w:cs="B Nazanin"/>
          <w:rtl/>
          <w:szCs w:val="26"/>
        </w:rPr>
        <w:t xml:space="preserve">(6), 2899–2939.</w:t>
      </w:r>
    </w:p>
    <w:p>
      <w:pPr>
        <w:bidi/>
        <w:numPr>
          <w:ilvl w:val="0"/>
          <w:numId w:val="1004"/>
        </w:numPr>
        <w:pStyle w:val="Compact"/>
        <w:jc w:val="left"/>
      </w:pPr>
      <w:r>
        <w:rPr>
          <w:rFonts w:cs="B Nazanin"/>
          <w:rtl/>
          <w:szCs w:val="26"/>
        </w:rPr>
        <w:t xml:space="preserve">Chava, S., &amp; Jarrow, R. A. (2004). Bankruptcy prediction with industry effects.</w:t>
      </w:r>
      <w:r>
        <w:rPr>
          <w:rFonts w:cs="B Nazanin"/>
          <w:rtl/>
          <w:szCs w:val="26"/>
        </w:rPr>
        <w:t xml:space="preserve"> </w:t>
      </w:r>
      <w:r>
        <w:rPr>
          <w:rFonts w:cs="B Nazanin"/>
          <w:rtl/>
          <w:iCs/>
          <w:i/>
          <w:szCs w:val="26"/>
        </w:rPr>
        <w:t xml:space="preserve">Review of Finance, 8</w:t>
      </w:r>
      <w:r>
        <w:rPr>
          <w:rFonts w:cs="B Nazanin"/>
          <w:rtl/>
          <w:szCs w:val="26"/>
        </w:rPr>
        <w:t xml:space="preserve">(4), 537–569.</w:t>
      </w:r>
    </w:p>
    <w:p>
      <w:pPr>
        <w:bidi/>
        <w:numPr>
          <w:ilvl w:val="0"/>
          <w:numId w:val="1004"/>
        </w:numPr>
        <w:pStyle w:val="Compact"/>
        <w:jc w:val="left"/>
      </w:pPr>
      <w:r>
        <w:rPr>
          <w:rFonts w:cs="B Nazanin"/>
          <w:rtl/>
          <w:szCs w:val="26"/>
        </w:rPr>
        <w:t xml:space="preserve">Chava, S., &amp; Roberts, M. R. (2008). How does financing impact investment? The role of debt covenants.</w:t>
      </w:r>
      <w:r>
        <w:rPr>
          <w:rFonts w:cs="B Nazanin"/>
          <w:rtl/>
          <w:szCs w:val="26"/>
        </w:rPr>
        <w:t xml:space="preserve"> </w:t>
      </w:r>
      <w:r>
        <w:rPr>
          <w:rFonts w:cs="B Nazanin"/>
          <w:rtl/>
          <w:iCs/>
          <w:i/>
          <w:szCs w:val="26"/>
        </w:rPr>
        <w:t xml:space="preserve">Journal of Finance, 63</w:t>
      </w:r>
      <w:r>
        <w:rPr>
          <w:rFonts w:cs="B Nazanin"/>
          <w:rtl/>
          <w:szCs w:val="26"/>
        </w:rPr>
        <w:t xml:space="preserve">(5), 2085–2121.</w:t>
      </w:r>
    </w:p>
    <w:p>
      <w:pPr>
        <w:bidi/>
        <w:numPr>
          <w:ilvl w:val="0"/>
          <w:numId w:val="1004"/>
        </w:numPr>
        <w:pStyle w:val="Compact"/>
        <w:jc w:val="left"/>
      </w:pPr>
      <w:r>
        <w:rPr>
          <w:rFonts w:cs="B Nazanin"/>
          <w:rtl/>
          <w:szCs w:val="26"/>
        </w:rPr>
        <w:t xml:space="preserve">Christensen, H. B., &amp; Nikolaev, V. V. (2012). Capital versus performance covenants in debt contracts.</w:t>
      </w:r>
      <w:r>
        <w:rPr>
          <w:rFonts w:cs="B Nazanin"/>
          <w:rtl/>
          <w:szCs w:val="26"/>
        </w:rPr>
        <w:t xml:space="preserve"> </w:t>
      </w:r>
      <w:r>
        <w:rPr>
          <w:rFonts w:cs="B Nazanin"/>
          <w:rtl/>
          <w:iCs/>
          <w:i/>
          <w:szCs w:val="26"/>
        </w:rPr>
        <w:t xml:space="preserve">Journal of Accounting Research, 50</w:t>
      </w:r>
      <w:r>
        <w:rPr>
          <w:rFonts w:cs="B Nazanin"/>
          <w:rtl/>
          <w:szCs w:val="26"/>
        </w:rPr>
        <w:t xml:space="preserve">(1), 75–116.</w:t>
      </w:r>
    </w:p>
    <w:p>
      <w:pPr>
        <w:bidi/>
        <w:numPr>
          <w:ilvl w:val="0"/>
          <w:numId w:val="1004"/>
        </w:numPr>
        <w:pStyle w:val="Compact"/>
        <w:jc w:val="left"/>
      </w:pPr>
      <w:r>
        <w:rPr>
          <w:rFonts w:cs="B Nazanin"/>
          <w:rtl/>
          <w:szCs w:val="26"/>
        </w:rPr>
        <w:t xml:space="preserve">Costello, A. M., &amp; Wittenberg-Moerman, R. (2011). The impact of financial reporting quality on debt contracting: Evidence from internal control weakness reports.</w:t>
      </w:r>
      <w:r>
        <w:rPr>
          <w:rFonts w:cs="B Nazanin"/>
          <w:rtl/>
          <w:szCs w:val="26"/>
        </w:rPr>
        <w:t xml:space="preserve"> </w:t>
      </w:r>
      <w:r>
        <w:rPr>
          <w:rFonts w:cs="B Nazanin"/>
          <w:rtl/>
          <w:iCs/>
          <w:i/>
          <w:szCs w:val="26"/>
        </w:rPr>
        <w:t xml:space="preserve">Journal of Accounting Research, 49</w:t>
      </w:r>
      <w:r>
        <w:rPr>
          <w:rFonts w:cs="B Nazanin"/>
          <w:rtl/>
          <w:szCs w:val="26"/>
        </w:rPr>
        <w:t xml:space="preserve">(1), 97–136.</w:t>
      </w:r>
    </w:p>
    <w:p>
      <w:pPr>
        <w:bidi/>
        <w:numPr>
          <w:ilvl w:val="0"/>
          <w:numId w:val="1004"/>
        </w:numPr>
        <w:pStyle w:val="Compact"/>
        <w:jc w:val="left"/>
      </w:pPr>
      <w:r>
        <w:rPr>
          <w:rFonts w:cs="B Nazanin"/>
          <w:rtl/>
          <w:szCs w:val="26"/>
        </w:rPr>
        <w:t xml:space="preserve">Craswell, A. T., Francis, J. R., &amp; Taylor, S. L. (1995). Auditor brand name reputations and industry specializations.</w:t>
      </w:r>
      <w:r>
        <w:rPr>
          <w:rFonts w:cs="B Nazanin"/>
          <w:rtl/>
          <w:szCs w:val="26"/>
        </w:rPr>
        <w:t xml:space="preserve"> </w:t>
      </w:r>
      <w:r>
        <w:rPr>
          <w:rFonts w:cs="B Nazanin"/>
          <w:rtl/>
          <w:iCs/>
          <w:i/>
          <w:szCs w:val="26"/>
        </w:rPr>
        <w:t xml:space="preserve">Journal of Accounting and Economics, 20</w:t>
      </w:r>
      <w:r>
        <w:rPr>
          <w:rFonts w:cs="B Nazanin"/>
          <w:rtl/>
          <w:szCs w:val="26"/>
        </w:rPr>
        <w:t xml:space="preserve">(3), 297–322.</w:t>
      </w:r>
    </w:p>
    <w:p>
      <w:pPr>
        <w:bidi/>
        <w:numPr>
          <w:ilvl w:val="0"/>
          <w:numId w:val="1004"/>
        </w:numPr>
        <w:pStyle w:val="Compact"/>
        <w:jc w:val="left"/>
      </w:pPr>
      <w:r>
        <w:rPr>
          <w:rFonts w:cs="B Nazanin"/>
          <w:rtl/>
          <w:szCs w:val="26"/>
        </w:rPr>
        <w:t xml:space="preserve">DeAngelo, L. E. (1981). Auditor size and audit quality.</w:t>
      </w:r>
      <w:r>
        <w:rPr>
          <w:rFonts w:cs="B Nazanin"/>
          <w:rtl/>
          <w:szCs w:val="26"/>
        </w:rPr>
        <w:t xml:space="preserve"> </w:t>
      </w:r>
      <w:r>
        <w:rPr>
          <w:rFonts w:cs="B Nazanin"/>
          <w:rtl/>
          <w:iCs/>
          <w:i/>
          <w:szCs w:val="26"/>
        </w:rPr>
        <w:t xml:space="preserve">Journal of Accounting and Economics, 3</w:t>
      </w:r>
      <w:r>
        <w:rPr>
          <w:rFonts w:cs="B Nazanin"/>
          <w:rtl/>
          <w:szCs w:val="26"/>
        </w:rPr>
        <w:t xml:space="preserve">(3), 183–199.</w:t>
      </w:r>
    </w:p>
    <w:p>
      <w:pPr>
        <w:bidi/>
        <w:numPr>
          <w:ilvl w:val="0"/>
          <w:numId w:val="1004"/>
        </w:numPr>
        <w:pStyle w:val="Compact"/>
        <w:jc w:val="left"/>
      </w:pPr>
      <w:r>
        <w:rPr>
          <w:rFonts w:cs="B Nazanin"/>
          <w:rtl/>
          <w:szCs w:val="26"/>
        </w:rPr>
        <w:t xml:space="preserve">Dechow, P. M., &amp; Dichev, I. D. (2002). The quality of accruals and earnings: The role of accrual estimation errors.</w:t>
      </w:r>
      <w:r>
        <w:rPr>
          <w:rFonts w:cs="B Nazanin"/>
          <w:rtl/>
          <w:szCs w:val="26"/>
        </w:rPr>
        <w:t xml:space="preserve"> </w:t>
      </w:r>
      <w:r>
        <w:rPr>
          <w:rFonts w:cs="B Nazanin"/>
          <w:rtl/>
          <w:iCs/>
          <w:i/>
          <w:szCs w:val="26"/>
        </w:rPr>
        <w:t xml:space="preserve">The Accounting Review, 77</w:t>
      </w:r>
      <w:r>
        <w:rPr>
          <w:rFonts w:cs="B Nazanin"/>
          <w:rtl/>
          <w:szCs w:val="26"/>
        </w:rPr>
        <w:t xml:space="preserve">(Supplement), 35–59.</w:t>
      </w:r>
    </w:p>
    <w:p>
      <w:pPr>
        <w:bidi/>
        <w:numPr>
          <w:ilvl w:val="0"/>
          <w:numId w:val="1004"/>
        </w:numPr>
        <w:pStyle w:val="Compact"/>
        <w:jc w:val="left"/>
      </w:pPr>
      <w:r>
        <w:rPr>
          <w:rFonts w:cs="B Nazanin"/>
          <w:rtl/>
          <w:szCs w:val="26"/>
        </w:rPr>
        <w:t xml:space="preserve">Dechow, P. M., Sloan, R. G., &amp; Sweeney, A. P. (1995). Detecting earnings management.</w:t>
      </w:r>
      <w:r>
        <w:rPr>
          <w:rFonts w:cs="B Nazanin"/>
          <w:rtl/>
          <w:szCs w:val="26"/>
        </w:rPr>
        <w:t xml:space="preserve"> </w:t>
      </w:r>
      <w:r>
        <w:rPr>
          <w:rFonts w:cs="B Nazanin"/>
          <w:rtl/>
          <w:iCs/>
          <w:i/>
          <w:szCs w:val="26"/>
        </w:rPr>
        <w:t xml:space="preserve">The Accounting Review, 70</w:t>
      </w:r>
      <w:r>
        <w:rPr>
          <w:rFonts w:cs="B Nazanin"/>
          <w:rtl/>
          <w:szCs w:val="26"/>
        </w:rPr>
        <w:t xml:space="preserve">(2), 193–225.</w:t>
      </w:r>
    </w:p>
    <w:p>
      <w:pPr>
        <w:bidi/>
        <w:numPr>
          <w:ilvl w:val="0"/>
          <w:numId w:val="1004"/>
        </w:numPr>
        <w:pStyle w:val="Compact"/>
        <w:jc w:val="left"/>
      </w:pPr>
      <w:r>
        <w:rPr>
          <w:rFonts w:cs="B Nazanin"/>
          <w:rtl/>
          <w:szCs w:val="26"/>
        </w:rPr>
        <w:t xml:space="preserve">DeFond, M. L., &amp; Jiambalvo, J. (1994). Debt covenant violation and manipulation of accruals.</w:t>
      </w:r>
      <w:r>
        <w:rPr>
          <w:rFonts w:cs="B Nazanin"/>
          <w:rtl/>
          <w:szCs w:val="26"/>
        </w:rPr>
        <w:t xml:space="preserve"> </w:t>
      </w:r>
      <w:r>
        <w:rPr>
          <w:rFonts w:cs="B Nazanin"/>
          <w:rtl/>
          <w:iCs/>
          <w:i/>
          <w:szCs w:val="26"/>
        </w:rPr>
        <w:t xml:space="preserve">Journal of Accounting and Economics, 17</w:t>
      </w:r>
      <w:r>
        <w:rPr>
          <w:rFonts w:cs="B Nazanin"/>
          <w:rtl/>
          <w:szCs w:val="26"/>
        </w:rPr>
        <w:t xml:space="preserve">(1–2), 145–176.</w:t>
      </w:r>
    </w:p>
    <w:p>
      <w:pPr>
        <w:bidi/>
        <w:numPr>
          <w:ilvl w:val="0"/>
          <w:numId w:val="1004"/>
        </w:numPr>
        <w:pStyle w:val="Compact"/>
        <w:jc w:val="left"/>
      </w:pPr>
      <w:r>
        <w:rPr>
          <w:rFonts w:cs="B Nazanin"/>
          <w:rtl/>
          <w:szCs w:val="26"/>
        </w:rPr>
        <w:t xml:space="preserve">DeFond, M., &amp; Zhang, J. (2014). A review of archival auditing research.</w:t>
      </w:r>
      <w:r>
        <w:rPr>
          <w:rFonts w:cs="B Nazanin"/>
          <w:rtl/>
          <w:szCs w:val="26"/>
        </w:rPr>
        <w:t xml:space="preserve"> </w:t>
      </w:r>
      <w:r>
        <w:rPr>
          <w:rFonts w:cs="B Nazanin"/>
          <w:rtl/>
          <w:iCs/>
          <w:i/>
          <w:szCs w:val="26"/>
        </w:rPr>
        <w:t xml:space="preserve">Journal of Accounting and Economics, 58</w:t>
      </w:r>
      <w:r>
        <w:rPr>
          <w:rFonts w:cs="B Nazanin"/>
          <w:rtl/>
          <w:szCs w:val="26"/>
        </w:rPr>
        <w:t xml:space="preserve">(2–3), 275–326.</w:t>
      </w:r>
    </w:p>
    <w:p>
      <w:pPr>
        <w:bidi/>
        <w:numPr>
          <w:ilvl w:val="0"/>
          <w:numId w:val="1004"/>
        </w:numPr>
        <w:pStyle w:val="Compact"/>
        <w:jc w:val="left"/>
      </w:pPr>
      <w:r>
        <w:rPr>
          <w:rFonts w:cs="B Nazanin"/>
          <w:rtl/>
          <w:szCs w:val="26"/>
        </w:rPr>
        <w:t xml:space="preserve">DeLong, E. R., DeLong, D. M., &amp; Clarke-Pearson, D. L. (1988). Comparing the areas under two or more correlated receiver operating characteristic curves: A nonparametric approach.</w:t>
      </w:r>
      <w:r>
        <w:rPr>
          <w:rFonts w:cs="B Nazanin"/>
          <w:rtl/>
          <w:szCs w:val="26"/>
        </w:rPr>
        <w:t xml:space="preserve"> </w:t>
      </w:r>
      <w:r>
        <w:rPr>
          <w:rFonts w:cs="B Nazanin"/>
          <w:rtl/>
          <w:iCs/>
          <w:i/>
          <w:szCs w:val="26"/>
        </w:rPr>
        <w:t xml:space="preserve">Biometrics, 44</w:t>
      </w:r>
      <w:r>
        <w:rPr>
          <w:rFonts w:cs="B Nazanin"/>
          <w:rtl/>
          <w:szCs w:val="26"/>
        </w:rPr>
        <w:t xml:space="preserve">(3), 837–845.</w:t>
      </w:r>
    </w:p>
    <w:p>
      <w:pPr>
        <w:bidi/>
        <w:numPr>
          <w:ilvl w:val="0"/>
          <w:numId w:val="1004"/>
        </w:numPr>
        <w:pStyle w:val="Compact"/>
        <w:jc w:val="left"/>
      </w:pPr>
      <w:r>
        <w:rPr>
          <w:rFonts w:cs="B Nazanin"/>
          <w:rtl/>
          <w:szCs w:val="26"/>
        </w:rPr>
        <w:t xml:space="preserve">Demiroglu, C., &amp; James, C. M. (2010). The information content of bank loan covenants.</w:t>
      </w:r>
      <w:r>
        <w:rPr>
          <w:rFonts w:cs="B Nazanin"/>
          <w:rtl/>
          <w:szCs w:val="26"/>
        </w:rPr>
        <w:t xml:space="preserve"> </w:t>
      </w:r>
      <w:r>
        <w:rPr>
          <w:rFonts w:cs="B Nazanin"/>
          <w:rtl/>
          <w:iCs/>
          <w:i/>
          <w:szCs w:val="26"/>
        </w:rPr>
        <w:t xml:space="preserve">Review of Financial Studies, 23</w:t>
      </w:r>
      <w:r>
        <w:rPr>
          <w:rFonts w:cs="B Nazanin"/>
          <w:rtl/>
          <w:szCs w:val="26"/>
        </w:rPr>
        <w:t xml:space="preserve">(10), 3700–3737.</w:t>
      </w:r>
    </w:p>
    <w:p>
      <w:pPr>
        <w:bidi/>
        <w:numPr>
          <w:ilvl w:val="0"/>
          <w:numId w:val="1004"/>
        </w:numPr>
        <w:pStyle w:val="Compact"/>
        <w:jc w:val="left"/>
      </w:pPr>
      <w:r>
        <w:rPr>
          <w:rFonts w:cs="B Nazanin"/>
          <w:rtl/>
          <w:szCs w:val="26"/>
        </w:rPr>
        <w:t xml:space="preserve">Dichev, I. D., &amp; Skinner, D. J. (2002). Large-sample evidence on the debt covenant hypothesis.</w:t>
      </w:r>
      <w:r>
        <w:rPr>
          <w:rFonts w:cs="B Nazanin"/>
          <w:rtl/>
          <w:szCs w:val="26"/>
        </w:rPr>
        <w:t xml:space="preserve"> </w:t>
      </w:r>
      <w:r>
        <w:rPr>
          <w:rFonts w:cs="B Nazanin"/>
          <w:rtl/>
          <w:iCs/>
          <w:i/>
          <w:szCs w:val="26"/>
        </w:rPr>
        <w:t xml:space="preserve">Journal of Accounting Research, 40</w:t>
      </w:r>
      <w:r>
        <w:rPr>
          <w:rFonts w:cs="B Nazanin"/>
          <w:rtl/>
          <w:szCs w:val="26"/>
        </w:rPr>
        <w:t xml:space="preserve">(4), 1091–1123.</w:t>
      </w:r>
    </w:p>
    <w:p>
      <w:pPr>
        <w:bidi/>
        <w:numPr>
          <w:ilvl w:val="0"/>
          <w:numId w:val="1004"/>
        </w:numPr>
        <w:pStyle w:val="Compact"/>
        <w:jc w:val="left"/>
      </w:pPr>
      <w:r>
        <w:rPr>
          <w:rFonts w:cs="B Nazanin"/>
          <w:rtl/>
          <w:szCs w:val="26"/>
        </w:rPr>
        <w:t xml:space="preserve">Fawcett, T. (2006). An introduction to ROC analysis.</w:t>
      </w:r>
      <w:r>
        <w:rPr>
          <w:rFonts w:cs="B Nazanin"/>
          <w:rtl/>
          <w:szCs w:val="26"/>
        </w:rPr>
        <w:t xml:space="preserve"> </w:t>
      </w:r>
      <w:r>
        <w:rPr>
          <w:rFonts w:cs="B Nazanin"/>
          <w:rtl/>
          <w:iCs/>
          <w:i/>
          <w:szCs w:val="26"/>
        </w:rPr>
        <w:t xml:space="preserve">Pattern Recognition Letters, 27</w:t>
      </w:r>
      <w:r>
        <w:rPr>
          <w:rFonts w:cs="B Nazanin"/>
          <w:rtl/>
          <w:szCs w:val="26"/>
        </w:rPr>
        <w:t xml:space="preserve">(8), 861–874.</w:t>
      </w:r>
    </w:p>
    <w:p>
      <w:pPr>
        <w:bidi/>
        <w:numPr>
          <w:ilvl w:val="0"/>
          <w:numId w:val="1004"/>
        </w:numPr>
        <w:pStyle w:val="Compact"/>
        <w:jc w:val="left"/>
      </w:pPr>
      <w:r>
        <w:rPr>
          <w:rFonts w:cs="B Nazanin"/>
          <w:rtl/>
          <w:szCs w:val="26"/>
        </w:rPr>
        <w:t xml:space="preserve">Friedman, J., Hastie, T., &amp; Tibshirani, R. (2010). Regularization paths for generalized linear models via coordinate descent.</w:t>
      </w:r>
      <w:r>
        <w:rPr>
          <w:rFonts w:cs="B Nazanin"/>
          <w:rtl/>
          <w:szCs w:val="26"/>
        </w:rPr>
        <w:t xml:space="preserve"> </w:t>
      </w:r>
      <w:r>
        <w:rPr>
          <w:rFonts w:cs="B Nazanin"/>
          <w:rtl/>
          <w:iCs/>
          <w:i/>
          <w:szCs w:val="26"/>
        </w:rPr>
        <w:t xml:space="preserve">Journal of Statistical Software, 33</w:t>
      </w:r>
      <w:r>
        <w:rPr>
          <w:rFonts w:cs="B Nazanin"/>
          <w:rtl/>
          <w:szCs w:val="26"/>
        </w:rPr>
        <w:t xml:space="preserve">(1), 1–22.</w:t>
      </w:r>
    </w:p>
    <w:p>
      <w:pPr>
        <w:bidi/>
        <w:numPr>
          <w:ilvl w:val="0"/>
          <w:numId w:val="1004"/>
        </w:numPr>
        <w:pStyle w:val="Compact"/>
        <w:jc w:val="left"/>
      </w:pPr>
      <w:r>
        <w:rPr>
          <w:rFonts w:cs="B Nazanin"/>
          <w:rtl/>
          <w:szCs w:val="26"/>
        </w:rPr>
        <w:t xml:space="preserve">Graham, J. R., Li, S., &amp; Qiu, J. (2008). Corporate misreporting and bank loan contracting.</w:t>
      </w:r>
      <w:r>
        <w:rPr>
          <w:rFonts w:cs="B Nazanin"/>
          <w:rtl/>
          <w:szCs w:val="26"/>
        </w:rPr>
        <w:t xml:space="preserve"> </w:t>
      </w:r>
      <w:r>
        <w:rPr>
          <w:rFonts w:cs="B Nazanin"/>
          <w:rtl/>
          <w:iCs/>
          <w:i/>
          <w:szCs w:val="26"/>
        </w:rPr>
        <w:t xml:space="preserve">Journal of Financial Economics, 89</w:t>
      </w:r>
      <w:r>
        <w:rPr>
          <w:rFonts w:cs="B Nazanin"/>
          <w:rtl/>
          <w:szCs w:val="26"/>
        </w:rPr>
        <w:t xml:space="preserve">(1), 44–61.</w:t>
      </w:r>
    </w:p>
    <w:p>
      <w:pPr>
        <w:bidi/>
        <w:numPr>
          <w:ilvl w:val="0"/>
          <w:numId w:val="1004"/>
        </w:numPr>
        <w:pStyle w:val="Compact"/>
        <w:jc w:val="left"/>
      </w:pPr>
      <w:r>
        <w:rPr>
          <w:rFonts w:cs="B Nazanin"/>
          <w:rtl/>
          <w:szCs w:val="26"/>
        </w:rPr>
        <w:t xml:space="preserve">Hanley, J. A., &amp; McNeil, B. J. (1982). The meaning and use of the area under a receiver operating characteristic (ROC) curve.</w:t>
      </w:r>
      <w:r>
        <w:rPr>
          <w:rFonts w:cs="B Nazanin"/>
          <w:rtl/>
          <w:szCs w:val="26"/>
        </w:rPr>
        <w:t xml:space="preserve"> </w:t>
      </w:r>
      <w:r>
        <w:rPr>
          <w:rFonts w:cs="B Nazanin"/>
          <w:rtl/>
          <w:iCs/>
          <w:i/>
          <w:szCs w:val="26"/>
        </w:rPr>
        <w:t xml:space="preserve">Radiology, 143</w:t>
      </w:r>
      <w:r>
        <w:rPr>
          <w:rFonts w:cs="B Nazanin"/>
          <w:rtl/>
          <w:szCs w:val="26"/>
        </w:rPr>
        <w:t xml:space="preserve">(1), 29–36.</w:t>
      </w:r>
    </w:p>
    <w:p>
      <w:pPr>
        <w:bidi/>
        <w:numPr>
          <w:ilvl w:val="0"/>
          <w:numId w:val="1004"/>
        </w:numPr>
        <w:pStyle w:val="Compact"/>
        <w:jc w:val="left"/>
      </w:pPr>
      <w:r>
        <w:rPr>
          <w:rFonts w:cs="B Nazanin"/>
          <w:rtl/>
          <w:szCs w:val="26"/>
        </w:rPr>
        <w:t xml:space="preserve">Hillegeist, S. A., Keating, E. K., Cram, D. P., &amp; Lundstedt, K. G. (2004). Assessing the probability of bankruptcy.</w:t>
      </w:r>
      <w:r>
        <w:rPr>
          <w:rFonts w:cs="B Nazanin"/>
          <w:rtl/>
          <w:szCs w:val="26"/>
        </w:rPr>
        <w:t xml:space="preserve"> </w:t>
      </w:r>
      <w:r>
        <w:rPr>
          <w:rFonts w:cs="B Nazanin"/>
          <w:rtl/>
          <w:iCs/>
          <w:i/>
          <w:szCs w:val="26"/>
        </w:rPr>
        <w:t xml:space="preserve">Review of Accounting Studies, 9</w:t>
      </w:r>
      <w:r>
        <w:rPr>
          <w:rFonts w:cs="B Nazanin"/>
          <w:rtl/>
          <w:szCs w:val="26"/>
        </w:rPr>
        <w:t xml:space="preserve">(1), 5–34.</w:t>
      </w:r>
    </w:p>
    <w:p>
      <w:pPr>
        <w:bidi/>
        <w:numPr>
          <w:ilvl w:val="0"/>
          <w:numId w:val="1004"/>
        </w:numPr>
        <w:pStyle w:val="Compact"/>
        <w:jc w:val="left"/>
      </w:pPr>
      <w:r>
        <w:rPr>
          <w:rFonts w:cs="B Nazanin"/>
          <w:rtl/>
          <w:szCs w:val="26"/>
        </w:rPr>
        <w:t xml:space="preserve">Hosmer, D. W., &amp; Lemeshow, S. (2000).</w:t>
      </w:r>
      <w:r>
        <w:rPr>
          <w:rFonts w:cs="B Nazanin"/>
          <w:rtl/>
          <w:szCs w:val="26"/>
        </w:rPr>
        <w:t xml:space="preserve"> </w:t>
      </w:r>
      <w:r>
        <w:rPr>
          <w:rFonts w:cs="B Nazanin"/>
          <w:rtl/>
          <w:iCs/>
          <w:i/>
          <w:szCs w:val="26"/>
        </w:rPr>
        <w:t xml:space="preserve">Applied logistic regression</w:t>
      </w:r>
      <w:r>
        <w:rPr>
          <w:rFonts w:cs="B Nazanin"/>
          <w:rtl/>
          <w:szCs w:val="26"/>
        </w:rPr>
        <w:t xml:space="preserve"> </w:t>
      </w:r>
      <w:r>
        <w:rPr>
          <w:rFonts w:cs="B Nazanin"/>
          <w:rtl/>
          <w:szCs w:val="26"/>
        </w:rPr>
        <w:t xml:space="preserve">(2nd ed.). Wiley.</w:t>
      </w:r>
    </w:p>
    <w:p>
      <w:pPr>
        <w:bidi/>
        <w:numPr>
          <w:ilvl w:val="0"/>
          <w:numId w:val="1004"/>
        </w:numPr>
        <w:pStyle w:val="Compact"/>
        <w:jc w:val="left"/>
      </w:pPr>
      <w:r>
        <w:rPr>
          <w:rFonts w:cs="B Nazanin"/>
          <w:rtl/>
          <w:szCs w:val="26"/>
        </w:rPr>
        <w:t xml:space="preserve">Jensen, M. C., &amp; Meckling, W. H. (1976). Theory of the firm: Managerial behavior, agency costs and ownership structure.</w:t>
      </w:r>
      <w:r>
        <w:rPr>
          <w:rFonts w:cs="B Nazanin"/>
          <w:rtl/>
          <w:szCs w:val="26"/>
        </w:rPr>
        <w:t xml:space="preserve"> </w:t>
      </w:r>
      <w:r>
        <w:rPr>
          <w:rFonts w:cs="B Nazanin"/>
          <w:rtl/>
          <w:iCs/>
          <w:i/>
          <w:szCs w:val="26"/>
        </w:rPr>
        <w:t xml:space="preserve">Journal of Financial Economics, 3</w:t>
      </w:r>
      <w:r>
        <w:rPr>
          <w:rFonts w:cs="B Nazanin"/>
          <w:rtl/>
          <w:szCs w:val="26"/>
        </w:rPr>
        <w:t xml:space="preserve">(4), 305–360.</w:t>
      </w:r>
    </w:p>
    <w:p>
      <w:pPr>
        <w:bidi/>
        <w:numPr>
          <w:ilvl w:val="0"/>
          <w:numId w:val="1004"/>
        </w:numPr>
        <w:pStyle w:val="Compact"/>
        <w:jc w:val="left"/>
      </w:pPr>
      <w:r>
        <w:rPr>
          <w:rFonts w:cs="B Nazanin"/>
          <w:rtl/>
          <w:szCs w:val="26"/>
        </w:rPr>
        <w:t xml:space="preserve">Kim, J.-B., Song, B. Y., &amp; Zhang, L. (2011). Internal control weakness and bank loan contracting: Evidence from SOX Section 404 disclosures.</w:t>
      </w:r>
      <w:r>
        <w:rPr>
          <w:rFonts w:cs="B Nazanin"/>
          <w:rtl/>
          <w:szCs w:val="26"/>
        </w:rPr>
        <w:t xml:space="preserve"> </w:t>
      </w:r>
      <w:r>
        <w:rPr>
          <w:rFonts w:cs="B Nazanin"/>
          <w:rtl/>
          <w:iCs/>
          <w:i/>
          <w:szCs w:val="26"/>
        </w:rPr>
        <w:t xml:space="preserve">The Accounting Review, 86</w:t>
      </w:r>
      <w:r>
        <w:rPr>
          <w:rFonts w:cs="B Nazanin"/>
          <w:rtl/>
          <w:szCs w:val="26"/>
        </w:rPr>
        <w:t xml:space="preserve">(4), 1157–1188.</w:t>
      </w:r>
    </w:p>
    <w:p>
      <w:pPr>
        <w:bidi/>
        <w:numPr>
          <w:ilvl w:val="0"/>
          <w:numId w:val="1004"/>
        </w:numPr>
        <w:pStyle w:val="Compact"/>
        <w:jc w:val="left"/>
      </w:pPr>
      <w:r>
        <w:rPr>
          <w:rFonts w:cs="B Nazanin"/>
          <w:rtl/>
          <w:szCs w:val="26"/>
        </w:rPr>
        <w:t xml:space="preserve">La Porta, R., Lopez-de-Silanes, F., &amp; Shleifer, A. (1999). Corporate ownership around the world.</w:t>
      </w:r>
      <w:r>
        <w:rPr>
          <w:rFonts w:cs="B Nazanin"/>
          <w:rtl/>
          <w:szCs w:val="26"/>
        </w:rPr>
        <w:t xml:space="preserve"> </w:t>
      </w:r>
      <w:r>
        <w:rPr>
          <w:rFonts w:cs="B Nazanin"/>
          <w:rtl/>
          <w:iCs/>
          <w:i/>
          <w:szCs w:val="26"/>
        </w:rPr>
        <w:t xml:space="preserve">Journal of Finance, 54</w:t>
      </w:r>
      <w:r>
        <w:rPr>
          <w:rFonts w:cs="B Nazanin"/>
          <w:rtl/>
          <w:szCs w:val="26"/>
        </w:rPr>
        <w:t xml:space="preserve">(2), 471–517.</w:t>
      </w:r>
    </w:p>
    <w:p>
      <w:pPr>
        <w:bidi/>
        <w:numPr>
          <w:ilvl w:val="0"/>
          <w:numId w:val="1004"/>
        </w:numPr>
        <w:pStyle w:val="Compact"/>
        <w:jc w:val="left"/>
      </w:pPr>
      <w:r>
        <w:rPr>
          <w:rFonts w:cs="B Nazanin"/>
          <w:rtl/>
          <w:szCs w:val="26"/>
        </w:rPr>
        <w:t xml:space="preserve">Li, N., Vasvari, F. P., &amp; Wittenberg-Moerman, R. (2016). Dynamic threshold values in earnings-based covenants.</w:t>
      </w:r>
      <w:r>
        <w:rPr>
          <w:rFonts w:cs="B Nazanin"/>
          <w:rtl/>
          <w:szCs w:val="26"/>
        </w:rPr>
        <w:t xml:space="preserve"> </w:t>
      </w:r>
      <w:r>
        <w:rPr>
          <w:rFonts w:cs="B Nazanin"/>
          <w:rtl/>
          <w:iCs/>
          <w:i/>
          <w:szCs w:val="26"/>
        </w:rPr>
        <w:t xml:space="preserve">Journal of Accounting and Economics, 61</w:t>
      </w:r>
      <w:r>
        <w:rPr>
          <w:rFonts w:cs="B Nazanin"/>
          <w:rtl/>
          <w:szCs w:val="26"/>
        </w:rPr>
        <w:t xml:space="preserve">(2–3), 605–629.</w:t>
      </w:r>
    </w:p>
    <w:p>
      <w:pPr>
        <w:bidi/>
        <w:numPr>
          <w:ilvl w:val="0"/>
          <w:numId w:val="1004"/>
        </w:numPr>
        <w:pStyle w:val="Compact"/>
        <w:jc w:val="left"/>
      </w:pPr>
      <w:r>
        <w:rPr>
          <w:rFonts w:cs="B Nazanin"/>
          <w:rtl/>
          <w:szCs w:val="26"/>
        </w:rPr>
        <w:t xml:space="preserve">Ohlson, J. A. (1980). Financial ratios and the probabilistic prediction of bankruptcy.</w:t>
      </w:r>
      <w:r>
        <w:rPr>
          <w:rFonts w:cs="B Nazanin"/>
          <w:rtl/>
          <w:szCs w:val="26"/>
        </w:rPr>
        <w:t xml:space="preserve"> </w:t>
      </w:r>
      <w:r>
        <w:rPr>
          <w:rFonts w:cs="B Nazanin"/>
          <w:rtl/>
          <w:iCs/>
          <w:i/>
          <w:szCs w:val="26"/>
        </w:rPr>
        <w:t xml:space="preserve">Journal of Accounting Research, 18</w:t>
      </w:r>
      <w:r>
        <w:rPr>
          <w:rFonts w:cs="B Nazanin"/>
          <w:rtl/>
          <w:szCs w:val="26"/>
        </w:rPr>
        <w:t xml:space="preserve">(1), 109–131.</w:t>
      </w:r>
    </w:p>
    <w:p>
      <w:pPr>
        <w:bidi/>
        <w:numPr>
          <w:ilvl w:val="0"/>
          <w:numId w:val="1004"/>
        </w:numPr>
        <w:pStyle w:val="Compact"/>
        <w:jc w:val="left"/>
      </w:pPr>
      <w:r>
        <w:rPr>
          <w:rFonts w:cs="B Nazanin"/>
          <w:rtl/>
          <w:szCs w:val="26"/>
        </w:rPr>
        <w:t xml:space="preserve">Opler, T., Pinkowitz, L., Stulz, R., &amp; Williamson, R. (1999). The determinants and implications of corporate cash holdings.</w:t>
      </w:r>
      <w:r>
        <w:rPr>
          <w:rFonts w:cs="B Nazanin"/>
          <w:rtl/>
          <w:szCs w:val="26"/>
        </w:rPr>
        <w:t xml:space="preserve"> </w:t>
      </w:r>
      <w:r>
        <w:rPr>
          <w:rFonts w:cs="B Nazanin"/>
          <w:rtl/>
          <w:iCs/>
          <w:i/>
          <w:szCs w:val="26"/>
        </w:rPr>
        <w:t xml:space="preserve">Journal of Financial Economics, 52</w:t>
      </w:r>
      <w:r>
        <w:rPr>
          <w:rFonts w:cs="B Nazanin"/>
          <w:rtl/>
          <w:szCs w:val="26"/>
        </w:rPr>
        <w:t xml:space="preserve">(1), 3–46.</w:t>
      </w:r>
    </w:p>
    <w:p>
      <w:pPr>
        <w:bidi/>
        <w:numPr>
          <w:ilvl w:val="0"/>
          <w:numId w:val="1004"/>
        </w:numPr>
        <w:pStyle w:val="Compact"/>
        <w:jc w:val="left"/>
      </w:pPr>
      <w:r>
        <w:rPr>
          <w:rFonts w:cs="B Nazanin"/>
          <w:rtl/>
          <w:szCs w:val="26"/>
        </w:rPr>
        <w:t xml:space="preserve">Shumway, T. (2001). Forecasting bankruptcy more accurately: A simple hazard model.</w:t>
      </w:r>
      <w:r>
        <w:rPr>
          <w:rFonts w:cs="B Nazanin"/>
          <w:rtl/>
          <w:szCs w:val="26"/>
        </w:rPr>
        <w:t xml:space="preserve"> </w:t>
      </w:r>
      <w:r>
        <w:rPr>
          <w:rFonts w:cs="B Nazanin"/>
          <w:rtl/>
          <w:iCs/>
          <w:i/>
          <w:szCs w:val="26"/>
        </w:rPr>
        <w:t xml:space="preserve">Journal of Business, 74</w:t>
      </w:r>
      <w:r>
        <w:rPr>
          <w:rFonts w:cs="B Nazanin"/>
          <w:rtl/>
          <w:szCs w:val="26"/>
        </w:rPr>
        <w:t xml:space="preserve">(1), 101–124.</w:t>
      </w:r>
    </w:p>
    <w:p>
      <w:pPr>
        <w:bidi/>
        <w:numPr>
          <w:ilvl w:val="0"/>
          <w:numId w:val="1004"/>
        </w:numPr>
        <w:pStyle w:val="Compact"/>
        <w:jc w:val="left"/>
      </w:pPr>
      <w:r>
        <w:rPr>
          <w:rFonts w:cs="B Nazanin"/>
          <w:rtl/>
          <w:szCs w:val="26"/>
        </w:rPr>
        <w:t xml:space="preserve">Smith, C. W., &amp; Warner, J. B. (1979). On financial contracting: An analysis of bond covenants.</w:t>
      </w:r>
      <w:r>
        <w:rPr>
          <w:rFonts w:cs="B Nazanin"/>
          <w:rtl/>
          <w:szCs w:val="26"/>
        </w:rPr>
        <w:t xml:space="preserve"> </w:t>
      </w:r>
      <w:r>
        <w:rPr>
          <w:rFonts w:cs="B Nazanin"/>
          <w:rtl/>
          <w:iCs/>
          <w:i/>
          <w:szCs w:val="26"/>
        </w:rPr>
        <w:t xml:space="preserve">Journal of Financial Economics, 7</w:t>
      </w:r>
      <w:r>
        <w:rPr>
          <w:rFonts w:cs="B Nazanin"/>
          <w:rtl/>
          <w:szCs w:val="26"/>
        </w:rPr>
        <w:t xml:space="preserve">(2), 117–161.</w:t>
      </w:r>
    </w:p>
    <w:p>
      <w:pPr>
        <w:bidi/>
        <w:numPr>
          <w:ilvl w:val="0"/>
          <w:numId w:val="1004"/>
        </w:numPr>
        <w:pStyle w:val="Compact"/>
        <w:jc w:val="left"/>
      </w:pPr>
      <w:r>
        <w:rPr>
          <w:rFonts w:cs="B Nazanin"/>
          <w:rtl/>
          <w:szCs w:val="26"/>
        </w:rPr>
        <w:t xml:space="preserve">Stiglitz, J. E., &amp; Weiss, A. (1981). Credit rationing in markets with imperfect information.</w:t>
      </w:r>
      <w:r>
        <w:rPr>
          <w:rFonts w:cs="B Nazanin"/>
          <w:rtl/>
          <w:szCs w:val="26"/>
        </w:rPr>
        <w:t xml:space="preserve"> </w:t>
      </w:r>
      <w:r>
        <w:rPr>
          <w:rFonts w:cs="B Nazanin"/>
          <w:rtl/>
          <w:iCs/>
          <w:i/>
          <w:szCs w:val="26"/>
        </w:rPr>
        <w:t xml:space="preserve">American Economic Review, 71</w:t>
      </w:r>
      <w:r>
        <w:rPr>
          <w:rFonts w:cs="B Nazanin"/>
          <w:rtl/>
          <w:szCs w:val="26"/>
        </w:rPr>
        <w:t xml:space="preserve">(3), 393–410.</w:t>
      </w:r>
    </w:p>
    <w:p>
      <w:pPr>
        <w:bidi/>
        <w:numPr>
          <w:ilvl w:val="0"/>
          <w:numId w:val="1004"/>
        </w:numPr>
        <w:pStyle w:val="Compact"/>
        <w:jc w:val="left"/>
      </w:pPr>
      <w:r>
        <w:rPr>
          <w:rFonts w:cs="B Nazanin"/>
          <w:rtl/>
          <w:szCs w:val="26"/>
        </w:rPr>
        <w:t xml:space="preserve">Sweeney, A. P. (1994). Debt-covenant violations and managers’ accounting responses.</w:t>
      </w:r>
      <w:r>
        <w:rPr>
          <w:rFonts w:cs="B Nazanin"/>
          <w:rtl/>
          <w:szCs w:val="26"/>
        </w:rPr>
        <w:t xml:space="preserve"> </w:t>
      </w:r>
      <w:r>
        <w:rPr>
          <w:rFonts w:cs="B Nazanin"/>
          <w:rtl/>
          <w:iCs/>
          <w:i/>
          <w:szCs w:val="26"/>
        </w:rPr>
        <w:t xml:space="preserve">Journal of Accounting and Economics, 17</w:t>
      </w:r>
      <w:r>
        <w:rPr>
          <w:rFonts w:cs="B Nazanin"/>
          <w:rtl/>
          <w:szCs w:val="26"/>
        </w:rPr>
        <w:t xml:space="preserve">(3), 281–308.</w:t>
      </w:r>
    </w:p>
    <w:p>
      <w:pPr>
        <w:bidi/>
        <w:numPr>
          <w:ilvl w:val="0"/>
          <w:numId w:val="1004"/>
        </w:numPr>
        <w:pStyle w:val="Compact"/>
        <w:jc w:val="left"/>
      </w:pPr>
      <w:r>
        <w:rPr>
          <w:rFonts w:cs="B Nazanin"/>
          <w:rtl/>
          <w:szCs w:val="26"/>
        </w:rPr>
        <w:t xml:space="preserve">Tibshirani, R. (1996). Regression shrinkage and selection via the lasso.</w:t>
      </w:r>
      <w:r>
        <w:rPr>
          <w:rFonts w:cs="B Nazanin"/>
          <w:rtl/>
          <w:szCs w:val="26"/>
        </w:rPr>
        <w:t xml:space="preserve"> </w:t>
      </w:r>
      <w:r>
        <w:rPr>
          <w:rFonts w:cs="B Nazanin"/>
          <w:rtl/>
          <w:iCs/>
          <w:i/>
          <w:szCs w:val="26"/>
        </w:rPr>
        <w:t xml:space="preserve">Journal of the Royal Statistical Society: Series B, 58</w:t>
      </w:r>
      <w:r>
        <w:rPr>
          <w:rFonts w:cs="B Nazanin"/>
          <w:rtl/>
          <w:szCs w:val="26"/>
        </w:rPr>
        <w:t xml:space="preserve">(1), 267–288.</w:t>
      </w:r>
    </w:p>
    <w:p>
      <w:pPr>
        <w:bidi/>
        <w:numPr>
          <w:ilvl w:val="0"/>
          <w:numId w:val="1004"/>
        </w:numPr>
        <w:pStyle w:val="Compact"/>
        <w:jc w:val="left"/>
      </w:pPr>
      <w:r>
        <w:rPr>
          <w:rFonts w:cs="B Nazanin"/>
          <w:rtl/>
          <w:szCs w:val="26"/>
        </w:rPr>
        <w:t xml:space="preserve">Watts, R. L., &amp; Zimmerman, J. L. (1986).</w:t>
      </w:r>
      <w:r>
        <w:rPr>
          <w:rFonts w:cs="B Nazanin"/>
          <w:rtl/>
          <w:szCs w:val="26"/>
        </w:rPr>
        <w:t xml:space="preserve"> </w:t>
      </w:r>
      <w:r>
        <w:rPr>
          <w:rFonts w:cs="B Nazanin"/>
          <w:rtl/>
          <w:iCs/>
          <w:i/>
          <w:szCs w:val="26"/>
        </w:rPr>
        <w:t xml:space="preserve">Positive accounting theory</w:t>
      </w:r>
      <w:r>
        <w:rPr>
          <w:rFonts w:cs="B Nazanin"/>
          <w:rtl/>
          <w:szCs w:val="26"/>
        </w:rPr>
        <w:t xml:space="preserve">. Prentice Hall.</w:t>
      </w:r>
    </w:p>
    <w:p>
      <w:pPr>
        <w:bidi/>
        <w:numPr>
          <w:ilvl w:val="0"/>
          <w:numId w:val="1004"/>
        </w:numPr>
        <w:pStyle w:val="Compact"/>
        <w:jc w:val="left"/>
      </w:pPr>
      <w:r>
        <w:rPr>
          <w:rFonts w:cs="B Nazanin"/>
          <w:rtl/>
          <w:szCs w:val="26"/>
        </w:rPr>
        <w:t xml:space="preserve">Youden, W. J. (1950). Index for rating diagnostic tests.</w:t>
      </w:r>
      <w:r>
        <w:rPr>
          <w:rFonts w:cs="B Nazanin"/>
          <w:rtl/>
          <w:szCs w:val="26"/>
        </w:rPr>
        <w:t xml:space="preserve"> </w:t>
      </w:r>
      <w:r>
        <w:rPr>
          <w:rFonts w:cs="B Nazanin"/>
          <w:rtl/>
          <w:iCs/>
          <w:i/>
          <w:szCs w:val="26"/>
        </w:rPr>
        <w:t xml:space="preserve">Cancer, 3</w:t>
      </w:r>
      <w:r>
        <w:rPr>
          <w:rFonts w:cs="B Nazanin"/>
          <w:rtl/>
          <w:szCs w:val="26"/>
        </w:rPr>
        <w:t xml:space="preserve">(1), 32–35.</w:t>
      </w:r>
    </w:p>
    <w:p>
      <w:pPr>
        <w:bidi/>
        <w:numPr>
          <w:ilvl w:val="0"/>
          <w:numId w:val="1004"/>
        </w:numPr>
        <w:pStyle w:val="Compact"/>
        <w:jc w:val="left"/>
      </w:pPr>
      <w:r>
        <w:rPr>
          <w:rFonts w:cs="B Nazanin"/>
          <w:rtl/>
          <w:szCs w:val="26"/>
        </w:rPr>
        <w:t xml:space="preserve">Zou, H., &amp; Hastie, T. (2005). Regularization and variable selection via the elastic net.</w:t>
      </w:r>
      <w:r>
        <w:rPr>
          <w:rFonts w:cs="B Nazanin"/>
          <w:rtl/>
          <w:szCs w:val="26"/>
        </w:rPr>
        <w:t xml:space="preserve"> </w:t>
      </w:r>
      <w:r>
        <w:rPr>
          <w:rFonts w:cs="B Nazanin"/>
          <w:rtl/>
          <w:iCs/>
          <w:i/>
          <w:szCs w:val="26"/>
        </w:rPr>
        <w:t xml:space="preserve">Journal of the Royal Statistical Society: Series B, 67</w:t>
      </w:r>
      <w:r>
        <w:rPr>
          <w:rFonts w:cs="B Nazanin"/>
          <w:rtl/>
          <w:szCs w:val="26"/>
        </w:rPr>
        <w:t xml:space="preserve">(2), 301–320.</w:t>
      </w:r>
    </w:p>
    <w:bookmarkEnd w:id="49"/>
    <w:bookmarkStart w:id="50" w:name="پیوست-الف-الگوی-کد-استتا"/>
    <w:p>
      <w:pPr>
        <w:bidi/>
        <w:pStyle w:val="Heading1"/>
        <w:jc w:val="left"/>
      </w:pPr>
      <w:r>
        <w:rPr>
          <w:rFonts w:cs="B Nazanin"/>
          <w:rtl/>
          <w:szCs w:val="26"/>
        </w:rPr>
        <w:t xml:space="preserve">پیوست الف: الگوی کد استتا</w:t>
      </w:r>
    </w:p>
    <w:p>
      <w:pPr>
        <w:bidi/>
        <w:pStyle w:val="SourceCode"/>
        <w:jc w:val="left"/>
      </w:pPr>
      <w:r>
        <w:rPr>
          <w:rFonts w:cs="B Nazanin"/>
          <w:rStyle w:val="VerbatimChar"/>
          <w:rtl/>
          <w:szCs w:val="26"/>
        </w:rPr>
        <w:t xml:space="preserve">use "panel_data.dta", clear</w:t>
      </w:r>
      <w:r>
        <w:rPr>
          <w:rFonts w:cs="B Nazanin"/>
          <w:rtl/>
          <w:szCs w:val="26"/>
        </w:rPr>
        <w:br/>
      </w:r>
      <w:r>
        <w:rPr>
          <w:rFonts w:cs="B Nazanin"/>
          <w:rStyle w:val="VerbatimChar"/>
          <w:rtl/>
          <w:szCs w:val="26"/>
        </w:rPr>
        <w:t xml:space="preserve">xtset firm_id year</w:t>
      </w:r>
      <w:r>
        <w:rPr>
          <w:rFonts w:cs="B Nazanin"/>
          <w:rtl/>
          <w:szCs w:val="26"/>
        </w:rPr>
        <w:br/>
      </w:r>
      <w:r>
        <w:rPr>
          <w:rFonts w:cs="B Nazanin"/>
          <w:rtl/>
          <w:szCs w:val="26"/>
        </w:rPr>
        <w:br/>
      </w:r>
      <w:r>
        <w:rPr>
          <w:rFonts w:cs="B Nazanin"/>
          <w:rStyle w:val="VerbatimChar"/>
          <w:rtl/>
          <w:szCs w:val="26"/>
        </w:rPr>
        <w:t xml:space="preserve">* ---- متغیر وابسته (سال بعد) ----</w:t>
      </w:r>
      <w:r>
        <w:rPr>
          <w:rFonts w:cs="B Nazanin"/>
          <w:rtl/>
          <w:szCs w:val="26"/>
        </w:rPr>
        <w:br/>
      </w:r>
      <w:r>
        <w:rPr>
          <w:rFonts w:cs="B Nazanin"/>
          <w:rStyle w:val="VerbatimChar"/>
          <w:rtl/>
          <w:szCs w:val="26"/>
        </w:rPr>
        <w:t xml:space="preserve">gen DEF = (art141==1 | bank_overdue_share&gt;0.10 | penalty_share&gt;0.02)</w:t>
      </w:r>
      <w:r>
        <w:rPr>
          <w:rFonts w:cs="B Nazanin"/>
          <w:rtl/>
          <w:szCs w:val="26"/>
        </w:rPr>
        <w:br/>
      </w:r>
      <w:r>
        <w:rPr>
          <w:rFonts w:cs="B Nazanin"/>
          <w:rStyle w:val="VerbatimChar"/>
          <w:rtl/>
          <w:szCs w:val="26"/>
        </w:rPr>
        <w:t xml:space="preserve">gen F_DEF = F.DEF</w:t>
      </w:r>
      <w:r>
        <w:rPr>
          <w:rFonts w:cs="B Nazanin"/>
          <w:rtl/>
          <w:szCs w:val="26"/>
        </w:rPr>
        <w:br/>
      </w:r>
      <w:r>
        <w:rPr>
          <w:rFonts w:cs="B Nazanin"/>
          <w:rtl/>
          <w:szCs w:val="26"/>
        </w:rPr>
        <w:br/>
      </w:r>
      <w:r>
        <w:rPr>
          <w:rFonts w:cs="B Nazanin"/>
          <w:rStyle w:val="VerbatimChar"/>
          <w:rtl/>
          <w:szCs w:val="26"/>
        </w:rPr>
        <w:t xml:space="preserve">* ---- معیارها ----</w:t>
      </w:r>
      <w:r>
        <w:rPr>
          <w:rFonts w:cs="B Nazanin"/>
          <w:rtl/>
          <w:szCs w:val="26"/>
        </w:rPr>
        <w:br/>
      </w:r>
      <w:r>
        <w:rPr>
          <w:rFonts w:cs="B Nazanin"/>
          <w:rStyle w:val="VerbatimChar"/>
          <w:rtl/>
          <w:szCs w:val="26"/>
        </w:rPr>
        <w:t xml:space="preserve">gen CR  = ca/cl</w:t>
      </w:r>
      <w:r>
        <w:rPr>
          <w:rFonts w:cs="B Nazanin"/>
          <w:rtl/>
          <w:szCs w:val="26"/>
        </w:rPr>
        <w:br/>
      </w:r>
      <w:r>
        <w:rPr>
          <w:rFonts w:cs="B Nazanin"/>
          <w:rStyle w:val="VerbatimChar"/>
          <w:rtl/>
          <w:szCs w:val="26"/>
        </w:rPr>
        <w:t xml:space="preserve">gen QR  = (ca-inventory)/cl</w:t>
      </w:r>
      <w:r>
        <w:rPr>
          <w:rFonts w:cs="B Nazanin"/>
          <w:rtl/>
          <w:szCs w:val="26"/>
        </w:rPr>
        <w:br/>
      </w:r>
      <w:r>
        <w:rPr>
          <w:rFonts w:cs="B Nazanin"/>
          <w:rStyle w:val="VerbatimChar"/>
          <w:rtl/>
          <w:szCs w:val="26"/>
        </w:rPr>
        <w:t xml:space="preserve">gen WC  = (ca-cl)/ta</w:t>
      </w:r>
      <w:r>
        <w:rPr>
          <w:rFonts w:cs="B Nazanin"/>
          <w:rtl/>
          <w:szCs w:val="26"/>
        </w:rPr>
        <w:br/>
      </w:r>
      <w:r>
        <w:rPr>
          <w:rFonts w:cs="B Nazanin"/>
          <w:rStyle w:val="VerbatimChar"/>
          <w:rtl/>
          <w:szCs w:val="26"/>
        </w:rPr>
        <w:t xml:space="preserve">gen LEV = tl/ta</w:t>
      </w:r>
      <w:r>
        <w:rPr>
          <w:rFonts w:cs="B Nazanin"/>
          <w:rtl/>
          <w:szCs w:val="26"/>
        </w:rPr>
        <w:br/>
      </w:r>
      <w:r>
        <w:rPr>
          <w:rFonts w:cs="B Nazanin"/>
          <w:rStyle w:val="VerbatimChar"/>
          <w:rtl/>
          <w:szCs w:val="26"/>
        </w:rPr>
        <w:t xml:space="preserve">gen ICR = ebit/fin_cost</w:t>
      </w:r>
      <w:r>
        <w:rPr>
          <w:rFonts w:cs="B Nazanin"/>
          <w:rtl/>
          <w:szCs w:val="26"/>
        </w:rPr>
        <w:br/>
      </w:r>
      <w:r>
        <w:rPr>
          <w:rFonts w:cs="B Nazanin"/>
          <w:rStyle w:val="VerbatimChar"/>
          <w:rtl/>
          <w:szCs w:val="26"/>
        </w:rPr>
        <w:t xml:space="preserve">gen DSCR = cfo/(fin_cost+cur_portion_debt)</w:t>
      </w:r>
      <w:r>
        <w:rPr>
          <w:rFonts w:cs="B Nazanin"/>
          <w:rtl/>
          <w:szCs w:val="26"/>
        </w:rPr>
        <w:br/>
      </w:r>
      <w:r>
        <w:rPr>
          <w:rFonts w:cs="B Nazanin"/>
          <w:rStyle w:val="VerbatimChar"/>
          <w:rtl/>
          <w:szCs w:val="26"/>
        </w:rPr>
        <w:t xml:space="preserve">gen CFO_TD = cfo/tl</w:t>
      </w:r>
      <w:r>
        <w:rPr>
          <w:rFonts w:cs="B Nazanin"/>
          <w:rtl/>
          <w:szCs w:val="26"/>
        </w:rPr>
        <w:br/>
      </w:r>
      <w:r>
        <w:rPr>
          <w:rFonts w:cs="B Nazanin"/>
          <w:rStyle w:val="VerbatimChar"/>
          <w:rtl/>
          <w:szCs w:val="26"/>
        </w:rPr>
        <w:t xml:space="preserve">gen TNW = (equity-intangibles)/ta</w:t>
      </w:r>
      <w:r>
        <w:rPr>
          <w:rFonts w:cs="B Nazanin"/>
          <w:rtl/>
          <w:szCs w:val="26"/>
        </w:rPr>
        <w:br/>
      </w:r>
      <w:r>
        <w:rPr>
          <w:rFonts w:cs="B Nazanin"/>
          <w:rStyle w:val="VerbatimChar"/>
          <w:rtl/>
          <w:szCs w:val="26"/>
        </w:rPr>
        <w:t xml:space="preserve">winsor2 CR QR WC LEV ICR DSCR CFO_TD ROA TNW AQ CASH DIV ZSCORE, cut(1 99) replace</w:t>
      </w:r>
      <w:r>
        <w:rPr>
          <w:rFonts w:cs="B Nazanin"/>
          <w:rtl/>
          <w:szCs w:val="26"/>
        </w:rPr>
        <w:br/>
      </w:r>
      <w:r>
        <w:rPr>
          <w:rFonts w:cs="B Nazanin"/>
          <w:rtl/>
          <w:szCs w:val="26"/>
        </w:rPr>
        <w:br/>
      </w:r>
      <w:r>
        <w:rPr>
          <w:rFonts w:cs="B Nazanin"/>
          <w:rStyle w:val="VerbatimChar"/>
          <w:rtl/>
          <w:szCs w:val="26"/>
        </w:rPr>
        <w:t xml:space="preserve">* ---- مدل ۱: لاجیت و ROC هر دسته ----</w:t>
      </w:r>
      <w:r>
        <w:rPr>
          <w:rFonts w:cs="B Nazanin"/>
          <w:rtl/>
          <w:szCs w:val="26"/>
        </w:rPr>
        <w:br/>
      </w:r>
      <w:r>
        <w:rPr>
          <w:rFonts w:cs="B Nazanin"/>
          <w:rStyle w:val="VerbatimChar"/>
          <w:rtl/>
          <w:szCs w:val="26"/>
        </w:rPr>
        <w:t xml:space="preserve">logit F_DEF DSCR CFO_TD CASH i.year i.industry, vce(cluster firm_id)</w:t>
      </w:r>
      <w:r>
        <w:rPr>
          <w:rFonts w:cs="B Nazanin"/>
          <w:rtl/>
          <w:szCs w:val="26"/>
        </w:rPr>
        <w:br/>
      </w:r>
      <w:r>
        <w:rPr>
          <w:rFonts w:cs="B Nazanin"/>
          <w:rStyle w:val="VerbatimChar"/>
          <w:rtl/>
          <w:szCs w:val="26"/>
        </w:rPr>
        <w:t xml:space="preserve">predict p_cash</w:t>
      </w:r>
      <w:r>
        <w:rPr>
          <w:rFonts w:cs="B Nazanin"/>
          <w:rtl/>
          <w:szCs w:val="26"/>
        </w:rPr>
        <w:br/>
      </w:r>
      <w:r>
        <w:rPr>
          <w:rFonts w:cs="B Nazanin"/>
          <w:rStyle w:val="VerbatimChar"/>
          <w:rtl/>
          <w:szCs w:val="26"/>
        </w:rPr>
        <w:t xml:space="preserve">logit F_DEF ROA ICR DEBT_EBITDA i.year i.industry, vce(cluster firm_id)</w:t>
      </w:r>
      <w:r>
        <w:rPr>
          <w:rFonts w:cs="B Nazanin"/>
          <w:rtl/>
          <w:szCs w:val="26"/>
        </w:rPr>
        <w:br/>
      </w:r>
      <w:r>
        <w:rPr>
          <w:rFonts w:cs="B Nazanin"/>
          <w:rStyle w:val="VerbatimChar"/>
          <w:rtl/>
          <w:szCs w:val="26"/>
        </w:rPr>
        <w:t xml:space="preserve">predict p_earn</w:t>
      </w:r>
      <w:r>
        <w:rPr>
          <w:rFonts w:cs="B Nazanin"/>
          <w:rtl/>
          <w:szCs w:val="26"/>
        </w:rPr>
        <w:br/>
      </w:r>
      <w:r>
        <w:rPr>
          <w:rFonts w:cs="B Nazanin"/>
          <w:rStyle w:val="VerbatimChar"/>
          <w:rtl/>
          <w:szCs w:val="26"/>
        </w:rPr>
        <w:t xml:space="preserve">logit F_DEF CR QR WC LEV TNW i.year i.industry, vce(cluster firm_id)</w:t>
      </w:r>
      <w:r>
        <w:rPr>
          <w:rFonts w:cs="B Nazanin"/>
          <w:rtl/>
          <w:szCs w:val="26"/>
        </w:rPr>
        <w:br/>
      </w:r>
      <w:r>
        <w:rPr>
          <w:rFonts w:cs="B Nazanin"/>
          <w:rStyle w:val="VerbatimChar"/>
          <w:rtl/>
          <w:szCs w:val="26"/>
        </w:rPr>
        <w:t xml:space="preserve">predict p_bs</w:t>
      </w:r>
      <w:r>
        <w:rPr>
          <w:rFonts w:cs="B Nazanin"/>
          <w:rtl/>
          <w:szCs w:val="26"/>
        </w:rPr>
        <w:br/>
      </w:r>
      <w:r>
        <w:rPr>
          <w:rFonts w:cs="B Nazanin"/>
          <w:rStyle w:val="VerbatimChar"/>
          <w:rtl/>
          <w:szCs w:val="26"/>
        </w:rPr>
        <w:t xml:space="preserve">roccomp F_DEF p_cash p_earn p_bs, graph summary</w:t>
      </w:r>
      <w:r>
        <w:rPr>
          <w:rFonts w:cs="B Nazanin"/>
          <w:rtl/>
          <w:szCs w:val="26"/>
        </w:rPr>
        <w:br/>
      </w:r>
      <w:r>
        <w:rPr>
          <w:rFonts w:cs="B Nazanin"/>
          <w:rtl/>
          <w:szCs w:val="26"/>
        </w:rPr>
        <w:br/>
      </w:r>
      <w:r>
        <w:rPr>
          <w:rFonts w:cs="B Nazanin"/>
          <w:rStyle w:val="VerbatimChar"/>
          <w:rtl/>
          <w:szCs w:val="26"/>
        </w:rPr>
        <w:t xml:space="preserve">* ---- مدل ۲: لاسو لاجیت ----</w:t>
      </w:r>
      <w:r>
        <w:rPr>
          <w:rFonts w:cs="B Nazanin"/>
          <w:rtl/>
          <w:szCs w:val="26"/>
        </w:rPr>
        <w:br/>
      </w:r>
      <w:r>
        <w:rPr>
          <w:rFonts w:cs="B Nazanin"/>
          <w:rStyle w:val="VerbatimChar"/>
          <w:rtl/>
          <w:szCs w:val="26"/>
        </w:rPr>
        <w:t xml:space="preserve">lasso logit F_DEF CR QR WC LEV DEBT_EBITDA ICR DSCR CFO_TD ROA TNW AQ CASH ZSCORE DIV ///</w:t>
      </w:r>
      <w:r>
        <w:rPr>
          <w:rFonts w:cs="B Nazanin"/>
          <w:rtl/>
          <w:szCs w:val="26"/>
        </w:rPr>
        <w:br/>
      </w:r>
      <w:r>
        <w:rPr>
          <w:rFonts w:cs="B Nazanin"/>
          <w:rStyle w:val="VerbatimChar"/>
          <w:rtl/>
          <w:szCs w:val="26"/>
        </w:rPr>
        <w:t xml:space="preserve">      if year&lt;=1399, selection(cv, folds(10)) rseed(1234)</w:t>
      </w:r>
      <w:r>
        <w:rPr>
          <w:rFonts w:cs="B Nazanin"/>
          <w:rtl/>
          <w:szCs w:val="26"/>
        </w:rPr>
        <w:br/>
      </w:r>
      <w:r>
        <w:rPr>
          <w:rFonts w:cs="B Nazanin"/>
          <w:rStyle w:val="VerbatimChar"/>
          <w:rtl/>
          <w:szCs w:val="26"/>
        </w:rPr>
        <w:t xml:space="preserve">lassocoef</w:t>
      </w:r>
      <w:r>
        <w:rPr>
          <w:rFonts w:cs="B Nazanin"/>
          <w:rtl/>
          <w:szCs w:val="26"/>
        </w:rPr>
        <w:br/>
      </w:r>
      <w:r>
        <w:rPr>
          <w:rFonts w:cs="B Nazanin"/>
          <w:rStyle w:val="VerbatimChar"/>
          <w:rtl/>
          <w:szCs w:val="26"/>
        </w:rPr>
        <w:t xml:space="preserve">* پس‌لاسو</w:t>
      </w:r>
      <w:r>
        <w:rPr>
          <w:rFonts w:cs="B Nazanin"/>
          <w:rtl/>
          <w:szCs w:val="26"/>
        </w:rPr>
        <w:br/>
      </w:r>
      <w:r>
        <w:rPr>
          <w:rFonts w:cs="B Nazanin"/>
          <w:rStyle w:val="VerbatimChar"/>
          <w:rtl/>
          <w:szCs w:val="26"/>
        </w:rPr>
        <w:t xml:space="preserve">logit F_DEF `e(post_sel_vars)'</w:t>
      </w:r>
      <w:r>
        <w:rPr>
          <w:rFonts w:cs="B Nazanin"/>
          <w:rtl/>
          <w:szCs w:val="26"/>
        </w:rPr>
        <w:br/>
      </w:r>
      <w:r>
        <w:rPr>
          <w:rFonts w:cs="B Nazanin"/>
          <w:rtl/>
          <w:szCs w:val="26"/>
        </w:rPr>
        <w:br/>
      </w:r>
      <w:r>
        <w:rPr>
          <w:rFonts w:cs="B Nazanin"/>
          <w:rStyle w:val="VerbatimChar"/>
          <w:rtl/>
          <w:szCs w:val="26"/>
        </w:rPr>
        <w:t xml:space="preserve">* ---- مدل ۳: با و بدون DIV ----</w:t>
      </w:r>
      <w:r>
        <w:rPr>
          <w:rFonts w:cs="B Nazanin"/>
          <w:rtl/>
          <w:szCs w:val="26"/>
        </w:rPr>
        <w:br/>
      </w:r>
      <w:r>
        <w:rPr>
          <w:rFonts w:cs="B Nazanin"/>
          <w:rStyle w:val="VerbatimChar"/>
          <w:rtl/>
          <w:szCs w:val="26"/>
        </w:rPr>
        <w:t xml:space="preserve">logit F_DEF CR QR WC LEV DEBT_EBITDA ICR DSCR CFO_TD ROA TNW AQ CASH ZSCORE</w:t>
      </w:r>
      <w:r>
        <w:rPr>
          <w:rFonts w:cs="B Nazanin"/>
          <w:rtl/>
          <w:szCs w:val="26"/>
        </w:rPr>
        <w:br/>
      </w:r>
      <w:r>
        <w:rPr>
          <w:rFonts w:cs="B Nazanin"/>
          <w:rStyle w:val="VerbatimChar"/>
          <w:rtl/>
          <w:szCs w:val="26"/>
        </w:rPr>
        <w:t xml:space="preserve">predict p_noDIV</w:t>
      </w:r>
      <w:r>
        <w:rPr>
          <w:rFonts w:cs="B Nazanin"/>
          <w:rtl/>
          <w:szCs w:val="26"/>
        </w:rPr>
        <w:br/>
      </w:r>
      <w:r>
        <w:rPr>
          <w:rFonts w:cs="B Nazanin"/>
          <w:rStyle w:val="VerbatimChar"/>
          <w:rtl/>
          <w:szCs w:val="26"/>
        </w:rPr>
        <w:t xml:space="preserve">logit F_DEF CR QR WC LEV DEBT_EBITDA ICR DSCR CFO_TD ROA TNW AQ CASH ZSCORE DIV</w:t>
      </w:r>
      <w:r>
        <w:rPr>
          <w:rFonts w:cs="B Nazanin"/>
          <w:rtl/>
          <w:szCs w:val="26"/>
        </w:rPr>
        <w:br/>
      </w:r>
      <w:r>
        <w:rPr>
          <w:rFonts w:cs="B Nazanin"/>
          <w:rStyle w:val="VerbatimChar"/>
          <w:rtl/>
          <w:szCs w:val="26"/>
        </w:rPr>
        <w:t xml:space="preserve">predict p_DIV</w:t>
      </w:r>
      <w:r>
        <w:rPr>
          <w:rFonts w:cs="B Nazanin"/>
          <w:rtl/>
          <w:szCs w:val="26"/>
        </w:rPr>
        <w:br/>
      </w:r>
      <w:r>
        <w:rPr>
          <w:rFonts w:cs="B Nazanin"/>
          <w:rStyle w:val="VerbatimChar"/>
          <w:rtl/>
          <w:szCs w:val="26"/>
        </w:rPr>
        <w:t xml:space="preserve">roccomp F_DEF p_noDIV p_DIV, summary</w:t>
      </w:r>
      <w:r>
        <w:rPr>
          <w:rFonts w:cs="B Nazanin"/>
          <w:rtl/>
          <w:szCs w:val="26"/>
        </w:rPr>
        <w:br/>
      </w:r>
      <w:r>
        <w:rPr>
          <w:rFonts w:cs="B Nazanin"/>
          <w:rtl/>
          <w:szCs w:val="26"/>
        </w:rPr>
        <w:br/>
      </w:r>
      <w:r>
        <w:rPr>
          <w:rFonts w:cs="B Nazanin"/>
          <w:rStyle w:val="VerbatimChar"/>
          <w:rtl/>
          <w:szCs w:val="26"/>
        </w:rPr>
        <w:t xml:space="preserve">* ---- برون‌نمونه‌ای: آزمون روی 1400-1402 ----</w:t>
      </w:r>
      <w:r>
        <w:rPr>
          <w:rFonts w:cs="B Nazanin"/>
          <w:rtl/>
          <w:szCs w:val="26"/>
        </w:rPr>
        <w:br/>
      </w:r>
      <w:r>
        <w:rPr>
          <w:rFonts w:cs="B Nazanin"/>
          <w:rStyle w:val="VerbatimChar"/>
          <w:rtl/>
          <w:szCs w:val="26"/>
        </w:rPr>
        <w:t xml:space="preserve">lroc if year&gt;=1400</w:t>
      </w:r>
      <w:r>
        <w:rPr>
          <w:rFonts w:cs="B Nazanin"/>
          <w:rtl/>
          <w:szCs w:val="26"/>
        </w:rPr>
        <w:br/>
      </w:r>
      <w:r>
        <w:rPr>
          <w:rFonts w:cs="B Nazanin"/>
          <w:rStyle w:val="VerbatimChar"/>
          <w:rtl/>
          <w:szCs w:val="26"/>
        </w:rPr>
        <w:t xml:space="preserve">estat gof, group(10)</w:t>
      </w:r>
      <w:r>
        <w:rPr>
          <w:rFonts w:cs="B Nazanin"/>
          <w:rtl/>
          <w:szCs w:val="26"/>
        </w:rPr>
        <w:br/>
      </w:r>
      <w:r>
        <w:rPr>
          <w:rFonts w:cs="B Nazanin"/>
          <w:rtl/>
          <w:szCs w:val="26"/>
        </w:rPr>
        <w:br/>
      </w:r>
      <w:r>
        <w:rPr>
          <w:rFonts w:cs="B Nazanin"/>
          <w:rStyle w:val="VerbatimChar"/>
          <w:rtl/>
          <w:szCs w:val="26"/>
        </w:rPr>
        <w:t xml:space="preserve">* ---- آستانه بهینه (یودن) ----</w:t>
      </w:r>
      <w:r>
        <w:rPr>
          <w:rFonts w:cs="B Nazanin"/>
          <w:rtl/>
          <w:szCs w:val="26"/>
        </w:rPr>
        <w:br/>
      </w:r>
      <w:r>
        <w:rPr>
          <w:rFonts w:cs="B Nazanin"/>
          <w:rStyle w:val="VerbatimChar"/>
          <w:rtl/>
          <w:szCs w:val="26"/>
        </w:rPr>
        <w:t xml:space="preserve">* ssc install cutpt</w:t>
      </w:r>
      <w:r>
        <w:rPr>
          <w:rFonts w:cs="B Nazanin"/>
          <w:rtl/>
          <w:szCs w:val="26"/>
        </w:rPr>
        <w:br/>
      </w:r>
      <w:r>
        <w:rPr>
          <w:rFonts w:cs="B Nazanin"/>
          <w:rStyle w:val="VerbatimChar"/>
          <w:rtl/>
          <w:szCs w:val="26"/>
        </w:rPr>
        <w:t xml:space="preserve">cutpt F_DEF p_DIV, youden</w:t>
      </w:r>
      <w:r>
        <w:rPr>
          <w:rFonts w:cs="B Nazanin"/>
          <w:rtl/>
          <w:szCs w:val="26"/>
        </w:rPr>
        <w:br/>
      </w:r>
      <w:r>
        <w:rPr>
          <w:rFonts w:cs="B Nazanin"/>
          <w:rtl/>
          <w:szCs w:val="26"/>
        </w:rPr>
        <w:br/>
      </w:r>
      <w:r>
        <w:rPr>
          <w:rFonts w:cs="B Nazanin"/>
          <w:rStyle w:val="VerbatimChar"/>
          <w:rtl/>
          <w:szCs w:val="26"/>
        </w:rPr>
        <w:t xml:space="preserve">* ---- تعدیل حسابرسی ----</w:t>
      </w:r>
      <w:r>
        <w:rPr>
          <w:rFonts w:cs="B Nazanin"/>
          <w:rtl/>
          <w:szCs w:val="26"/>
        </w:rPr>
        <w:br/>
      </w:r>
      <w:r>
        <w:rPr>
          <w:rFonts w:cs="B Nazanin"/>
          <w:rStyle w:val="VerbatimChar"/>
          <w:rtl/>
          <w:szCs w:val="26"/>
        </w:rPr>
        <w:t xml:space="preserve">logit F_DEF c.DSCR##i.AUDQ SIZE STATE i.year i.industry, vce(cluster firm_id)</w:t>
      </w:r>
    </w:p>
    <w:p>
      <w:pPr>
        <w:bidi/>
        <w:jc w:val="left"/>
      </w:pPr>
      <w:r>
        <w:rPr>
          <w:rFonts w:cs="B Nazanin"/>
          <w:rtl/>
          <w:szCs w:val="26"/>
        </w:rPr>
        <w:pict>
          <v:rect style="width:0;height:1.5pt" o:hralign="center" o:hrstd="t" o:hr="t"/>
        </w:pict>
      </w:r>
    </w:p>
    <w:bookmarkEnd w:id="50"/>
    <w:bookmarkStart w:id="51" w:name="extended-abstract-english"/>
    <w:p>
      <w:pPr>
        <w:pStyle w:val="Heading1"/>
      </w:pPr>
      <w:r>
        <w:rPr>
          <w:rtl/>
        </w:rPr>
        <w:t xml:space="preserve">Extended Abstract (English)</w:t>
      </w:r>
    </w:p>
    <w:p>
      <w:pPr/>
      <w:r>
        <w:rPr>
          <w:rtl/>
          <w:bCs/>
          <w:b/>
        </w:rPr>
        <w:t xml:space="preserve">Title:</w:t>
      </w:r>
      <w:r>
        <w:rPr>
          <w:rtl/>
        </w:rPr>
        <w:t xml:space="preserve"> </w:t>
      </w:r>
      <w:r>
        <w:rPr>
          <w:rtl/>
        </w:rPr>
        <w:t xml:space="preserve">Designing Accounting-Based Covenants in Bank Loan Contracts: Optimal Selection of Contractual Terms for Default Prediction</w:t>
      </w:r>
    </w:p>
    <w:p>
      <w:pPr/>
      <w:r>
        <w:rPr>
          <w:rtl/>
          <w:bCs/>
          <w:b/>
        </w:rPr>
        <w:t xml:space="preserve">Purpose.</w:t>
      </w:r>
      <w:r>
        <w:rPr>
          <w:rtl/>
        </w:rPr>
        <w:t xml:space="preserve"> </w:t>
      </w:r>
      <w:r>
        <w:rPr>
          <w:rtl/>
        </w:rPr>
        <w:t xml:space="preserve">Iranian bank loan contracts rarely contain measurable accounting-based covenants and rely mostly on collateral. This study asks which financial-statement measures best predict borrower default and what threshold of each measure is optimal for inclusion in a loan contract. In other words, it examines how accounting and auditing can be used to mitigate adverse selection in lending.</w:t>
      </w:r>
    </w:p>
    <w:p>
      <w:pPr/>
      <w:r>
        <w:rPr>
          <w:rtl/>
          <w:bCs/>
          <w:b/>
        </w:rPr>
        <w:t xml:space="preserve">Design/methodology/approach.</w:t>
      </w:r>
      <w:r>
        <w:rPr>
          <w:rtl/>
        </w:rPr>
        <w:t xml:space="preserve"> </w:t>
      </w:r>
      <w:r>
        <w:rPr>
          <w:rtl/>
        </w:rPr>
        <w:t xml:space="preserve">The sample consists of non-financial firms listed on the Tehran Stock Exchange and Iran Fara Bourse over 1393–1402 (2014–2023) [to be finalized]. The dependent variable is financial distress or default in the following year (Article 141 of the Commercial Code, overdue bank facilities and penalty interest). Fourteen candidate accounting measures — liquidity, leverage, interest coverage, cash-flow-based ratios, accrual quality, Altman’s Z″-score, and a loan-diversion index — are evaluated. We use logit models, lasso-penalized logit with cross-validation, ROC curves with DeLong tests for comparing areas under the curve, optimal thresholds via Youden’s index and expected-cost minimization under asymmetric error costs, and out-of-sample temporal validation. All analyses are conducted in Stata.</w:t>
      </w:r>
    </w:p>
    <w:p>
      <w:pPr/>
      <w:r>
        <w:rPr>
          <w:rtl/>
          <w:bCs/>
          <w:b/>
        </w:rPr>
        <w:t xml:space="preserve">Findings.</w:t>
      </w:r>
      <w:r>
        <w:rPr>
          <w:rtl/>
        </w:rPr>
        <w:t xml:space="preserve"> </w:t>
      </w:r>
      <w:r>
        <w:rPr>
          <w:rtl/>
        </w:rPr>
        <w:t xml:space="preserve">[To be completed after estimation. Proposed framework: cash-flow-based measures outperform earnings- and balance-sheet-based measures in AUC; adding the loan-diversion index improves predictive power; optimal thresholds differ across industries; and predictive power is stronger for firms with higher audit quality.]</w:t>
      </w:r>
    </w:p>
    <w:p>
      <w:pPr/>
      <w:r>
        <w:rPr>
          <w:rtl/>
          <w:bCs/>
          <w:b/>
        </w:rPr>
        <w:t xml:space="preserve">Originality/value.</w:t>
      </w:r>
      <w:r>
        <w:rPr>
          <w:rtl/>
        </w:rPr>
        <w:t xml:space="preserve"> </w:t>
      </w:r>
      <w:r>
        <w:rPr>
          <w:rtl/>
        </w:rPr>
        <w:t xml:space="preserve">Unlike traditional bankruptcy-prediction studies, the paper approaches the problem from a contract-design perspective: it selects auditable covenant measures, derives thresholds with asymmetric error costs, and tests the stability of thresholds across industries and over time.</w:t>
      </w:r>
    </w:p>
    <w:p>
      <w:pPr/>
      <w:r>
        <w:rPr>
          <w:rtl/>
          <w:bCs/>
          <w:b/>
        </w:rPr>
        <w:t xml:space="preserve">Practical and social implications.</w:t>
      </w:r>
      <w:r>
        <w:rPr>
          <w:rtl/>
        </w:rPr>
        <w:t xml:space="preserve"> </w:t>
      </w:r>
      <w:r>
        <w:rPr>
          <w:rtl/>
        </w:rPr>
        <w:t xml:space="preserve">The output is a table of recommended covenants with thresholds, sensitivity and specificity that banks can embed in loan contracts and auditors can use as the basis for assurance engagements. Better covenant design reduces unjustified lending and protects depositors and banking-system stability.</w:t>
      </w:r>
    </w:p>
    <w:p>
      <w:pPr/>
      <w:r>
        <w:rPr>
          <w:rtl/>
          <w:bCs/>
          <w:b/>
        </w:rPr>
        <w:t xml:space="preserve">Keywords:</w:t>
      </w:r>
      <w:r>
        <w:rPr>
          <w:rtl/>
        </w:rPr>
        <w:t xml:space="preserve"> </w:t>
      </w:r>
      <w:r>
        <w:rPr>
          <w:rtl/>
        </w:rPr>
        <w:t xml:space="preserve">financial covenants; adverse selection; default prediction; bank loans; cash flow; ROC curve; lasso regularization</w:t>
      </w:r>
    </w:p>
    <w:p>
      <w:pPr/>
      <w:r>
        <w:rPr>
          <w:rtl/>
          <w:bCs/>
          <w:b/>
        </w:rPr>
        <w:t xml:space="preserve">JEL classification:</w:t>
      </w:r>
      <w:r>
        <w:rPr>
          <w:rtl/>
        </w:rPr>
        <w:t xml:space="preserve"> </w:t>
      </w:r>
      <w:r>
        <w:rPr>
          <w:rtl/>
        </w:rPr>
        <w:t xml:space="preserve">G21, G33, M41, M42, C53, D82</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bidi/>
      </w:pPr>
      <w:r>
        <w:rPr>
          <w:rStyle w:val="FootnoteReference"/>
        </w:rPr>
        <w:footnoteRef/>
      </w:r>
      <w:r>
        <w:rPr>
          <w:rtl/>
        </w:rPr>
        <w:t xml:space="preserve"> </w:t>
      </w:r>
      <w:r>
        <w:rPr>
          <w:rtl/>
        </w:rPr>
        <w:t xml:space="preserve">مشخصات سازمانی، نشانی پست الکترونیکی و شناسه ORCID نویسنده مسئول در این بخش درج می‌شود.</w:t>
      </w:r>
    </w:p>
  </w:footnote>
  <w:footnote w:id="21">
    <w:p>
      <w:pPr>
        <w:pStyle w:val="FootnoteText"/>
        <w:bidi/>
      </w:pPr>
      <w:r>
        <w:rPr>
          <w:rStyle w:val="FootnoteReference"/>
        </w:rPr>
        <w:footnoteRef/>
      </w:r>
      <w:r>
        <w:rPr>
          <w:rtl/>
        </w:rPr>
        <w:t xml:space="preserve"> </w:t>
      </w:r>
      <w:r>
        <w:rPr>
          <w:rtl/>
        </w:rPr>
        <w:t xml:space="preserve">Financial covenants؛ شروط مبتنی بر اطلاعات حسابداری که اگر وام‌گیرنده آنها را نقض کند، اختیارات بانک (بازنگری، افزایش نرخ، مطالبه فوری) فعال می‌شود.</w:t>
      </w:r>
    </w:p>
  </w:footnote>
  <w:footnote w:id="26">
    <w:p>
      <w:pPr>
        <w:pStyle w:val="FootnoteText"/>
        <w:bidi/>
      </w:pPr>
      <w:r>
        <w:rPr>
          <w:rStyle w:val="FootnoteReference"/>
        </w:rPr>
        <w:footnoteRef/>
      </w:r>
      <w:r>
        <w:rPr>
          <w:rtl/>
        </w:rPr>
        <w:t xml:space="preserve"> </w:t>
      </w:r>
      <w:r>
        <w:rPr>
          <w:rtl/>
        </w:rPr>
        <w:t xml:space="preserve">Discrete-time hazard model.</w:t>
      </w:r>
    </w:p>
  </w:footnote>
  <w:footnote w:id="38">
    <w:p>
      <w:pPr>
        <w:pStyle w:val="FootnoteText"/>
        <w:bidi/>
      </w:pPr>
      <w:r>
        <w:rPr>
          <w:rStyle w:val="FootnoteReference"/>
        </w:rPr>
        <w:footnoteRef/>
      </w:r>
      <w:r>
        <w:rPr>
          <w:rtl/>
        </w:rPr>
        <w:t xml:space="preserve"> </w:t>
      </w:r>
      <w:r>
        <w:rPr>
          <w:rtl/>
        </w:rPr>
        <w:t xml:space="preserve">Net reclassification improvement (NRI)؛ شاخصی برای سنجش بهبود طبقه‌بندی هنگام افزودن متغیر جدید.</w:t>
      </w:r>
    </w:p>
  </w:footnote>
  <w:footnote w:id="46">
    <w:p>
      <w:pPr>
        <w:pStyle w:val="FootnoteText"/>
        <w:bidi/>
      </w:pPr>
      <w:r>
        <w:rPr>
          <w:rStyle w:val="FootnoteReference"/>
        </w:rPr>
        <w:footnoteRef/>
      </w:r>
      <w:r>
        <w:rPr>
          <w:rtl/>
        </w:rPr>
        <w:t xml:space="preserve"> </w:t>
      </w:r>
      <w:r>
        <w:rPr>
          <w:rtl/>
        </w:rPr>
        <w:t xml:space="preserve">Elastic net؛ ترکیب جریمه‌های ℓ۱ و ℓ۲.</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معیارهای حسابداری در قراردادهای تسهیلات بانکی: انتخاب بهینه شرایط قراردادی برای پیش‌بینی نکول</dc:title>
  <dc:creator/>
  <dc:language>fa</dc:language>
  <cp:keywords/>
  <dcterms:created xsi:type="dcterms:W3CDTF">2026-10-15T19:51:24Z</dcterms:created>
  <dcterms:modified xsi:type="dcterms:W3CDTF">2026-10-15T19:51:24Z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