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an unbalanced panel of non-financial firms listed on the Tehran Stock Exchange (TSE) over the Iranian fiscal years 1380–1403 (approximately March 2001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 The 24-year window covers several distinct macroeconomic regimes, including the expansion of the 1380s, the sanctions of 1390–1392 and 1397 onward, and the period of the nuclear agreement.</w:t>
      </w:r>
    </w:p>
    <w:p>
      <w:pPr>
        <w:pStyle w:val="BodyText"/>
      </w:pPr>
      <w:r>
        <w:t xml:space="preserve">The sample is constructed in the following steps:</w:t>
      </w:r>
    </w:p>
    <w:p>
      <w:pPr>
        <w:pStyle w:val="Compact"/>
        <w:numPr>
          <w:ilvl w:val="0"/>
          <w:numId w:val="1001"/>
        </w:numPr>
      </w:pPr>
      <w:r>
        <w:t xml:space="preserve">Start from all firm-years in the database for 1380–1403, on both the TSE and Farabourse.</w:t>
      </w:r>
    </w:p>
    <w:p>
      <w:pPr>
        <w:pStyle w:val="Compact"/>
        <w:numPr>
          <w:ilvl w:val="0"/>
          <w:numId w:val="1001"/>
        </w:numPr>
      </w:pPr>
      <w:r>
        <w:t xml:space="preserve">Exclude Farabourse firms and firms whose market is not recorded, so that the sample consists of firms traded on the main exchange. The database records each firm’s current market; firms that traded on the TSE during 1392–1403 and later moved to Farabourse are identified from the TSE listings of those years and retained.</w:t>
      </w:r>
    </w:p>
    <w:p>
      <w:pPr>
        <w:pStyle w:val="Compact"/>
        <w:numPr>
          <w:ilvl w:val="0"/>
          <w:numId w:val="1001"/>
        </w:numPr>
      </w:pPr>
      <w:r>
        <w:t xml:space="preserve">Exclude banks, credit institutions, insurance, leasing, investment, holding, brokerage and fund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Exclude printing, retail, utilities (electricity, gas, steam and hot water) and activities auxiliary to financial intermediation, whose regulated pricing or business model makes investment and leverage not comparable with manufacturing and mining firms.</w:t>
      </w:r>
    </w:p>
    <w:p>
      <w:pPr>
        <w:pStyle w:val="Compact"/>
        <w:numPr>
          <w:ilvl w:val="0"/>
          <w:numId w:val="1001"/>
        </w:numPr>
      </w:pPr>
      <w:r>
        <w:t xml:space="preserve">Exclude firm-years without financial statements in the database (before listing, after delisting, or not reported).</w:t>
      </w:r>
    </w:p>
    <w:p>
      <w:pPr>
        <w:pStyle w:val="Compact"/>
        <w:numPr>
          <w:ilvl w:val="0"/>
          <w:numId w:val="1001"/>
        </w:numPr>
      </w:pPr>
      <w:r>
        <w:t xml:space="preserve">Exclude firm-years with zero or negative book equity. Leverage above one and a negative market-to-book ratio make a target capital structure undefined for these firm-years, and their investment reflects financial distress rather than financing choices.</w:t>
      </w:r>
    </w:p>
    <w:p>
      <w:pPr>
        <w:pStyle w:val="Compact"/>
        <w:numPr>
          <w:ilvl w:val="0"/>
          <w:numId w:val="1001"/>
        </w:numPr>
      </w:pPr>
      <w:r>
        <w:t xml:space="preserve">Exclude firms with fewer than six consecutive years of usable data. The threshold follows from the estimator rather than from a choice of the researcher: one observation of the dynamic models needs data for years t−3 to t (the lagged dependent variable is built from sales growth at t−2, and the volatility controls use t−3 to t−1), and the forward orthogonal deviation and the Arellano–Bond AR(2) test need at least three consecutive observations per firm. Six consecutive years are therefore the minimum with which a firm contributes to identification and to the specification tests.</w:t>
      </w:r>
    </w:p>
    <w:p>
      <w:pPr>
        <w:pStyle w:val="FirstParagraph"/>
      </w:pPr>
      <w:r>
        <w:t xml:space="preserve">All firms have a fiscal year ending in Esfand (March), so every firm-year shares the same macroeconomic window. Table 1 reports the construction of the sample.</w:t>
      </w:r>
    </w:p>
    <w:p>
      <w:pPr>
        <w:pStyle w:val="BodyText"/>
      </w:pPr>
      <w:r>
        <w:rPr>
          <w:b/>
          <w:bCs/>
        </w:rPr>
        <w:t xml:space="preserve">Table 1. Sample construction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Step</w:t>
            </w:r>
          </w:p>
        </w:tc>
        <w:tc>
          <w:tcPr>
            <w:shd w:val="clear" w:color="auto" w:fill="E8ECF3"/>
          </w:tcPr>
          <w:p>
            <w:pPr>
              <w:pStyle w:val="Compact"/>
            </w:pPr>
            <w:r>
              <w:rPr>
                <w:b/>
                <w:sz w:val="19"/>
              </w:rPr>
              <w:t xml:space="preserve">Panel A. Screening criterion</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1</w:t>
            </w:r>
          </w:p>
        </w:tc>
        <w:tc>
          <w:tcPr/>
          <w:p>
            <w:pPr>
              <w:pStyle w:val="Compact"/>
            </w:pPr>
            <w:r>
              <w:rPr>
                <w:sz w:val="19"/>
              </w:rPr>
              <w:t xml:space="preserve">All firm-years in the database (TSE and Farabourse), 1380–1403</w:t>
            </w:r>
          </w:p>
        </w:tc>
        <w:tc>
          <w:tcPr/>
          <w:p>
            <w:pPr>
              <w:pStyle w:val="Compact"/>
            </w:pPr>
            <w:r>
              <w:rPr>
                <w:sz w:val="19"/>
              </w:rPr>
              <w:t xml:space="preserve">1,162</w:t>
            </w:r>
          </w:p>
        </w:tc>
        <w:tc>
          <w:tcPr/>
          <w:p>
            <w:pPr>
              <w:pStyle w:val="Compact"/>
            </w:pPr>
            <w:r>
              <w:rPr>
                <w:sz w:val="19"/>
              </w:rPr>
              <w:t xml:space="preserve">9,304</w:t>
            </w:r>
          </w:p>
        </w:tc>
      </w:tr>
      <w:tr>
        <w:tc>
          <w:tcPr/>
          <w:p>
            <w:pPr>
              <w:pStyle w:val="Compact"/>
            </w:pPr>
            <w:r>
              <w:rPr>
                <w:sz w:val="19"/>
              </w:rPr>
              <w:t xml:space="preserve">2</w:t>
            </w:r>
          </w:p>
        </w:tc>
        <w:tc>
          <w:tcPr/>
          <w:p>
            <w:pPr>
              <w:pStyle w:val="Compact"/>
            </w:pPr>
            <w:r>
              <w:rPr>
                <w:sz w:val="19"/>
              </w:rPr>
              <w:t xml:space="preserve">Less: Farabourse firms and firms with no market in the database</w:t>
            </w:r>
          </w:p>
        </w:tc>
        <w:tc>
          <w:tcPr/>
          <w:p>
            <w:pPr>
              <w:pStyle w:val="Compact"/>
            </w:pPr>
            <w:r>
              <w:rPr>
                <w:sz w:val="19"/>
              </w:rPr>
              <w:t xml:space="preserve">−693</w:t>
            </w:r>
          </w:p>
        </w:tc>
        <w:tc>
          <w:tcPr/>
          <w:p>
            <w:pPr>
              <w:pStyle w:val="Compact"/>
            </w:pPr>
            <w:r>
              <w:rPr>
                <w:sz w:val="19"/>
              </w:rPr>
              <w:t xml:space="preserve">−1,924</w:t>
            </w:r>
          </w:p>
        </w:tc>
      </w:tr>
      <w:tr>
        <w:tc>
          <w:tcPr/>
          <w:p>
            <w:pPr>
              <w:pStyle w:val="Compact"/>
            </w:pPr>
            <w:r>
              <w:rPr>
                <w:sz w:val="19"/>
              </w:rPr>
              <w:t xml:space="preserve">3</w:t>
            </w:r>
          </w:p>
        </w:tc>
        <w:tc>
          <w:tcPr/>
          <w:p>
            <w:pPr>
              <w:pStyle w:val="Compact"/>
            </w:pPr>
            <w:r>
              <w:rPr>
                <w:sz w:val="19"/>
              </w:rPr>
              <w:t xml:space="preserve">Less: banks, insurance, leasing, investment, holding, brokerage and fund companies</w:t>
            </w:r>
          </w:p>
        </w:tc>
        <w:tc>
          <w:tcPr/>
          <w:p>
            <w:pPr>
              <w:pStyle w:val="Compact"/>
            </w:pPr>
            <w:r>
              <w:rPr>
                <w:sz w:val="19"/>
              </w:rPr>
              <w:t xml:space="preserve">−28</w:t>
            </w:r>
          </w:p>
        </w:tc>
        <w:tc>
          <w:tcPr/>
          <w:p>
            <w:pPr>
              <w:pStyle w:val="Compact"/>
            </w:pPr>
            <w:r>
              <w:rPr>
                <w:sz w:val="19"/>
              </w:rPr>
              <w:t xml:space="preserve">−58</w:t>
            </w:r>
          </w:p>
        </w:tc>
      </w:tr>
      <w:tr>
        <w:tc>
          <w:tcPr/>
          <w:p>
            <w:pPr>
              <w:pStyle w:val="Compact"/>
            </w:pPr>
            <w:r>
              <w:rPr>
                <w:sz w:val="19"/>
              </w:rPr>
              <w:t xml:space="preserve">4</w:t>
            </w:r>
          </w:p>
        </w:tc>
        <w:tc>
          <w:tcPr/>
          <w:p>
            <w:pPr>
              <w:pStyle w:val="Compact"/>
            </w:pPr>
            <w:r>
              <w:rPr>
                <w:sz w:val="19"/>
              </w:rPr>
              <w:t xml:space="preserve">Less: printing, retail, utilities and auxiliary financial activities</w:t>
            </w:r>
          </w:p>
        </w:tc>
        <w:tc>
          <w:tcPr/>
          <w:p>
            <w:pPr>
              <w:pStyle w:val="Compact"/>
            </w:pPr>
            <w:r>
              <w:rPr>
                <w:sz w:val="19"/>
              </w:rPr>
              <w:t xml:space="preserve">−11</w:t>
            </w:r>
          </w:p>
        </w:tc>
        <w:tc>
          <w:tcPr/>
          <w:p>
            <w:pPr>
              <w:pStyle w:val="Compact"/>
            </w:pPr>
            <w:r>
              <w:rPr>
                <w:sz w:val="19"/>
              </w:rPr>
              <w:t xml:space="preserve">−43</w:t>
            </w:r>
          </w:p>
        </w:tc>
      </w:tr>
      <w:tr>
        <w:tc>
          <w:tcPr/>
          <w:p>
            <w:pPr>
              <w:pStyle w:val="Compact"/>
            </w:pPr>
          </w:p>
        </w:tc>
        <w:tc>
          <w:tcPr/>
          <w:p>
            <w:pPr>
              <w:pStyle w:val="Compact"/>
            </w:pPr>
            <w:r>
              <w:rPr>
                <w:sz w:val="19"/>
              </w:rPr>
              <w:t xml:space="preserve">TSE non-financial firms: full panel (430 firms × 24 years)</w:t>
            </w:r>
          </w:p>
        </w:tc>
        <w:tc>
          <w:tcPr/>
          <w:p>
            <w:pPr>
              <w:pStyle w:val="Compact"/>
            </w:pPr>
            <w:r>
              <w:rPr>
                <w:sz w:val="19"/>
              </w:rPr>
              <w:t xml:space="preserve">430</w:t>
            </w:r>
          </w:p>
        </w:tc>
        <w:tc>
          <w:tcPr/>
          <w:p>
            <w:pPr>
              <w:pStyle w:val="Compact"/>
            </w:pPr>
            <w:r>
              <w:rPr>
                <w:sz w:val="19"/>
              </w:rPr>
              <w:t xml:space="preserve">10,320</w:t>
            </w:r>
          </w:p>
        </w:tc>
      </w:tr>
      <w:tr>
        <w:tc>
          <w:tcPr/>
          <w:p>
            <w:pPr>
              <w:pStyle w:val="Compact"/>
            </w:pPr>
            <w:r>
              <w:rPr>
                <w:sz w:val="19"/>
              </w:rPr>
              <w:t xml:space="preserve">5</w:t>
            </w:r>
          </w:p>
        </w:tc>
        <w:tc>
          <w:tcPr/>
          <w:p>
            <w:pPr>
              <w:pStyle w:val="Compact"/>
            </w:pPr>
            <w:r>
              <w:rPr>
                <w:sz w:val="19"/>
              </w:rPr>
              <w:t xml:space="preserve">Less: firm-years without financial statements (not yet listed, delisted or not reported)</w:t>
            </w:r>
          </w:p>
        </w:tc>
        <w:tc>
          <w:tcPr/>
          <w:p>
            <w:pPr>
              <w:pStyle w:val="Compact"/>
            </w:pPr>
            <w:r>
              <w:rPr>
                <w:sz w:val="19"/>
              </w:rPr>
              <w:t xml:space="preserve">—</w:t>
            </w:r>
          </w:p>
        </w:tc>
        <w:tc>
          <w:tcPr/>
          <w:p>
            <w:pPr>
              <w:pStyle w:val="Compact"/>
            </w:pPr>
            <w:r>
              <w:rPr>
                <w:sz w:val="19"/>
              </w:rPr>
              <w:t xml:space="preserve">−3,916</w:t>
            </w:r>
          </w:p>
        </w:tc>
      </w:tr>
      <w:tr>
        <w:tc>
          <w:tcPr/>
          <w:p>
            <w:pPr>
              <w:pStyle w:val="Compact"/>
            </w:pPr>
            <w:r>
              <w:rPr>
                <w:sz w:val="19"/>
              </w:rPr>
              <w:t xml:space="preserve">6</w:t>
            </w:r>
          </w:p>
        </w:tc>
        <w:tc>
          <w:tcPr/>
          <w:p>
            <w:pPr>
              <w:pStyle w:val="Compact"/>
            </w:pPr>
            <w:r>
              <w:rPr>
                <w:sz w:val="19"/>
              </w:rPr>
              <w:t xml:space="preserve">Less: firm-years with zero or negative book equity</w:t>
            </w:r>
          </w:p>
        </w:tc>
        <w:tc>
          <w:tcPr/>
          <w:p>
            <w:pPr>
              <w:pStyle w:val="Compact"/>
            </w:pPr>
            <w:r>
              <w:rPr>
                <w:sz w:val="19"/>
              </w:rPr>
              <w:t xml:space="preserve">—</w:t>
            </w:r>
          </w:p>
        </w:tc>
        <w:tc>
          <w:tcPr/>
          <w:p>
            <w:pPr>
              <w:pStyle w:val="Compact"/>
            </w:pPr>
            <w:r>
              <w:rPr>
                <w:sz w:val="19"/>
              </w:rPr>
              <w:t xml:space="preserve">−359</w:t>
            </w:r>
          </w:p>
        </w:tc>
      </w:tr>
      <w:tr>
        <w:tc>
          <w:tcPr/>
          <w:p>
            <w:pPr>
              <w:pStyle w:val="Compact"/>
            </w:pPr>
            <w:r>
              <w:rPr>
                <w:sz w:val="19"/>
              </w:rPr>
              <w:t xml:space="preserve">7</w:t>
            </w:r>
          </w:p>
        </w:tc>
        <w:tc>
          <w:tcPr/>
          <w:p>
            <w:pPr>
              <w:pStyle w:val="Compact"/>
            </w:pPr>
            <w:r>
              <w:rPr>
                <w:sz w:val="19"/>
              </w:rPr>
              <w:t xml:space="preserve">Less: firms with fewer than six consecutive years of usable data</w:t>
            </w:r>
          </w:p>
        </w:tc>
        <w:tc>
          <w:tcPr/>
          <w:p>
            <w:pPr>
              <w:pStyle w:val="Compact"/>
            </w:pPr>
            <w:r>
              <w:rPr>
                <w:sz w:val="19"/>
              </w:rPr>
              <w:t xml:space="preserve">−97</w:t>
            </w:r>
          </w:p>
        </w:tc>
        <w:tc>
          <w:tcPr/>
          <w:p>
            <w:pPr>
              <w:pStyle w:val="Compact"/>
            </w:pPr>
            <w:r>
              <w:rPr>
                <w:sz w:val="19"/>
              </w:rPr>
              <w:t xml:space="preserve">−422</w:t>
            </w:r>
          </w:p>
        </w:tc>
      </w:tr>
      <w:tr>
        <w:tc>
          <w:tcPr/>
          <w:p>
            <w:pPr>
              <w:pStyle w:val="Compact"/>
            </w:pPr>
            <w:r>
              <w:rPr>
                <w:sz w:val="19"/>
              </w:rPr>
              <w:t xml:space="preserve">=</w:t>
            </w:r>
          </w:p>
        </w:tc>
        <w:tc>
          <w:tcPr/>
          <w:p>
            <w:pPr>
              <w:pStyle w:val="Compact"/>
            </w:pPr>
            <w:r>
              <w:rPr>
                <w:sz w:val="19"/>
              </w:rPr>
              <w:t xml:space="preserve">Final sample (unbalanced panel, including base year 1380)</w:t>
            </w:r>
          </w:p>
        </w:tc>
        <w:tc>
          <w:tcPr/>
          <w:p>
            <w:pPr>
              <w:pStyle w:val="Compact"/>
            </w:pPr>
            <w:r>
              <w:rPr>
                <w:sz w:val="19"/>
              </w:rPr>
              <w:t xml:space="preserve">320</w:t>
            </w:r>
          </w:p>
        </w:tc>
        <w:tc>
          <w:tcPr/>
          <w:p>
            <w:pPr>
              <w:pStyle w:val="Compact"/>
            </w:pPr>
            <w:r>
              <w:rPr>
                <w:sz w:val="19"/>
              </w:rPr>
              <w:t xml:space="preserve">5,623</w:t>
            </w:r>
          </w:p>
        </w:tc>
      </w:tr>
      <w:tr>
        <w:tc>
          <w:tcPr/>
          <w:p>
            <w:pPr>
              <w:pStyle w:val="Compact"/>
            </w:pPr>
          </w:p>
        </w:tc>
        <w:tc>
          <w:tcPr/>
          <w:p>
            <w:pPr>
              <w:pStyle w:val="Compact"/>
            </w:pPr>
            <w:r>
              <w:rPr>
                <w:b/>
                <w:bCs/>
                <w:sz w:val="19"/>
              </w:rPr>
              <w:t xml:space="preserve">Panel B. Data availability of the firms after step 6</w:t>
            </w:r>
          </w:p>
        </w:tc>
        <w:tc>
          <w:tcPr/>
          <w:p>
            <w:pPr>
              <w:pStyle w:val="Compact"/>
            </w:pPr>
          </w:p>
        </w:tc>
        <w:tc>
          <w:tcPr/>
          <w:p>
            <w:pPr>
              <w:pStyle w:val="Compact"/>
            </w:pPr>
          </w:p>
        </w:tc>
      </w:tr>
      <w:tr>
        <w:tc>
          <w:tcPr/>
          <w:p>
            <w:pPr>
              <w:pStyle w:val="Compact"/>
            </w:pPr>
          </w:p>
        </w:tc>
        <w:tc>
          <w:tcPr/>
          <w:p>
            <w:pPr>
              <w:pStyle w:val="Compact"/>
            </w:pPr>
            <w:r>
              <w:rPr>
                <w:sz w:val="19"/>
              </w:rPr>
              <w:t xml:space="preserve">Firms with data in all 24 years</w:t>
            </w:r>
          </w:p>
        </w:tc>
        <w:tc>
          <w:tcPr/>
          <w:p>
            <w:pPr>
              <w:pStyle w:val="Compact"/>
            </w:pPr>
            <w:r>
              <w:rPr>
                <w:sz w:val="19"/>
              </w:rPr>
              <w:t xml:space="preserve">24</w:t>
            </w:r>
          </w:p>
        </w:tc>
        <w:tc>
          <w:tcPr/>
          <w:p>
            <w:pPr>
              <w:pStyle w:val="Compact"/>
            </w:pPr>
            <w:r>
              <w:rPr>
                <w:sz w:val="19"/>
              </w:rPr>
              <w:t xml:space="preserve">576</w:t>
            </w:r>
          </w:p>
        </w:tc>
      </w:tr>
      <w:tr>
        <w:tc>
          <w:tcPr/>
          <w:p>
            <w:pPr>
              <w:pStyle w:val="Compact"/>
            </w:pPr>
          </w:p>
        </w:tc>
        <w:tc>
          <w:tcPr/>
          <w:p>
            <w:pPr>
              <w:pStyle w:val="Compact"/>
            </w:pPr>
            <w:r>
              <w:rPr>
                <w:sz w:val="19"/>
              </w:rPr>
              <w:t xml:space="preserve">Firms with data for part of the period</w:t>
            </w:r>
          </w:p>
        </w:tc>
        <w:tc>
          <w:tcPr/>
          <w:p>
            <w:pPr>
              <w:pStyle w:val="Compact"/>
            </w:pPr>
            <w:r>
              <w:rPr>
                <w:sz w:val="19"/>
              </w:rPr>
              <w:t xml:space="preserve">371</w:t>
            </w:r>
          </w:p>
        </w:tc>
        <w:tc>
          <w:tcPr/>
          <w:p>
            <w:pPr>
              <w:pStyle w:val="Compact"/>
            </w:pPr>
            <w:r>
              <w:rPr>
                <w:sz w:val="19"/>
              </w:rPr>
              <w:t xml:space="preserve">5,447</w:t>
            </w:r>
          </w:p>
        </w:tc>
      </w:tr>
      <w:tr>
        <w:tc>
          <w:tcPr/>
          <w:p>
            <w:pPr>
              <w:pStyle w:val="Compact"/>
            </w:pPr>
          </w:p>
        </w:tc>
        <w:tc>
          <w:tcPr/>
          <w:p>
            <w:pPr>
              <w:pStyle w:val="Compact"/>
            </w:pPr>
            <w:r>
              <w:rPr>
                <w:sz w:val="19"/>
              </w:rPr>
              <w:t xml:space="preserve">Firms with data in only one year</w:t>
            </w:r>
          </w:p>
        </w:tc>
        <w:tc>
          <w:tcPr/>
          <w:p>
            <w:pPr>
              <w:pStyle w:val="Compact"/>
            </w:pPr>
            <w:r>
              <w:rPr>
                <w:sz w:val="19"/>
              </w:rPr>
              <w:t xml:space="preserve">22</w:t>
            </w:r>
          </w:p>
        </w:tc>
        <w:tc>
          <w:tcPr/>
          <w:p>
            <w:pPr>
              <w:pStyle w:val="Compact"/>
            </w:pPr>
            <w:r>
              <w:rPr>
                <w:sz w:val="19"/>
              </w:rPr>
              <w:t xml:space="preserve">22</w:t>
            </w:r>
          </w:p>
        </w:tc>
      </w:tr>
      <w:tr>
        <w:tc>
          <w:tcPr/>
          <w:p>
            <w:pPr>
              <w:pStyle w:val="Compact"/>
            </w:pPr>
          </w:p>
        </w:tc>
        <w:tc>
          <w:tcPr/>
          <w:p>
            <w:pPr>
              <w:pStyle w:val="Compact"/>
            </w:pPr>
            <w:r>
              <w:rPr>
                <w:sz w:val="19"/>
              </w:rPr>
              <w:t xml:space="preserve">Of all firms: first year with data after 1380 (listed later)</w:t>
            </w:r>
          </w:p>
        </w:tc>
        <w:tc>
          <w:tcPr/>
          <w:p>
            <w:pPr>
              <w:pStyle w:val="Compact"/>
            </w:pPr>
            <w:r>
              <w:rPr>
                <w:sz w:val="19"/>
              </w:rPr>
              <w:t xml:space="preserve">199</w:t>
            </w:r>
          </w:p>
        </w:tc>
        <w:tc>
          <w:tcPr/>
          <w:p>
            <w:pPr>
              <w:pStyle w:val="Compact"/>
            </w:pPr>
          </w:p>
        </w:tc>
      </w:tr>
      <w:tr>
        <w:tc>
          <w:tcPr/>
          <w:p>
            <w:pPr>
              <w:pStyle w:val="Compact"/>
            </w:pPr>
          </w:p>
        </w:tc>
        <w:tc>
          <w:tcPr/>
          <w:p>
            <w:pPr>
              <w:pStyle w:val="Compact"/>
            </w:pPr>
            <w:r>
              <w:rPr>
                <w:sz w:val="19"/>
              </w:rPr>
              <w:t xml:space="preserve">Of all firms: last year with data before 1403 (delisted or not reported)</w:t>
            </w:r>
          </w:p>
        </w:tc>
        <w:tc>
          <w:tcPr/>
          <w:p>
            <w:pPr>
              <w:pStyle w:val="Compact"/>
            </w:pPr>
            <w:r>
              <w:rPr>
                <w:sz w:val="19"/>
              </w:rPr>
              <w:t xml:space="preserve">126</w:t>
            </w:r>
          </w:p>
        </w:tc>
        <w:tc>
          <w:tcPr/>
          <w:p>
            <w:pPr>
              <w:pStyle w:val="Compact"/>
            </w:pPr>
          </w:p>
        </w:tc>
      </w:tr>
      <w:tr>
        <w:tc>
          <w:tcPr/>
          <w:p>
            <w:pPr>
              <w:pStyle w:val="Compact"/>
            </w:pPr>
          </w:p>
        </w:tc>
        <w:tc>
          <w:tcPr/>
          <w:p>
            <w:pPr>
              <w:pStyle w:val="Compact"/>
            </w:pPr>
            <w:r>
              <w:rPr>
                <w:sz w:val="19"/>
              </w:rPr>
              <w:t xml:space="preserve">Of all firms: one or more missing years inside their period</w:t>
            </w:r>
          </w:p>
        </w:tc>
        <w:tc>
          <w:tcPr/>
          <w:p>
            <w:pPr>
              <w:pStyle w:val="Compact"/>
            </w:pPr>
            <w:r>
              <w:rPr>
                <w:sz w:val="19"/>
              </w:rPr>
              <w:t xml:space="preserve">263</w:t>
            </w:r>
          </w:p>
        </w:tc>
        <w:tc>
          <w:tcPr/>
          <w:p>
            <w:pPr>
              <w:pStyle w:val="Compact"/>
            </w:pPr>
          </w:p>
        </w:tc>
      </w:tr>
      <w:tr>
        <w:tc>
          <w:tcPr/>
          <w:p>
            <w:pPr>
              <w:pStyle w:val="Compact"/>
            </w:pPr>
          </w:p>
        </w:tc>
        <w:tc>
          <w:tcPr/>
          <w:p>
            <w:pPr>
              <w:pStyle w:val="Compact"/>
            </w:pPr>
            <w:r>
              <w:rPr>
                <w:sz w:val="19"/>
              </w:rPr>
              <w:t xml:space="preserve">Firms with data in every year 1393–1403 (balanced subsample, test S8)</w:t>
            </w:r>
          </w:p>
        </w:tc>
        <w:tc>
          <w:tcPr/>
          <w:p>
            <w:pPr>
              <w:pStyle w:val="Compact"/>
            </w:pPr>
            <w:r>
              <w:rPr>
                <w:sz w:val="19"/>
              </w:rPr>
              <w:t xml:space="preserve">120</w:t>
            </w:r>
          </w:p>
        </w:tc>
        <w:tc>
          <w:tcPr/>
          <w:p>
            <w:pPr>
              <w:pStyle w:val="Compact"/>
            </w:pPr>
            <w:r>
              <w:rPr>
                <w:sz w:val="19"/>
              </w:rPr>
              <w:t xml:space="preserve">2,323</w:t>
            </w:r>
          </w:p>
        </w:tc>
      </w:tr>
    </w:tbl>
    <w:p>
      <w:pPr>
        <w:pStyle w:val="BodyText"/>
      </w:pPr>
      <w:r>
        <w:t xml:space="preserve">After step 6, only 24 firms report in all 24 years, while 199 firms entered the exchange after 1380 and 126 left it, or stopped reporting, before 1403. The final sample is an unbalanced panel of 320 firms and 5,623 firm-years, an average of 17.6 years per firm. The only length requirement is step 7, which is set by the data needs of the estimator (six consecutive years), not by a preference for long-lived firms; firms with gaps keep all their usable years, and each year enters an estimation when the lags it requires exist.</w:t>
      </w:r>
    </w:p>
    <w:p>
      <w:pPr>
        <w:pStyle w:val="BodyText"/>
      </w:pPr>
      <w:r>
        <w:t xml:space="preserve">An unbalanced panel is used for three reasons. First, requiring every firm to report in all 24 years would keep 24 firms, too few for System GMM, whose instrument count must stay below the number of cross-sectional units. Second, such a sample would retain only survivors. Over-leveraged firms that fell into distress or left the exchange, the firms at the centre of H1a, would be removed, and so would every firm listed after 1380, including the wave of listings that followed the privatisations of the late 1380s; the estimates would be subject to survivorship bias. Third, the forward orthogonal deviation used in the GMM estimator (Section 3.8.2) is designed for panels with gaps. To show that entry and exit do not drive the results, all models are re-estimated on the balanced subsample of 120 firms with usable data in every year 1393–1403 (sensitivity test S8).</w:t>
      </w:r>
    </w:p>
    <w:p>
      <w:pPr>
        <w:pStyle w:val="BodyText"/>
      </w:pPr>
      <w:r>
        <w:rPr>
          <w:b/>
          <w:bCs/>
        </w:rPr>
        <w:t xml:space="preserve">Industries.</w:t>
      </w:r>
      <w:r>
        <w:t xml:space="preserve"> </w:t>
      </w:r>
      <w:r>
        <w:t xml:space="preserve">Industries are defined by the industry name in the database. The database also reports a broad group code (eleven groups, each combining several industries), which is too coarse to serve as an industry classification and is not used. Industries with a single firm in the final sample are pooled into one category (</w:t>
      </w:r>
      <w:r>
        <w:t xml:space="preserve">“other industries”</w:t>
      </w:r>
      <w:r>
        <w:t xml:space="preserve">). In the estimations that use industry cells (industry leverage in Eq. 2, the DEA frontier and the industry dummies), industries with fewer than five firms are pooled into one group, so that no cell rests on one or two firms.</w:t>
      </w:r>
    </w:p>
    <w:p>
      <w:pPr>
        <w:pStyle w:val="BodyText"/>
      </w:pPr>
      <w:r>
        <w:rPr>
          <w:b/>
          <w:bCs/>
        </w:rPr>
        <w:t xml:space="preserve">Data sources and assembly.</w:t>
      </w:r>
      <w:r>
        <w:t xml:space="preserve"> </w:t>
      </w:r>
      <w:r>
        <w:t xml:space="preserve">Accounting data are collected from the Rahavard Novin database and cross-checked against the original filings in the Codal disclosure system. Data for 1380–1402 come from one extraction; data for 1403 come from six extractions that are merged on the company code (or, where the code is not reported, on the ticker). The database reports the statement of cash flows in the three-category format of the revised Iranian Accounting Standard No. 2 for all years, so operating, investing and financing cash flows are defined consistently across the period; the identity between the three flows and the change in cash is verified for every firm-year. Statements are taken from the separate (parent-company) financial statements. Market value of equity is the year-end closing price multiplied by the number of shares (paid-in capital divided by the nominal value of 1,000 rials). The annual inflation rate is obtained from the Central Bank of the Islamic Republic of Iran. All monetary amounts are in million rials.</w:t>
      </w:r>
    </w:p>
    <w:p>
      <w:pPr>
        <w:pStyle w:val="BodyText"/>
      </w:pPr>
      <w:r>
        <w:rPr>
          <w:b/>
          <w:bCs/>
        </w:rPr>
        <w:t xml:space="preserve">Structural change.</w:t>
      </w:r>
      <w:r>
        <w:t xml:space="preserve"> </w:t>
      </w:r>
      <w:r>
        <w:t xml:space="preserve">The 24-year window spans regimes with very different inflation, exchange-rate and sanctions conditions. Year dummies in every model absorb shocks common to all firms; the crisis years 1397–1399 are excluded in sensitivity test S6, and the models are re-estimated on the original study period 1395–1403 in sensitivity test S10.</w:t>
      </w:r>
    </w:p>
    <w:p>
      <w:pPr>
        <w:pStyle w:val="BodyText"/>
      </w:pPr>
      <w:r>
        <w:t xml:space="preserve">Fiscal year 1380 serves only as a base year for variables that require prior-year values. Because the investment-expectation model uses lagged sales growth and the dynamic models use the lagged dependent variable, the first year of each estimation is: target leverage model, Eq. (2), 1381; investment-expectation model, Eq. (1), 1382; dynamic models, Eqs. (6)–(12), 1383. The firm-year counts of each estimation are reported with the results.</w:t>
      </w:r>
    </w:p>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1380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1380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Compact"/>
        <w:numPr>
          <w:ilvl w:val="0"/>
          <w:numId w:val="1003"/>
        </w:numPr>
      </w:pPr>
      <w:r>
        <w:rPr>
          <w:b/>
          <w:bCs/>
        </w:rPr>
        <w:t xml:space="preserve">TANG</w:t>
      </w:r>
      <w:r>
        <w:t xml:space="preserve">: net PP&amp;E / total assets. Asset tangibility determines the scope for collateralised financing and the share of investment that is lumpy and irreversible.</w:t>
      </w:r>
    </w:p>
    <w:p>
      <w:pPr>
        <w:pStyle w:val="Compact"/>
        <w:numPr>
          <w:ilvl w:val="0"/>
          <w:numId w:val="1003"/>
        </w:numPr>
      </w:pPr>
      <w:r>
        <w:rPr>
          <w:b/>
          <w:bCs/>
        </w:rPr>
        <w:t xml:space="preserve">LOSS</w:t>
      </w:r>
      <w:r>
        <w:t xml:space="preserve">: 1 if operating income is negative, 0 otherwise. Loss firms face tighter financing constraints and are more likely to cut investment.</w:t>
      </w:r>
    </w:p>
    <w:p>
      <w:pPr>
        <w:pStyle w:val="Compact"/>
        <w:numPr>
          <w:ilvl w:val="0"/>
          <w:numId w:val="1003"/>
        </w:numPr>
      </w:pPr>
      <w:r>
        <w:rPr>
          <w:b/>
          <w:bCs/>
        </w:rPr>
        <w:t xml:space="preserve">σ(CFO)</w:t>
      </w:r>
      <w:r>
        <w:t xml:space="preserve">: standard deviation of CFO / TA over t−3 to t−1. Volatile operating cash flows raise the cost of external finance and make investment harder to plan.</w:t>
      </w:r>
    </w:p>
    <w:p>
      <w:pPr>
        <w:pStyle w:val="Compact"/>
        <w:numPr>
          <w:ilvl w:val="0"/>
          <w:numId w:val="1003"/>
        </w:numPr>
      </w:pPr>
      <w:r>
        <w:rPr>
          <w:b/>
          <w:bCs/>
        </w:rPr>
        <w:t xml:space="preserve">σ(Sales)</w:t>
      </w:r>
      <w:r>
        <w:t xml:space="preserve">: standard deviation of Sales / TA over t−3 to t−1. Volatile demand reduces the accuracy of the expectation model, Eq. (1), and therefore the size of the residual.</w:t>
      </w:r>
    </w:p>
    <w:p>
      <w:pPr>
        <w:pStyle w:val="FirstParagraph"/>
      </w:pPr>
      <w:r>
        <w:t xml:space="preserve">The control set reproduces the firm-level controls of Biddle et al. (2009) that can be built from the data available for TSE firms; Z-score, dividend payout, slack and operating cycle are not included because the required items are not available. All controls are measured at t−1, as in Biddle et al. (2009); the volatility measures use the three years ending at t−1.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TANG, LOSS, σ(CFO), σ(Sales))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p>
      <w:pPr>
        <w:pStyle w:val="BodyText"/>
      </w:pPr>
      <w:r>
        <w:rPr>
          <w:b/>
          <w:bCs/>
        </w:rPr>
        <w:t xml:space="preserve">Timing.</w:t>
      </w:r>
      <w:r>
        <w:t xml:space="preserve"> </w:t>
      </w:r>
      <w:r>
        <w:t xml:space="preserve">Capital structure deviation and managerial ability enter every model at t−1, the start of the year in which the investment is made. The hypotheses concern the effect of a firm’s position relative to its target on the investment decisions that follow: debt overhang (Myers, 1977) constrains the investment of a firm that is already over-leveraged, and free cash flow (Jensen, 1986) is available to the managers of a firm that is already under-leveraged. Measured in year t, the deviation would partly reflect the financing of the investment being explained: investment financed with new debt raises TDA</w:t>
      </w:r>
      <w:r>
        <w:rPr>
          <w:vertAlign w:val="subscript"/>
        </w:rPr>
        <w:t xml:space="preserve">t</w:t>
      </w:r>
      <w:r>
        <w:t xml:space="preserve"> </w:t>
      </w:r>
      <w:r>
        <w:t xml:space="preserve">and therefore CSD⁺</w:t>
      </w:r>
      <w:r>
        <w:rPr>
          <w:vertAlign w:val="subscript"/>
        </w:rPr>
        <w:t xml:space="preserve">t</w:t>
      </w:r>
      <w:r>
        <w:t xml:space="preserve"> </w:t>
      </w:r>
      <w:r>
        <w:t xml:space="preserve">in the same year, which creates a positive mechanical relation that works against H1a. The same argument applies to MA, whose DEA inputs and output (cost of goods sold, SG&amp;A and sales) move with current-year investment. Measuring both at t−1 matches the timing of the life-cycle stage (Section 3.4) and of the controls (Section 3.6), so every explanatory variable is observed before the investment year begins. The contemporaneous specification is reported as robustness test R4.</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U</m:t>
          </m:r>
          <m:r>
            <m:t>N</m:t>
          </m:r>
          <m:r>
            <m:t>D</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O</m:t>
          </m:r>
          <m:r>
            <m:t>V</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r>
                <m:rPr>
                  <m:sty m:val="p"/>
                </m:rPr>
                <m:t>−</m:t>
              </m:r>
              <m:r>
                <m:t>1</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8</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with an average of about 18 years per firm it is smaller than in short panels but not negligible.</w:t>
      </w:r>
    </w:p>
    <w:p>
      <w:pPr>
        <w:pStyle w:val="Compact"/>
        <w:numPr>
          <w:ilvl w:val="0"/>
          <w:numId w:val="1004"/>
        </w:numPr>
      </w:pPr>
      <w:r>
        <w:rPr>
          <w:b/>
          <w:bCs/>
        </w:rPr>
        <w:t xml:space="preserve">Simultaneity.</w:t>
      </w:r>
      <w:r>
        <w:t xml:space="preserve"> </w:t>
      </w:r>
      <w:r>
        <w:t xml:space="preserve">Investment financed with new debt raises leverage in the same year, so contemporaneous CSD⁺ and CSD⁻ would be jointly determined with InvEff. Measuring the deviation at t−1 removes this mechanical link (Section 3.7), but lagged deviation can still respond to past investment shocks, so it is not treated as exogenous.</w:t>
      </w:r>
    </w:p>
    <w:p>
      <w:pPr>
        <w:pStyle w:val="Compact"/>
        <w:numPr>
          <w:ilvl w:val="0"/>
          <w:numId w:val="1004"/>
        </w:numPr>
      </w:pPr>
      <w:r>
        <w:rPr>
          <w:b/>
          <w:bCs/>
        </w:rPr>
        <w:t xml:space="preserve">Unobserved heterogeneity and measurement error.</w:t>
      </w:r>
      <w:r>
        <w:t xml:space="preserve"> </w:t>
      </w:r>
      <w:r>
        <w:t xml:space="preserve">MA is constructed from sales efficiency, which shares shocks with investment,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a transformed equation, which removes η</w:t>
      </w:r>
      <w:r>
        <w:rPr>
          <w:vertAlign w:val="subscript"/>
        </w:rPr>
        <w:t xml:space="preserve">i</w:t>
      </w:r>
      <w:r>
        <w:t xml:space="preserve"> </w:t>
      </w:r>
      <w:r>
        <w:t xml:space="preserve">and is instrumented with lagged levels, and the levels equation, instrumented with lagged first differences. The transformation is the forward orthogonal deviation (Arellano &amp; Bover, 1995): each observation is expressed as its deviation from the mean of all future observations of the same firm. The panel has gaps, because firm-years with non-positive book equity are excluded (Section 3.1). First-differencing loses two observations at every gap, while the forward orthogonal deviation loses only one and uses all available future information (Roodman, 2009b). First differences are reported as sensitivity test S9a.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p>
      <w:pPr>
        <w:pStyle w:val="BodyText"/>
      </w:pPr>
      <w:r>
        <w:t xml:space="preserve">Lags in the table refer to the regressor as it enters the model; for example, the instruments of CSD⁺</w:t>
      </w:r>
      <w:r>
        <w:rPr>
          <w:vertAlign w:val="subscript"/>
        </w:rPr>
        <w:t xml:space="preserve">t−1</w:t>
      </w:r>
      <w:r>
        <w:t xml:space="preserve"> </w:t>
      </w:r>
      <w:r>
        <w:t xml:space="preserve">are its own values two and three periods earlier.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Transformed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CSD⁺, CSD⁻, UNDER, OVER, MA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Lags 1 and 2</w:t>
            </w:r>
          </w:p>
        </w:tc>
        <w:tc>
          <w:tcPr/>
          <w:p>
            <w:pPr>
              <w:pStyle w:val="Compact"/>
            </w:pPr>
            <w:r>
              <w:rPr>
                <w:sz w:val="19"/>
              </w:rPr>
              <w:t xml:space="preserve">Δ, current</w:t>
            </w:r>
          </w:p>
        </w:tc>
      </w:tr>
      <w:tr>
        <w:tc>
          <w:tcPr/>
          <w:p>
            <w:pPr>
              <w:pStyle w:val="Compact"/>
            </w:pPr>
            <w:r>
              <w:rPr>
                <w:sz w:val="19"/>
              </w:rPr>
              <w:t xml:space="preserve">Controls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320 cross-sectional units. Because the instruments are collapsed, their number does not grow with the length of the panel, which matters with up to 24 years per firm. Instrument proliferation overfits the endogenous regressors and weakens the Hansen test (Roodman, 2009a). The instrument count is reported for every model.</w:t>
      </w:r>
    </w:p>
    <w:p>
      <w:pPr>
        <w:pStyle w:val="BodyText"/>
      </w:pPr>
      <w:r>
        <w:t xml:space="preserve">Restricting lag depth keeps the instrument count low but can leave the instruments weak, and weak instruments make GMM estimates imprecise and biased toward OLS (Bun &amp; Windmeijer, 2010). Instrument strength is therefore checked before any hypothesis model is estimated. For each main regressor (CSD⁺, CSD⁻, MA), the cluster-robust first-stage F statistic of its collapsed lag instruments is computed for the transformed and levels equations. The lag window is fixed by a rule set in advance: lags 2–3 are kept unless the weakest first-stage F is below 10 (Staiger &amp; Stock, 1997) and the window of lags 2–4 gives stronger instruments, in which case lags 2–4 are used. The F statistics and the window selected are reported in the Online Appendix (OA10). The rule depends only on the first stages, never on the hypothesis tests.</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Pooled over all years (values in 1380 prices)</w:t>
            </w:r>
          </w:p>
        </w:tc>
        <w:tc>
          <w:tcPr/>
          <w:p>
            <w:pPr>
              <w:pStyle w:val="Compact"/>
            </w:pPr>
            <w:r>
              <w:rPr>
                <w:sz w:val="19"/>
              </w:rPr>
              <w:t xml:space="preserve">Frontier per industry</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the forward orthogonal deviation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Instrument strength (first-stage F of the main regressors)</w:t>
            </w:r>
          </w:p>
        </w:tc>
        <w:tc>
          <w:tcPr/>
          <w:p>
            <w:pPr>
              <w:pStyle w:val="Compact"/>
            </w:pPr>
            <w:r>
              <w:rPr>
                <w:sz w:val="19"/>
              </w:rPr>
              <w:t xml:space="preserve">Reported; lag window chosen by the rule in Section 3.8.2</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320 and up to 24 years per firm, Fisher-type panel unit-root tests (which allow unbalanced panels) on InvEff and CSDev are reported</w:t>
            </w:r>
          </w:p>
        </w:tc>
        <w:tc>
          <w:tcPr/>
          <w:p>
            <w:pPr>
              <w:pStyle w:val="Compact"/>
            </w:pPr>
            <w:r>
              <w:rPr>
                <w:sz w:val="19"/>
              </w:rPr>
              <w:t xml:space="preserve">Year dummies; variables are ratios or residuals</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 and ability</w:t>
            </w:r>
          </w:p>
        </w:tc>
        <w:tc>
          <w:tcPr/>
          <w:p>
            <w:pPr>
              <w:pStyle w:val="Compact"/>
            </w:pPr>
            <w:r>
              <w:rPr>
                <w:sz w:val="19"/>
              </w:rPr>
              <w:t xml:space="preserve">CSD⁺, CSD⁻ and MA measured at t (contemporaneous) instead of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Window selected by the instrument-strength rule (main) against the other of lags 2–3 and 2–4; lags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Balanced subsample: the 120 firms with usable data in every year 1393–1403, to assess survivorship effects</w:t>
            </w:r>
          </w:p>
        </w:tc>
      </w:tr>
      <w:tr>
        <w:tc>
          <w:tcPr/>
          <w:p>
            <w:pPr>
              <w:pStyle w:val="Compact"/>
            </w:pPr>
            <w:r>
              <w:rPr>
                <w:sz w:val="19"/>
              </w:rPr>
              <w:t xml:space="preserve">S10</w:t>
            </w:r>
          </w:p>
        </w:tc>
        <w:tc>
          <w:tcPr/>
          <w:p>
            <w:pPr>
              <w:pStyle w:val="Compact"/>
            </w:pPr>
            <w:r>
              <w:rPr>
                <w:sz w:val="19"/>
              </w:rPr>
              <w:t xml:space="preserve">Study period</w:t>
            </w:r>
          </w:p>
        </w:tc>
        <w:tc>
          <w:tcPr/>
          <w:p>
            <w:pPr>
              <w:pStyle w:val="Compact"/>
            </w:pPr>
            <w:r>
              <w:rPr>
                <w:sz w:val="19"/>
              </w:rPr>
              <w:t xml:space="preserve">Original study period 1395–1403 (data from 1392), to check that the extension to 1380 does not drive the results</w:t>
            </w:r>
          </w:p>
        </w:tc>
      </w:tr>
      <w:tr>
        <w:tc>
          <w:tcPr/>
          <w:p>
            <w:pPr>
              <w:pStyle w:val="Compact"/>
            </w:pPr>
            <w:r>
              <w:rPr>
                <w:sz w:val="19"/>
              </w:rPr>
              <w:t xml:space="preserve">S9</w:t>
            </w:r>
          </w:p>
        </w:tc>
        <w:tc>
          <w:tcPr/>
          <w:p>
            <w:pPr>
              <w:pStyle w:val="Compact"/>
            </w:pPr>
            <w:r>
              <w:rPr>
                <w:sz w:val="19"/>
              </w:rPr>
              <w:t xml:space="preserve">Elements of the original design</w:t>
            </w:r>
          </w:p>
        </w:tc>
        <w:tc>
          <w:tcPr/>
          <w:p>
            <w:pPr>
              <w:pStyle w:val="Compact"/>
            </w:pPr>
            <w:r>
              <w:rPr>
                <w:sz w:val="19"/>
              </w:rPr>
              <w:t xml:space="preserve">S9a: first differences instead of forward orthogonal deviations; S9b: original four controls (LTA, MTB, PROFIT, FCF); S9c: original specification as a whole (CSD and MA at t, first differences, four controls, lags 2–3)</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500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 firms per year; industry list with codes (Persian and English names)</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S1–S10</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r>
        <w:tc>
          <w:tcPr/>
          <w:p>
            <w:pPr>
              <w:pStyle w:val="Compact"/>
            </w:pPr>
            <w:r>
              <w:rPr>
                <w:sz w:val="19"/>
              </w:rPr>
              <w:t xml:space="preserve">OA10</w:t>
            </w:r>
          </w:p>
        </w:tc>
        <w:tc>
          <w:tcPr/>
          <w:p>
            <w:pPr>
              <w:pStyle w:val="Compact"/>
            </w:pPr>
            <w:r>
              <w:rPr>
                <w:sz w:val="19"/>
              </w:rPr>
              <w:t xml:space="preserve">Instrument strength: first-stage F statistics of the GMM instruments and the lag window selected</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1380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 CSD⁺ and CSD⁻ enter Eqs. (6)–(12) at t−1</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 enters Eqs. (9)–(12) at t−1</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TANG</w:t>
            </w:r>
          </w:p>
        </w:tc>
        <w:tc>
          <w:tcPr/>
          <w:p>
            <w:pPr>
              <w:pStyle w:val="Compact"/>
            </w:pPr>
            <w:r>
              <w:rPr>
                <w:sz w:val="19"/>
              </w:rPr>
              <w:t xml:space="preserve">PPE / TA</w:t>
            </w:r>
          </w:p>
        </w:tc>
        <w:tc>
          <w:tcPr/>
          <w:p>
            <w:pPr>
              <w:pStyle w:val="Compact"/>
            </w:pPr>
            <w:r>
              <w:rPr>
                <w:sz w:val="19"/>
              </w:rPr>
              <w:t xml:space="preserve">PPE, TA</w:t>
            </w:r>
          </w:p>
        </w:tc>
      </w:tr>
      <w:tr>
        <w:tc>
          <w:tcPr/>
          <w:p>
            <w:pPr>
              <w:pStyle w:val="Compact"/>
            </w:pPr>
            <w:r>
              <w:rPr>
                <w:sz w:val="19"/>
              </w:rPr>
              <w:t xml:space="preserve">LOSS</w:t>
            </w:r>
          </w:p>
        </w:tc>
        <w:tc>
          <w:tcPr/>
          <w:p>
            <w:pPr>
              <w:pStyle w:val="Compact"/>
            </w:pPr>
            <w:r>
              <w:rPr>
                <w:sz w:val="19"/>
              </w:rPr>
              <w:t xml:space="preserve">1 if OI &lt; 0, else 0</w:t>
            </w:r>
          </w:p>
        </w:tc>
        <w:tc>
          <w:tcPr/>
          <w:p>
            <w:pPr>
              <w:pStyle w:val="Compact"/>
            </w:pPr>
            <w:r>
              <w:rPr>
                <w:sz w:val="19"/>
              </w:rPr>
              <w:t xml:space="preserve">OI</w:t>
            </w:r>
          </w:p>
        </w:tc>
      </w:tr>
      <w:tr>
        <w:tc>
          <w:tcPr/>
          <w:p>
            <w:pPr>
              <w:pStyle w:val="Compact"/>
            </w:pPr>
            <w:r>
              <w:rPr>
                <w:sz w:val="19"/>
              </w:rPr>
              <w:t xml:space="preserve">σ(CFO)</w:t>
            </w:r>
          </w:p>
        </w:tc>
        <w:tc>
          <w:tcPr/>
          <w:p>
            <w:pPr>
              <w:pStyle w:val="Compact"/>
            </w:pPr>
            <w:r>
              <w:rPr>
                <w:sz w:val="19"/>
              </w:rPr>
              <w:t xml:space="preserve">Standard deviation of CFO / TA over t−3 to t−1</w:t>
            </w:r>
          </w:p>
        </w:tc>
        <w:tc>
          <w:tcPr/>
          <w:p>
            <w:pPr>
              <w:pStyle w:val="Compact"/>
            </w:pPr>
            <w:r>
              <w:rPr>
                <w:sz w:val="19"/>
              </w:rPr>
              <w:t xml:space="preserve">CFO, TA</w:t>
            </w:r>
          </w:p>
        </w:tc>
      </w:tr>
      <w:tr>
        <w:tc>
          <w:tcPr/>
          <w:p>
            <w:pPr>
              <w:pStyle w:val="Compact"/>
            </w:pPr>
            <w:r>
              <w:rPr>
                <w:sz w:val="19"/>
              </w:rPr>
              <w:t xml:space="preserve">σ(Sales)</w:t>
            </w:r>
          </w:p>
        </w:tc>
        <w:tc>
          <w:tcPr/>
          <w:p>
            <w:pPr>
              <w:pStyle w:val="Compact"/>
            </w:pPr>
            <w:r>
              <w:rPr>
                <w:sz w:val="19"/>
              </w:rPr>
              <w:t xml:space="preserve">Standard deviation of Sales / TA over t−3 to t−1</w:t>
            </w:r>
          </w:p>
        </w:tc>
        <w:tc>
          <w:tcPr/>
          <w:p>
            <w:pPr>
              <w:pStyle w:val="Compact"/>
            </w:pPr>
            <w:r>
              <w:rPr>
                <w:sz w:val="19"/>
              </w:rPr>
              <w:t xml:space="preserve">Sales,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1380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Bun, M. J. G., &amp; Windmeijer, F. (2010). The weak instrument problem of the system GMM estimator in dynamic panel data models.</w:t>
      </w:r>
      <w:r>
        <w:t xml:space="preserve"> </w:t>
      </w:r>
      <w:r>
        <w:rPr>
          <w:i/>
          <w:iCs/>
        </w:rPr>
        <w:t xml:space="preserve">Econometrics Journal, 13</w:t>
      </w:r>
      <w:r>
        <w:t xml:space="preserve">(1), 95–126.</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Staiger, D., &amp; Stock, J. H. (1997). Instrumental variables regression with weak instruments.</w:t>
      </w:r>
      <w:r>
        <w:t xml:space="preserve"> </w:t>
      </w:r>
      <w:r>
        <w:rPr>
          <w:i/>
          <w:iCs/>
        </w:rPr>
        <w:t xml:space="preserve">Econometrica, 65</w:t>
      </w:r>
      <w:r>
        <w:t xml:space="preserve">(3), 557–586.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Table 1 uses the counts of the Screening sheet of Research_Data_1380_1403.xlsx (final run after the 1403 merge and the market correction).</w:t>
      </w:r>
    </w:p>
    <w:p>
      <w:pPr>
        <w:pStyle w:val="Compact"/>
        <w:numPr>
          <w:ilvl w:val="0"/>
          <w:numId w:val="1008"/>
        </w:numPr>
      </w:pPr>
      <w:r>
        <w:t xml:space="preserve">State the source and type of the inflation series you use (CBI or Statistical Centre; annual average or Esfand-to-Esfand).</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design changes of this version (CSD and MA at t−1, forward orthogonal deviations, extended controls) were fixed before the final estimation; the earlier specification is reported in S9c. State this in the cover letter if a reviewer asks how the specification was chosen.</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2026-10-01T18:02:26Z</dcterms:created>
  <dcterms:modified xsi:type="dcterms:W3CDTF">2026-10-01T18:02:26Z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