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bidi/>
        <w:jc w:val="center"/>
      </w:pPr>
      <w:r>
        <w:rPr>
          <w:rFonts w:ascii="Arial" w:hAnsi="Arial" w:cs="Arial"/>
          <w:b/>
          <w:sz w:val="36"/>
          <w:rtl/>
        </w:rPr>
        <w:t>پرسشنامه دلفی – دور اول</w:t>
      </w:r>
    </w:p>
    <w:p>
      <w:pPr>
        <w:spacing w:after="80"/>
        <w:bidi/>
        <w:jc w:val="center"/>
      </w:pPr>
      <w:r>
        <w:rPr>
          <w:rFonts w:ascii="Arial" w:hAnsi="Arial" w:cs="Arial"/>
          <w:b/>
          <w:sz w:val="24"/>
          <w:rtl/>
        </w:rPr>
        <w:t>شناسایی و اعتبارسنجی مولفه‌های ارزیابی ریسک سایبری در حسابرسی (دیدگاه سازمان مورد رسیدگی و دیدگاه حسابرس)</w:t>
      </w:r>
    </w:p>
    <w:p>
      <w:pPr>
        <w:spacing w:after="80"/>
        <w:bidi/>
        <w:jc w:val="center"/>
      </w:pPr>
      <w:r>
        <w:rPr>
          <w:rFonts w:ascii="Arial" w:hAnsi="Arial" w:cs="Arial"/>
          <w:b w:val="0"/>
          <w:color w:val="C00000"/>
          <w:sz w:val="18"/>
          <w:rtl/>
        </w:rPr>
        <w:t>پیش‌نویس – قابل ویرایش توسط پژوهشگران</w:t>
      </w:r>
    </w:p>
    <w:p>
      <w:pPr>
        <w:spacing w:after="80"/>
        <w:bidi/>
        <w:jc w:val="right"/>
      </w:pPr>
      <w:r>
        <w:rPr>
          <w:rFonts w:ascii="Arial" w:hAnsi="Arial" w:cs="Arial"/>
          <w:b/>
          <w:sz w:val="26"/>
          <w:rtl/>
        </w:rPr>
        <w:t>۱. معرفی و رضایت آگاهانه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از شما به‌عنوان یکی از خبرگان دعوت می‌شود در این پژوهش مشارکت کنید. هدف پژوهش شناسایی و اعتبارسنجی مولفه‌هایی است که در ارزیابی ریسک سایبری در فرایند حسابرسی در ایران اهمیت دارند. این مولفه‌ها از چارچوب‌ها و استانداردهای بین‌المللی (AICPA، NIST، ISO، استانداردهای بین‌المللی حسابرسی) و پیشینه پژوهش استخراج شده‌اند. پژوهش در چند دور انجام می‌شود؛ پاسخ‌ها محرمانه است و فقط به‌صورت تجمیعی گزارش می‌شود. مشارکت داوطلبانه است و هر زمان می‌توانید انصراف دهید. تکمیل دور اول حدود ۲۰ تا ۳۰ دقیقه زمان می‌برد.</w:t>
      </w:r>
    </w:p>
    <w:p>
      <w:pPr>
        <w:spacing w:after="80"/>
        <w:bidi/>
        <w:jc w:val="right"/>
      </w:pPr>
      <w:r>
        <w:rPr>
          <w:rFonts w:ascii="Arial" w:hAnsi="Arial" w:cs="Arial"/>
          <w:b/>
          <w:sz w:val="26"/>
          <w:rtl/>
        </w:rPr>
        <w:t>۲. اطلاعات عمومی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3402"/>
        <w:gridCol w:w="11339"/>
      </w:tblGrid>
      <w:tr>
        <w:tc>
          <w:tcPr>
            <w:tcW w:type="dxa" w:w="3402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مورد</w:t>
            </w:r>
          </w:p>
        </w:tc>
        <w:tc>
          <w:tcPr>
            <w:tcW w:type="dxa" w:w="11339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پاسخ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گروه پاسخ‌دهنده</w:t>
            </w:r>
          </w:p>
        </w:tc>
        <w:tc>
          <w:tcPr>
            <w:tcW w:type="dxa" w:w="11339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☐ سازمان مورد رسیدگی (مدیر امنیت/فناوری اطلاعات، حسابرس داخلی، مدیر ریسک)     ☐ حسابرس مستقل (موسسه حسابرسی/سازمان حسابرسی/حسابرس IT)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سمت یا نقش</w:t>
            </w:r>
          </w:p>
        </w:tc>
        <w:tc>
          <w:tcPr>
            <w:tcW w:type="dxa" w:w="11339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سابقه کار در حوزه مرتبط (سال)</w:t>
            </w:r>
          </w:p>
        </w:tc>
        <w:tc>
          <w:tcPr>
            <w:tcW w:type="dxa" w:w="11339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☐ کمتر از ۵    ☐ ۵ تا ۱۰    ☐ ۱۱ تا ۱۵    ☐ بیش از ۱۵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بالاترین مدرک تحصیلی</w:t>
            </w:r>
          </w:p>
        </w:tc>
        <w:tc>
          <w:tcPr>
            <w:tcW w:type="dxa" w:w="11339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☐ کارشناسی    ☐ کارشناسی ارشد    ☐ دکتری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گواهینامه‌های حرفه‌ای (در صورت وجود)</w:t>
            </w:r>
          </w:p>
        </w:tc>
        <w:tc>
          <w:tcPr>
            <w:tcW w:type="dxa" w:w="11339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☐ CISA   ☐ CISM   ☐ CISSP   ☐ ISO 27001 Lead Auditor/Implementer   ☐ CPA/عضو جامعه حسابداران رسمی   ☐ سایر: ........</w:t>
            </w:r>
          </w:p>
        </w:tc>
      </w:tr>
      <w:tr>
        <w:tc>
          <w:tcPr>
            <w:tcW w:type="dxa" w:w="3402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صنعت یا حوزه فعالیت</w:t>
            </w:r>
          </w:p>
        </w:tc>
        <w:tc>
          <w:tcPr>
            <w:tcW w:type="dxa" w:w="11339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80"/>
        <w:bidi/>
        <w:jc w:val="right"/>
      </w:pPr>
      <w:r>
        <w:rPr>
          <w:rFonts w:ascii="Arial" w:hAnsi="Arial" w:cs="Arial"/>
          <w:b/>
          <w:sz w:val="26"/>
          <w:rtl/>
        </w:rPr>
        <w:t>۳. راهنمای تکمیل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برای هر مولفه، دو سؤال پاسخ دهید و در صورت نیاز توضیح بنویسید: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الف) اهمیت: مولفه تا چه اندازه در ارزیابی ریسک سایبری در حسابرسی اهمیت دارد؟ (۱ = بسیار کم، ۲ = کم، ۳ = متوسط، ۴ = زیاد، ۵ = بسیار زیاد)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ب) قابلیت اجرا در ایران: اجرای این مولفه در محیط سازمانی و مقرراتی ایران تا چه حد عملی است؟ (۱ = بسیار کم تا ۵ = بسیار زیاد)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ستون «پیشنهاد اصلاح/توضیح» برای اصلاح عنوان، تعریف، ادغام یا حذف مولفه است. «دیدگاه» نشان می‌دهد مولفه بیشتر از سمت سازمان، حسابرس یا هر دو بررسی می‌شود.</w:t>
      </w:r>
    </w:p>
    <w:p>
      <w:pPr>
        <w:spacing w:after="80"/>
        <w:bidi/>
        <w:jc w:val="right"/>
      </w:pPr>
      <w:r>
        <w:rPr>
          <w:rFonts w:ascii="Arial" w:hAnsi="Arial" w:cs="Arial"/>
          <w:b/>
          <w:sz w:val="26"/>
          <w:rtl/>
        </w:rPr>
        <w:t>۴. ارزیابی مولفه‌ها</w:t>
      </w:r>
    </w:p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۱. حاکمیت و راهبرد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C01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حاکمیت و نظارت مدیران ارشد بر ریسک سایبری — نقش هیئت‌مدیره و مدیریت ارشد در تعیین ریسک‌پذیری، مسئولیت‌ها و نظارت بر برنامه ریسک سایبری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C02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سیاست‌ها و راهبرد امنیت سایبری — وجود سیاست‌های مصوب، راهبرد و ارتباط آن با اهداف کسب‌وکار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C03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تعیین زمینه، دامنه و اهداف ارزیابی — تعریف سیستم‌ها، فرایندها، داده‌ها و ذینفعان در دامنه ارزیابی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۲. فرایند ارزیابی ریسک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C04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شناسایی و طبقه‌بندی دارایی‌ها — فهرست به‌روز دارایی‌های اطلاعاتی، نرم‌افزار، سخت‌افزار، ابر و داده‌های بحرانی و اولویت‌بندی آن‌ها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C05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شناسایی تهدید و اطلاعات تهدید — شناسایی تهدیدها و عوامل تهدید داخلی و خارجی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C06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مدیریت آسیب‌پذیری و آزمون نفوذ — ارزیابی آسیب‌پذیری، تست نفوذ و تمرین تیم قرمز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C07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تحلیل و ارزیابی ریسک (احتمال، اثر، رتبه‌بندی) — تحلیل احتمال و اثر، رتبه‌بندی و اولویت‌بندی ریسک‌های شناسایی‌شده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C08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ریسک تقلب سایبری و تغییرات محیط — ارزیابی ریسک تقلب و اثر تغییرات سازمانی/فناورانه بر ریسک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۳. کنترل و کاهش ریسک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C09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اجرای کنترل‌ها و برنامه برطرف‌سازی ریسک — انتخاب و اجرای کنترل‌ها، بیانیه کاربست‌پذیری و پذیرش ریسک باقیمانده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C10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کنترل دسترسی و احراز هویت — مدیریت هویت، دسترسی‌ها، امتیازات و احراز هویت چندعاملی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C11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حفاظت از داده و رمزنگاری — طبقه‌بندی، رمزنگاری، پشتیبان‌گیری و کنترل انتقال داده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C12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امنیت شبکه، زیرساخت و محیط فیزیکی — کنترل‌های شبکه، تجهیزات، مراکز داده و امنیت فیزیکی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C13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توسعه امن و مدیریت تغییرات — رویه‌های کنترل تغییر، توسعه امن و آزمون پذیرش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C14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آگاهی و آموزش امنیتی — آموزش کارکنان، کمپین آگاهی و ارزیابی مهندسی اجتماعی/فیشینگ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C15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ریسک شخص ثالث و زنجیره تأمین — ارزیابی ارائه‌دهندگان خدمات، قراردادها و پایش مستمر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۴. پایش و پاسخ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C16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پایش مستمر و ثبت وقایع — ثبت و تحلیل لاگ‌ها، SIEM و کشف ناهنجاری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C17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مدیریت و پاسخ به حوادث — طرح پاسخ، آزمون طرح، مهار، تحلیل و ارتباطات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C18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تداوم کسب‌وکار و بازیابی از بحران — طرح تداوم، آمادگی ICT و آزمون بازیابی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۵. انطباق، بهبود و گزارشگری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C19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انطباق با الزامات قانونی و حریم خصوصی — رعایت قوانین/مقررات ملی و صنعتی؛ ارزیابی اثر حریم خصوصی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C20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بهبود مستمر و ارزیابی اثربخشی — ممیزی داخلی، بازنگری مدیریت و بهبود مستمر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سازمان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C21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مستندسازی و گزارشگری ریسک — ثبت یافته‌ها و گزارش به مدیریت و ذینفعان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مشترک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۶. فرایند حسابرسی ریسک سایبری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A01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درک سازمان، محیط IT و سیستم اطلاعاتی — کسب درک از فناوری، سیستم‌های مالی و وابستگی کسب‌وکار به IT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A02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ارزیابی اثر ریسک سایبری بر ریسک تحریف با اهمیت — اتصال ریسک سایبری به ادعاهای صورت‌های مالی و ریسک‌های ذاتی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A03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ارزیابی طراحی و اثربخشی کنترل‌های عمومی IT — آزمون طراحی/اجرای ITGC و تعیین اتکا به کنترل‌ها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A04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کفایت و قابلیت اتکای شواهد الکترونیکی — ارزیابی کفایت، مربوط‌بودن و یکپارچگی شواهد و داده‌ها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40"/>
        <w:bidi/>
        <w:jc w:val="right"/>
      </w:pPr>
      <w:r>
        <w:rPr>
          <w:rFonts w:ascii="Arial" w:hAnsi="Arial" w:cs="Arial"/>
          <w:b/>
          <w:color w:val="1F3864"/>
          <w:sz w:val="23"/>
          <w:rtl/>
        </w:rPr>
        <w:t>۷. اتکا، صلاحیت و گزارشگری حسابرس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737"/>
        <w:gridCol w:w="4535"/>
        <w:gridCol w:w="1474"/>
        <w:gridCol w:w="2608"/>
        <w:gridCol w:w="2608"/>
        <w:gridCol w:w="2721"/>
      </w:tblGrid>
      <w:tr>
        <w:tc>
          <w:tcPr>
            <w:tcW w:type="dxa" w:w="737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کد</w:t>
            </w:r>
          </w:p>
        </w:tc>
        <w:tc>
          <w:tcPr>
            <w:tcW w:type="dxa" w:w="4535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مولفه و تعریف</w:t>
            </w:r>
          </w:p>
        </w:tc>
        <w:tc>
          <w:tcPr>
            <w:tcW w:type="dxa" w:w="1474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دیدگاه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اهمیت</w:t>
            </w:r>
          </w:p>
        </w:tc>
        <w:tc>
          <w:tcPr>
            <w:tcW w:type="dxa" w:w="2608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قابلیت اجرا در ایران</w:t>
            </w:r>
          </w:p>
        </w:tc>
        <w:tc>
          <w:tcPr>
            <w:tcW w:type="dxa" w:w="2721"/>
            <w:shd w:val="clear" w:color="auto" w:fill="1F386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/>
                <w:color w:val="FFFFFF"/>
                <w:sz w:val="19"/>
                <w:rtl/>
              </w:rPr>
              <w:t>پیشنهاد اصلاح/توضیح</w:t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A05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اتکا به گزارش‌های سازمان خدماتی — ارزیابی گزارش SOC 1 / SOC 2 / SOC for Cybersecurity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A06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شایستگی فنی حسابرس و استفاده از کارشناس — مهارت سایبری حسابرس، به‌کارگیری کارشناس IT و کنترل کیفیت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A07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ارزیابی اثر حوادث سایبری بر صورت‌های مالی و افشا — حادثه سایبری، رویدادهای پس از تاریخ ترازنامه، تداوم فعالیت و افشا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A08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ارتباط با راهبران و گزارش نقاط ضعف کنترلی — اطلاع‌رسانی ضعف‌های کنترلی سایبری به مدیریت و راهبران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  <w:tr>
        <w:tc>
          <w:tcPr>
            <w:tcW w:type="dxa" w:w="737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A09</w:t>
            </w:r>
          </w:p>
        </w:tc>
        <w:tc>
          <w:tcPr>
            <w:tcW w:type="dxa" w:w="4535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قضاوت و تردید حرفه‌ای در ریسک سایبری — اعمال قضاوت حرفه‌ای در ارزیابی ریسک سایبری و تردید حرفه‌ای</w:t>
            </w:r>
          </w:p>
        </w:tc>
        <w:tc>
          <w:tcPr>
            <w:tcW w:type="dxa" w:w="1474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حسابرس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608"/>
          </w:tcPr>
          <w:p>
            <w:pPr>
              <w:bidi/>
              <w:jc w:val="center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  <w:t>۱☐  ۲☐  ۳☐  ۴☐  ۵☐</w:t>
            </w:r>
          </w:p>
        </w:tc>
        <w:tc>
          <w:tcPr>
            <w:tcW w:type="dxa" w:w="2721"/>
          </w:tcPr>
          <w:p>
            <w:pPr>
              <w:bidi/>
              <w:jc w:val="right"/>
            </w:pPr>
            <w:r>
              <w:rPr>
                <w:rFonts w:ascii="Arial" w:hAnsi="Arial" w:cs="Arial"/>
                <w:rtl/>
              </w:rPr>
            </w:r>
            <w:r>
              <w:rPr>
                <w:rFonts w:ascii="Arial" w:hAnsi="Arial" w:cs="Arial"/>
                <w:b w:val="0"/>
                <w:sz w:val="19"/>
                <w:rtl/>
              </w:rPr>
            </w:r>
          </w:p>
        </w:tc>
      </w:tr>
    </w:tbl>
    <w:p/>
    <w:p>
      <w:pPr>
        <w:spacing w:after="80"/>
        <w:bidi/>
        <w:jc w:val="right"/>
      </w:pPr>
      <w:r>
        <w:rPr>
          <w:rFonts w:ascii="Arial" w:hAnsi="Arial" w:cs="Arial"/>
          <w:b/>
          <w:sz w:val="26"/>
          <w:rtl/>
        </w:rPr>
        <w:t>۵. پرسش‌های باز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۱) آیا مولفه مهمی وجود دارد که در فهرست بالا نیامده است؟ لطفاً نام، تعریف و دلیل اهمیت آن را بنویسید.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color w:val="969696"/>
          <w:rtl/>
        </w:rPr>
        <w:t>......................................................................................................................................................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۲) کدام مولفه‌ها را باید با یکدیگر ادغام یا حذف کرد؟ دلیل خود را بنویسید.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color w:val="969696"/>
          <w:rtl/>
        </w:rPr>
        <w:t>......................................................................................................................................................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۳) چه الزامات یا ویژگی‌های بومی (قوانین، مقررات نهادهای ناظر، تحریم، زیرساخت‌های کشور) بر ارزیابی ریسک سایبری در حسابرسی ایران اثر می‌گذارد و در فهرست دیده نشده است؟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color w:val="969696"/>
          <w:rtl/>
        </w:rPr>
        <w:t>......................................................................................................................................................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۴) موانع اصلی اجرای ارزیابی ریسک سایبری توسط حسابرسان در ایران از نظر شما چیست؟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color w:val="969696"/>
          <w:rtl/>
        </w:rPr>
        <w:t>......................................................................................................................................................</w:t>
      </w:r>
    </w:p>
    <w:p>
      <w:pPr>
        <w:spacing w:after="80"/>
        <w:bidi/>
        <w:jc w:val="center"/>
      </w:pPr>
      <w:r>
        <w:rPr>
          <w:rFonts w:ascii="Arial" w:hAnsi="Arial" w:cs="Arial"/>
          <w:b w:val="0"/>
          <w:rtl/>
        </w:rPr>
        <w:t>از وقتی که گذاشتید سپاسگزاریم.</w:t>
      </w:r>
    </w:p>
    <w:p>
      <w:r>
        <w:br w:type="page"/>
      </w:r>
    </w:p>
    <w:p>
      <w:pPr>
        <w:spacing w:after="80"/>
        <w:bidi/>
        <w:jc w:val="right"/>
      </w:pPr>
      <w:r>
        <w:rPr>
          <w:rFonts w:ascii="Arial" w:hAnsi="Arial" w:cs="Arial"/>
          <w:b/>
          <w:color w:val="C00000"/>
          <w:sz w:val="26"/>
          <w:rtl/>
        </w:rPr>
        <w:t>یادداشت پژوهشگر (پیش از ارسال به پاسخ‌دهندگان این صفحه حذف شود)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• انتخاب خبرگان: نمونه هدفمند (قضاوتی)؛ معمولاً ۱۰ تا ۲۰ نفر برای هر گروه کفایت می‌کند. معیارها: حداقل ۵ سال سابقه مرتبط و/یا گواهینامه حرفه‌ای. اندازه نهایی را در روش‌شناسی توجیه کنید.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• معیار اجماع (پیشنهادی، باید با ادبیات روش دلفی توجیه و ارجاع شود): نمونه‌هایی مانند میانگین ≥ ۴ و ضریب تغییرات پایین یا درصد توافق ۷۵٪؛ در فازی‌دلفی آستانه دی‌فازی‌سازی.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• تحلیل دو گروه: میانه/میانگین هر مولفه برای هر گروه جداگانه محاسبه و شکاف در فایل «ماتریس» (شیت مقایسه_دو_گروه) بررسی می‌شود. آزمون پیشنهادی: Mann-Whitney.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• دور دوم: مولفه‌های جدید یا اصلاح‌شده، همراه با آمار گروهی دور اول، دوباره ارسال می‌شوند.</w:t>
      </w:r>
    </w:p>
    <w:p>
      <w:pPr>
        <w:spacing w:after="80"/>
        <w:bidi/>
        <w:jc w:val="right"/>
      </w:pPr>
      <w:r>
        <w:rPr>
          <w:rFonts w:ascii="Arial" w:hAnsi="Arial" w:cs="Arial"/>
          <w:b w:val="0"/>
          <w:rtl/>
        </w:rPr>
        <w:t>• ملاحظات اخلاقی: کسب رضایت، گمنامی، و رعایت ضوابط دانشگاه/نهاد مربوط را نهایی کنید.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