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6"/>
        </w:rPr>
        <w:t>Delphi Questionnaire – Round 1</w:t>
      </w:r>
    </w:p>
    <w:p>
      <w:pPr>
        <w:spacing w:after="80"/>
        <w:jc w:val="center"/>
      </w:pPr>
      <w:r>
        <w:rPr>
          <w:b/>
          <w:sz w:val="24"/>
        </w:rPr>
        <w:t>Identifying and Validating the Components of Cyber Risk Assessment in Auditing (Audited-Entity Perspective and Auditor Perspective)</w:t>
      </w:r>
    </w:p>
    <w:p>
      <w:pPr>
        <w:spacing w:after="80"/>
        <w:jc w:val="center"/>
      </w:pPr>
      <w:r>
        <w:rPr>
          <w:b w:val="0"/>
          <w:color w:val="C00000"/>
          <w:sz w:val="18"/>
        </w:rPr>
        <w:t>Draft – to be edited by the researchers</w:t>
      </w:r>
    </w:p>
    <w:p>
      <w:pPr>
        <w:spacing w:after="80"/>
        <w:jc w:val="left"/>
      </w:pPr>
      <w:r>
        <w:rPr>
          <w:b/>
          <w:sz w:val="26"/>
        </w:rPr>
        <w:t>1. Introduction and Informed Consent</w:t>
      </w:r>
    </w:p>
    <w:p>
      <w:pPr>
        <w:spacing w:after="80"/>
        <w:jc w:val="left"/>
      </w:pPr>
      <w:r>
        <w:rPr>
          <w:b w:val="0"/>
        </w:rPr>
        <w:t>You are invited to participate as an expert in this study. The study aims to identify and validate the components that matter when cyber risk is assessed in the audit process in Iran. The components were derived from international frameworks and standards (AICPA, NIST, ISO, International Standards on Auditing) and from prior research. The study runs over several rounds. Responses are confidential and will be reported only in aggregate. Participation is voluntary and you may withdraw at any time. Round 1 takes about 20–30 minutes.</w:t>
      </w:r>
    </w:p>
    <w:p>
      <w:pPr>
        <w:spacing w:after="80"/>
        <w:jc w:val="left"/>
      </w:pPr>
      <w:r>
        <w:rPr>
          <w:b/>
          <w:sz w:val="26"/>
        </w:rPr>
        <w:t>2. Background Information</w:t>
      </w:r>
    </w:p>
    <w:tbl>
      <w:tblPr>
        <w:tblStyle w:val="TableGrid"/>
        <w:tblW w:type="auto" w:w="0"/>
        <w:tblLayout w:type="fixed"/>
        <w:tblLook w:firstColumn="1" w:firstRow="1" w:lastColumn="0" w:lastRow="0" w:noHBand="0" w:noVBand="1" w:val="04A0"/>
      </w:tblPr>
      <w:tblGrid>
        <w:gridCol w:w="3402"/>
        <w:gridCol w:w="11339"/>
      </w:tblGrid>
      <w:tr>
        <w:tc>
          <w:tcPr>
            <w:tcW w:type="dxa" w:w="3402"/>
            <w:shd w:val="clear" w:color="auto" w:fill="1F3864"/>
          </w:tcPr>
          <w:p>
            <w:pPr>
              <w:jc w:val="center"/>
            </w:pPr>
            <w:r/>
            <w:r>
              <w:rPr>
                <w:b/>
                <w:color w:val="FFFFFF"/>
                <w:sz w:val="19"/>
              </w:rPr>
              <w:t>Item</w:t>
            </w:r>
          </w:p>
        </w:tc>
        <w:tc>
          <w:tcPr>
            <w:tcW w:type="dxa" w:w="11339"/>
            <w:shd w:val="clear" w:color="auto" w:fill="1F3864"/>
          </w:tcPr>
          <w:p>
            <w:pPr>
              <w:jc w:val="center"/>
            </w:pPr>
            <w:r/>
            <w:r>
              <w:rPr>
                <w:b/>
                <w:color w:val="FFFFFF"/>
                <w:sz w:val="19"/>
              </w:rPr>
              <w:t>Response</w:t>
            </w:r>
          </w:p>
        </w:tc>
      </w:tr>
      <w:tr>
        <w:tc>
          <w:tcPr>
            <w:tcW w:type="dxa" w:w="3402"/>
          </w:tcPr>
          <w:p>
            <w:pPr>
              <w:jc w:val="left"/>
            </w:pPr>
            <w:r/>
            <w:r>
              <w:rPr>
                <w:b w:val="0"/>
                <w:sz w:val="19"/>
              </w:rPr>
              <w:t>Respondent group</w:t>
            </w:r>
          </w:p>
        </w:tc>
        <w:tc>
          <w:tcPr>
            <w:tcW w:type="dxa" w:w="11339"/>
          </w:tcPr>
          <w:p>
            <w:pPr>
              <w:jc w:val="left"/>
            </w:pPr>
            <w:r/>
            <w:r>
              <w:rPr>
                <w:b w:val="0"/>
                <w:sz w:val="19"/>
              </w:rPr>
              <w:t>☐ Audited entity (security/IT manager, internal auditor, risk manager)     ☐ Independent auditor (audit firm / Audit Organization / IT auditor)</w:t>
            </w:r>
          </w:p>
        </w:tc>
      </w:tr>
      <w:tr>
        <w:tc>
          <w:tcPr>
            <w:tcW w:type="dxa" w:w="3402"/>
          </w:tcPr>
          <w:p>
            <w:pPr>
              <w:jc w:val="left"/>
            </w:pPr>
            <w:r/>
            <w:r>
              <w:rPr>
                <w:b w:val="0"/>
                <w:sz w:val="19"/>
              </w:rPr>
              <w:t>Position or role</w:t>
            </w:r>
          </w:p>
        </w:tc>
        <w:tc>
          <w:tcPr>
            <w:tcW w:type="dxa" w:w="11339"/>
          </w:tcPr>
          <w:p>
            <w:pPr>
              <w:jc w:val="left"/>
            </w:pPr>
            <w:r/>
            <w:r>
              <w:rPr>
                <w:b w:val="0"/>
                <w:sz w:val="19"/>
              </w:rPr>
            </w:r>
          </w:p>
        </w:tc>
      </w:tr>
      <w:tr>
        <w:tc>
          <w:tcPr>
            <w:tcW w:type="dxa" w:w="3402"/>
          </w:tcPr>
          <w:p>
            <w:pPr>
              <w:jc w:val="left"/>
            </w:pPr>
            <w:r/>
            <w:r>
              <w:rPr>
                <w:b w:val="0"/>
                <w:sz w:val="19"/>
              </w:rPr>
              <w:t>Years of relevant experience</w:t>
            </w:r>
          </w:p>
        </w:tc>
        <w:tc>
          <w:tcPr>
            <w:tcW w:type="dxa" w:w="11339"/>
          </w:tcPr>
          <w:p>
            <w:pPr>
              <w:jc w:val="left"/>
            </w:pPr>
            <w:r/>
            <w:r>
              <w:rPr>
                <w:b w:val="0"/>
                <w:sz w:val="19"/>
              </w:rPr>
              <w:t>☐ Under 5    ☐ 5–10    ☐ 11–15    ☐ Over 15</w:t>
            </w:r>
          </w:p>
        </w:tc>
      </w:tr>
      <w:tr>
        <w:tc>
          <w:tcPr>
            <w:tcW w:type="dxa" w:w="3402"/>
          </w:tcPr>
          <w:p>
            <w:pPr>
              <w:jc w:val="left"/>
            </w:pPr>
            <w:r/>
            <w:r>
              <w:rPr>
                <w:b w:val="0"/>
                <w:sz w:val="19"/>
              </w:rPr>
              <w:t>Highest degree</w:t>
            </w:r>
          </w:p>
        </w:tc>
        <w:tc>
          <w:tcPr>
            <w:tcW w:type="dxa" w:w="11339"/>
          </w:tcPr>
          <w:p>
            <w:pPr>
              <w:jc w:val="left"/>
            </w:pPr>
            <w:r/>
            <w:r>
              <w:rPr>
                <w:b w:val="0"/>
                <w:sz w:val="19"/>
              </w:rPr>
              <w:t>☐ Bachelor's    ☐ Master's    ☐ Doctorate</w:t>
            </w:r>
          </w:p>
        </w:tc>
      </w:tr>
      <w:tr>
        <w:tc>
          <w:tcPr>
            <w:tcW w:type="dxa" w:w="3402"/>
          </w:tcPr>
          <w:p>
            <w:pPr>
              <w:jc w:val="left"/>
            </w:pPr>
            <w:r/>
            <w:r>
              <w:rPr>
                <w:b w:val="0"/>
                <w:sz w:val="19"/>
              </w:rPr>
              <w:t>Professional certifications (if any)</w:t>
            </w:r>
          </w:p>
        </w:tc>
        <w:tc>
          <w:tcPr>
            <w:tcW w:type="dxa" w:w="11339"/>
          </w:tcPr>
          <w:p>
            <w:pPr>
              <w:jc w:val="left"/>
            </w:pPr>
            <w:r/>
            <w:r>
              <w:rPr>
                <w:b w:val="0"/>
                <w:sz w:val="19"/>
              </w:rPr>
              <w:t>☐ CISA   ☐ CISM   ☐ CISSP   ☐ ISO 27001 Lead Auditor/Implementer   ☐ CPA / certified public accountant   ☐ Other: ........</w:t>
            </w:r>
          </w:p>
        </w:tc>
      </w:tr>
      <w:tr>
        <w:tc>
          <w:tcPr>
            <w:tcW w:type="dxa" w:w="3402"/>
          </w:tcPr>
          <w:p>
            <w:pPr>
              <w:jc w:val="left"/>
            </w:pPr>
            <w:r/>
            <w:r>
              <w:rPr>
                <w:b w:val="0"/>
                <w:sz w:val="19"/>
              </w:rPr>
              <w:t>Industry or sector</w:t>
            </w:r>
          </w:p>
        </w:tc>
        <w:tc>
          <w:tcPr>
            <w:tcW w:type="dxa" w:w="11339"/>
          </w:tcPr>
          <w:p>
            <w:pPr>
              <w:jc w:val="left"/>
            </w:pPr>
            <w:r/>
            <w:r>
              <w:rPr>
                <w:b w:val="0"/>
                <w:sz w:val="19"/>
              </w:rPr>
            </w:r>
          </w:p>
        </w:tc>
      </w:tr>
    </w:tbl>
    <w:p/>
    <w:p>
      <w:pPr>
        <w:spacing w:after="80"/>
        <w:jc w:val="left"/>
      </w:pPr>
      <w:r>
        <w:rPr>
          <w:b/>
          <w:sz w:val="26"/>
        </w:rPr>
        <w:t>3. Instructions</w:t>
      </w:r>
    </w:p>
    <w:p>
      <w:pPr>
        <w:spacing w:after="80"/>
        <w:jc w:val="left"/>
      </w:pPr>
      <w:r>
        <w:rPr>
          <w:b w:val="0"/>
        </w:rPr>
        <w:t>For each component, please answer two questions and add comments where needed:</w:t>
      </w:r>
    </w:p>
    <w:p>
      <w:pPr>
        <w:spacing w:after="80"/>
        <w:jc w:val="left"/>
      </w:pPr>
      <w:r>
        <w:rPr>
          <w:b w:val="0"/>
        </w:rPr>
        <w:t>A) Importance: How important is this component when cyber risk is assessed in an audit? (1 = very low, 2 = low, 3 = medium, 4 = high, 5 = very high)</w:t>
      </w:r>
    </w:p>
    <w:p>
      <w:pPr>
        <w:spacing w:after="80"/>
        <w:jc w:val="left"/>
      </w:pPr>
      <w:r>
        <w:rPr>
          <w:b w:val="0"/>
        </w:rPr>
        <w:t>B) Feasibility in Iran: How practical is it to implement this component in Iran's organizational and regulatory environment? (1 = very low to 5 = very high)</w:t>
      </w:r>
    </w:p>
    <w:p>
      <w:pPr>
        <w:spacing w:after="80"/>
        <w:jc w:val="left"/>
      </w:pPr>
      <w:r>
        <w:rPr>
          <w:b w:val="0"/>
        </w:rPr>
        <w:t>Use the 'Suggested revision / comment' column to propose changes to the title or definition, or to merge or remove a component. 'Perspective' shows whether a component is assessed mainly from the audited entity's side, the auditor's side, or both.</w:t>
      </w:r>
    </w:p>
    <w:p>
      <w:pPr>
        <w:spacing w:after="80"/>
        <w:jc w:val="left"/>
      </w:pPr>
      <w:r>
        <w:rPr>
          <w:b/>
          <w:sz w:val="26"/>
        </w:rPr>
        <w:t>4. Component Assessment</w:t>
      </w:r>
    </w:p>
    <w:p>
      <w:pPr>
        <w:spacing w:after="40"/>
        <w:jc w:val="left"/>
      </w:pPr>
      <w:r>
        <w:rPr>
          <w:b/>
          <w:color w:val="1F3864"/>
          <w:sz w:val="23"/>
        </w:rPr>
        <w:t>1. Governance and Strategy</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C01</w:t>
            </w:r>
          </w:p>
        </w:tc>
        <w:tc>
          <w:tcPr>
            <w:tcW w:type="dxa" w:w="4535"/>
          </w:tcPr>
          <w:p>
            <w:pPr>
              <w:jc w:val="left"/>
            </w:pPr>
            <w:r/>
            <w:r>
              <w:rPr>
                <w:b w:val="0"/>
                <w:sz w:val="19"/>
              </w:rPr>
              <w:t>Governance and oversight of cyber risk by senior management — Role of the board and senior management in setting risk appetite, assigning responsibilities and overseeing the cyber risk program</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C02</w:t>
            </w:r>
          </w:p>
        </w:tc>
        <w:tc>
          <w:tcPr>
            <w:tcW w:type="dxa" w:w="4535"/>
          </w:tcPr>
          <w:p>
            <w:pPr>
              <w:jc w:val="left"/>
            </w:pPr>
            <w:r/>
            <w:r>
              <w:rPr>
                <w:b w:val="0"/>
                <w:sz w:val="19"/>
              </w:rPr>
              <w:t>Cybersecurity policies and strategy — Approved policies and a strategy aligned with business objectives</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C03</w:t>
            </w:r>
          </w:p>
        </w:tc>
        <w:tc>
          <w:tcPr>
            <w:tcW w:type="dxa" w:w="4535"/>
          </w:tcPr>
          <w:p>
            <w:pPr>
              <w:jc w:val="left"/>
            </w:pPr>
            <w:r/>
            <w:r>
              <w:rPr>
                <w:b w:val="0"/>
                <w:sz w:val="19"/>
              </w:rPr>
              <w:t>Context, scope and objectives of the assessment — Defining the systems, processes, data and stakeholders within the assessment scope</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2. Risk Assessment Process</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C04</w:t>
            </w:r>
          </w:p>
        </w:tc>
        <w:tc>
          <w:tcPr>
            <w:tcW w:type="dxa" w:w="4535"/>
          </w:tcPr>
          <w:p>
            <w:pPr>
              <w:jc w:val="left"/>
            </w:pPr>
            <w:r/>
            <w:r>
              <w:rPr>
                <w:b w:val="0"/>
                <w:sz w:val="19"/>
              </w:rPr>
              <w:t>Asset identification and classification — Up-to-date inventory of information assets, software, hardware, cloud services and critical data, and their prioritization</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C05</w:t>
            </w:r>
          </w:p>
        </w:tc>
        <w:tc>
          <w:tcPr>
            <w:tcW w:type="dxa" w:w="4535"/>
          </w:tcPr>
          <w:p>
            <w:pPr>
              <w:jc w:val="left"/>
            </w:pPr>
            <w:r/>
            <w:r>
              <w:rPr>
                <w:b w:val="0"/>
                <w:sz w:val="19"/>
              </w:rPr>
              <w:t>Threat identification and threat intelligence — Identifying internal and external threats and threat actors</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C06</w:t>
            </w:r>
          </w:p>
        </w:tc>
        <w:tc>
          <w:tcPr>
            <w:tcW w:type="dxa" w:w="4535"/>
          </w:tcPr>
          <w:p>
            <w:pPr>
              <w:jc w:val="left"/>
            </w:pPr>
            <w:r/>
            <w:r>
              <w:rPr>
                <w:b w:val="0"/>
                <w:sz w:val="19"/>
              </w:rPr>
              <w:t>Vulnerability management and penetration testing — Vulnerability assessment, penetration testing and red-team exercises</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C07</w:t>
            </w:r>
          </w:p>
        </w:tc>
        <w:tc>
          <w:tcPr>
            <w:tcW w:type="dxa" w:w="4535"/>
          </w:tcPr>
          <w:p>
            <w:pPr>
              <w:jc w:val="left"/>
            </w:pPr>
            <w:r/>
            <w:r>
              <w:rPr>
                <w:b w:val="0"/>
                <w:sz w:val="19"/>
              </w:rPr>
              <w:t>Risk analysis and evaluation (likelihood, impact, ranking) — Analyzing likelihood and impact, and ranking and prioritizing identified risks</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C08</w:t>
            </w:r>
          </w:p>
        </w:tc>
        <w:tc>
          <w:tcPr>
            <w:tcW w:type="dxa" w:w="4535"/>
          </w:tcPr>
          <w:p>
            <w:pPr>
              <w:jc w:val="left"/>
            </w:pPr>
            <w:r/>
            <w:r>
              <w:rPr>
                <w:b w:val="0"/>
                <w:sz w:val="19"/>
              </w:rPr>
              <w:t>Cyber fraud risk and environmental change — Assessing fraud risk and the effect of organizational or technological change on risk</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3. Control and Risk Treatment</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C09</w:t>
            </w:r>
          </w:p>
        </w:tc>
        <w:tc>
          <w:tcPr>
            <w:tcW w:type="dxa" w:w="4535"/>
          </w:tcPr>
          <w:p>
            <w:pPr>
              <w:jc w:val="left"/>
            </w:pPr>
            <w:r/>
            <w:r>
              <w:rPr>
                <w:b w:val="0"/>
                <w:sz w:val="19"/>
              </w:rPr>
              <w:t>Control implementation and risk treatment plan — Selecting and implementing controls, statement of applicability and acceptance of residual risk</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C10</w:t>
            </w:r>
          </w:p>
        </w:tc>
        <w:tc>
          <w:tcPr>
            <w:tcW w:type="dxa" w:w="4535"/>
          </w:tcPr>
          <w:p>
            <w:pPr>
              <w:jc w:val="left"/>
            </w:pPr>
            <w:r/>
            <w:r>
              <w:rPr>
                <w:b w:val="0"/>
                <w:sz w:val="19"/>
              </w:rPr>
              <w:t>Access control and authentication — Identity management, access rights, privileges and multi-factor authentication</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C11</w:t>
            </w:r>
          </w:p>
        </w:tc>
        <w:tc>
          <w:tcPr>
            <w:tcW w:type="dxa" w:w="4535"/>
          </w:tcPr>
          <w:p>
            <w:pPr>
              <w:jc w:val="left"/>
            </w:pPr>
            <w:r/>
            <w:r>
              <w:rPr>
                <w:b w:val="0"/>
                <w:sz w:val="19"/>
              </w:rPr>
              <w:t>Data protection and cryptography — Data classification, encryption, backup and control of data transmission</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C12</w:t>
            </w:r>
          </w:p>
        </w:tc>
        <w:tc>
          <w:tcPr>
            <w:tcW w:type="dxa" w:w="4535"/>
          </w:tcPr>
          <w:p>
            <w:pPr>
              <w:jc w:val="left"/>
            </w:pPr>
            <w:r/>
            <w:r>
              <w:rPr>
                <w:b w:val="0"/>
                <w:sz w:val="19"/>
              </w:rPr>
              <w:t>Network, infrastructure and physical security — Network controls, equipment, data centers and physical security</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C13</w:t>
            </w:r>
          </w:p>
        </w:tc>
        <w:tc>
          <w:tcPr>
            <w:tcW w:type="dxa" w:w="4535"/>
          </w:tcPr>
          <w:p>
            <w:pPr>
              <w:jc w:val="left"/>
            </w:pPr>
            <w:r/>
            <w:r>
              <w:rPr>
                <w:b w:val="0"/>
                <w:sz w:val="19"/>
              </w:rPr>
              <w:t>Secure development and change management — Change-control procedures, secure development and acceptance testing</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C14</w:t>
            </w:r>
          </w:p>
        </w:tc>
        <w:tc>
          <w:tcPr>
            <w:tcW w:type="dxa" w:w="4535"/>
          </w:tcPr>
          <w:p>
            <w:pPr>
              <w:jc w:val="left"/>
            </w:pPr>
            <w:r/>
            <w:r>
              <w:rPr>
                <w:b w:val="0"/>
                <w:sz w:val="19"/>
              </w:rPr>
              <w:t>Security awareness and training — Employee training, awareness campaigns and social-engineering/phishing assessments</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C15</w:t>
            </w:r>
          </w:p>
        </w:tc>
        <w:tc>
          <w:tcPr>
            <w:tcW w:type="dxa" w:w="4535"/>
          </w:tcPr>
          <w:p>
            <w:pPr>
              <w:jc w:val="left"/>
            </w:pPr>
            <w:r/>
            <w:r>
              <w:rPr>
                <w:b w:val="0"/>
                <w:sz w:val="19"/>
              </w:rPr>
              <w:t>Third-party and supply chain risk — Assessing service providers, contracts and continuous monitoring</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4. Monitoring and Response</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C16</w:t>
            </w:r>
          </w:p>
        </w:tc>
        <w:tc>
          <w:tcPr>
            <w:tcW w:type="dxa" w:w="4535"/>
          </w:tcPr>
          <w:p>
            <w:pPr>
              <w:jc w:val="left"/>
            </w:pPr>
            <w:r/>
            <w:r>
              <w:rPr>
                <w:b w:val="0"/>
                <w:sz w:val="19"/>
              </w:rPr>
              <w:t>Continuous monitoring and logging — Log collection and analysis, SIEM and anomaly detection</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C17</w:t>
            </w:r>
          </w:p>
        </w:tc>
        <w:tc>
          <w:tcPr>
            <w:tcW w:type="dxa" w:w="4535"/>
          </w:tcPr>
          <w:p>
            <w:pPr>
              <w:jc w:val="left"/>
            </w:pPr>
            <w:r/>
            <w:r>
              <w:rPr>
                <w:b w:val="0"/>
                <w:sz w:val="19"/>
              </w:rPr>
              <w:t>Incident management and response — Response plan, plan testing, containment, analysis and communication</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C18</w:t>
            </w:r>
          </w:p>
        </w:tc>
        <w:tc>
          <w:tcPr>
            <w:tcW w:type="dxa" w:w="4535"/>
          </w:tcPr>
          <w:p>
            <w:pPr>
              <w:jc w:val="left"/>
            </w:pPr>
            <w:r/>
            <w:r>
              <w:rPr>
                <w:b w:val="0"/>
                <w:sz w:val="19"/>
              </w:rPr>
              <w:t>Business continuity and disaster recovery — Continuity plan, ICT readiness and recovery testing</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5. Compliance, Improvement and Reporting</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C19</w:t>
            </w:r>
          </w:p>
        </w:tc>
        <w:tc>
          <w:tcPr>
            <w:tcW w:type="dxa" w:w="4535"/>
          </w:tcPr>
          <w:p>
            <w:pPr>
              <w:jc w:val="left"/>
            </w:pPr>
            <w:r/>
            <w:r>
              <w:rPr>
                <w:b w:val="0"/>
                <w:sz w:val="19"/>
              </w:rPr>
              <w:t>Legal and regulatory compliance and privacy — Compliance with national and industry laws and regulations; privacy impact assessment</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C20</w:t>
            </w:r>
          </w:p>
        </w:tc>
        <w:tc>
          <w:tcPr>
            <w:tcW w:type="dxa" w:w="4535"/>
          </w:tcPr>
          <w:p>
            <w:pPr>
              <w:jc w:val="left"/>
            </w:pPr>
            <w:r/>
            <w:r>
              <w:rPr>
                <w:b w:val="0"/>
                <w:sz w:val="19"/>
              </w:rPr>
              <w:t>Continual improvement and effectiveness evaluation — Internal audit, management review and continual improvement</w:t>
            </w:r>
          </w:p>
        </w:tc>
        <w:tc>
          <w:tcPr>
            <w:tcW w:type="dxa" w:w="1474"/>
          </w:tcPr>
          <w:p>
            <w:pPr>
              <w:jc w:val="center"/>
            </w:pPr>
            <w:r/>
            <w:r>
              <w:rPr>
                <w:b w:val="0"/>
                <w:sz w:val="19"/>
              </w:rPr>
              <w:t>Organization</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C21</w:t>
            </w:r>
          </w:p>
        </w:tc>
        <w:tc>
          <w:tcPr>
            <w:tcW w:type="dxa" w:w="4535"/>
          </w:tcPr>
          <w:p>
            <w:pPr>
              <w:jc w:val="left"/>
            </w:pPr>
            <w:r/>
            <w:r>
              <w:rPr>
                <w:b w:val="0"/>
                <w:sz w:val="19"/>
              </w:rPr>
              <w:t>Documentation and risk reporting — Recording findings and reporting to management and stakeholders</w:t>
            </w:r>
          </w:p>
        </w:tc>
        <w:tc>
          <w:tcPr>
            <w:tcW w:type="dxa" w:w="1474"/>
          </w:tcPr>
          <w:p>
            <w:pPr>
              <w:jc w:val="center"/>
            </w:pPr>
            <w:r/>
            <w:r>
              <w:rPr>
                <w:b w:val="0"/>
                <w:sz w:val="19"/>
              </w:rPr>
              <w:t>Both</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6. Auditor's Cyber Risk Assessment Process</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A01</w:t>
            </w:r>
          </w:p>
        </w:tc>
        <w:tc>
          <w:tcPr>
            <w:tcW w:type="dxa" w:w="4535"/>
          </w:tcPr>
          <w:p>
            <w:pPr>
              <w:jc w:val="left"/>
            </w:pPr>
            <w:r/>
            <w:r>
              <w:rPr>
                <w:b w:val="0"/>
                <w:sz w:val="19"/>
              </w:rPr>
              <w:t>Understanding the entity, its IT environment and information system — Obtaining an understanding of technology, financial systems and the entity's dependence on IT</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A02</w:t>
            </w:r>
          </w:p>
        </w:tc>
        <w:tc>
          <w:tcPr>
            <w:tcW w:type="dxa" w:w="4535"/>
          </w:tcPr>
          <w:p>
            <w:pPr>
              <w:jc w:val="left"/>
            </w:pPr>
            <w:r/>
            <w:r>
              <w:rPr>
                <w:b w:val="0"/>
                <w:sz w:val="19"/>
              </w:rPr>
              <w:t>Assessing the effect of cyber risk on the risks of material misstatement — Linking cyber risk to financial-statement assertions and inherent risks</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A03</w:t>
            </w:r>
          </w:p>
        </w:tc>
        <w:tc>
          <w:tcPr>
            <w:tcW w:type="dxa" w:w="4535"/>
          </w:tcPr>
          <w:p>
            <w:pPr>
              <w:jc w:val="left"/>
            </w:pPr>
            <w:r/>
            <w:r>
              <w:rPr>
                <w:b w:val="0"/>
                <w:sz w:val="19"/>
              </w:rPr>
              <w:t>Evaluating the design and effectiveness of IT general controls — Testing design and implementation of ITGCs and determining reliance on controls</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A04</w:t>
            </w:r>
          </w:p>
        </w:tc>
        <w:tc>
          <w:tcPr>
            <w:tcW w:type="dxa" w:w="4535"/>
          </w:tcPr>
          <w:p>
            <w:pPr>
              <w:jc w:val="left"/>
            </w:pPr>
            <w:r/>
            <w:r>
              <w:rPr>
                <w:b w:val="0"/>
                <w:sz w:val="19"/>
              </w:rPr>
              <w:t>Sufficiency and reliability of electronic audit evidence — Evaluating the sufficiency, relevance and integrity of evidence and data</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40"/>
        <w:jc w:val="left"/>
      </w:pPr>
      <w:r>
        <w:rPr>
          <w:b/>
          <w:color w:val="1F3864"/>
          <w:sz w:val="23"/>
        </w:rPr>
        <w:t>7. Auditor's Reliance, Competence and Reporting</w:t>
      </w:r>
    </w:p>
    <w:tbl>
      <w:tblPr>
        <w:tblStyle w:val="TableGrid"/>
        <w:tblW w:type="auto" w:w="0"/>
        <w:tblLayout w:type="fixed"/>
        <w:tblLook w:firstColumn="1" w:firstRow="1" w:lastColumn="0" w:lastRow="0" w:noHBand="0" w:noVBand="1" w:val="04A0"/>
      </w:tblPr>
      <w:tblGrid>
        <w:gridCol w:w="737"/>
        <w:gridCol w:w="4535"/>
        <w:gridCol w:w="1474"/>
        <w:gridCol w:w="2608"/>
        <w:gridCol w:w="2608"/>
        <w:gridCol w:w="2721"/>
      </w:tblGrid>
      <w:tr>
        <w:tc>
          <w:tcPr>
            <w:tcW w:type="dxa" w:w="737"/>
            <w:shd w:val="clear" w:color="auto" w:fill="1F3864"/>
          </w:tcPr>
          <w:p>
            <w:pPr>
              <w:jc w:val="center"/>
            </w:pPr>
            <w:r/>
            <w:r>
              <w:rPr>
                <w:b/>
                <w:color w:val="FFFFFF"/>
                <w:sz w:val="19"/>
              </w:rPr>
              <w:t>Code</w:t>
            </w:r>
          </w:p>
        </w:tc>
        <w:tc>
          <w:tcPr>
            <w:tcW w:type="dxa" w:w="4535"/>
            <w:shd w:val="clear" w:color="auto" w:fill="1F3864"/>
          </w:tcPr>
          <w:p>
            <w:pPr>
              <w:jc w:val="center"/>
            </w:pPr>
            <w:r/>
            <w:r>
              <w:rPr>
                <w:b/>
                <w:color w:val="FFFFFF"/>
                <w:sz w:val="19"/>
              </w:rPr>
              <w:t>Component and definition</w:t>
            </w:r>
          </w:p>
        </w:tc>
        <w:tc>
          <w:tcPr>
            <w:tcW w:type="dxa" w:w="1474"/>
            <w:shd w:val="clear" w:color="auto" w:fill="1F3864"/>
          </w:tcPr>
          <w:p>
            <w:pPr>
              <w:jc w:val="center"/>
            </w:pPr>
            <w:r/>
            <w:r>
              <w:rPr>
                <w:b/>
                <w:color w:val="FFFFFF"/>
                <w:sz w:val="19"/>
              </w:rPr>
              <w:t>Perspective</w:t>
            </w:r>
          </w:p>
        </w:tc>
        <w:tc>
          <w:tcPr>
            <w:tcW w:type="dxa" w:w="2608"/>
            <w:shd w:val="clear" w:color="auto" w:fill="1F3864"/>
          </w:tcPr>
          <w:p>
            <w:pPr>
              <w:jc w:val="center"/>
            </w:pPr>
            <w:r/>
            <w:r>
              <w:rPr>
                <w:b/>
                <w:color w:val="FFFFFF"/>
                <w:sz w:val="19"/>
              </w:rPr>
              <w:t>Importance</w:t>
            </w:r>
          </w:p>
        </w:tc>
        <w:tc>
          <w:tcPr>
            <w:tcW w:type="dxa" w:w="2608"/>
            <w:shd w:val="clear" w:color="auto" w:fill="1F3864"/>
          </w:tcPr>
          <w:p>
            <w:pPr>
              <w:jc w:val="center"/>
            </w:pPr>
            <w:r/>
            <w:r>
              <w:rPr>
                <w:b/>
                <w:color w:val="FFFFFF"/>
                <w:sz w:val="19"/>
              </w:rPr>
              <w:t>Feasibility in Iran</w:t>
            </w:r>
          </w:p>
        </w:tc>
        <w:tc>
          <w:tcPr>
            <w:tcW w:type="dxa" w:w="2721"/>
            <w:shd w:val="clear" w:color="auto" w:fill="1F3864"/>
          </w:tcPr>
          <w:p>
            <w:pPr>
              <w:jc w:val="center"/>
            </w:pPr>
            <w:r/>
            <w:r>
              <w:rPr>
                <w:b/>
                <w:color w:val="FFFFFF"/>
                <w:sz w:val="19"/>
              </w:rPr>
              <w:t>Suggested revision / comment</w:t>
            </w:r>
          </w:p>
        </w:tc>
      </w:tr>
      <w:tr>
        <w:tc>
          <w:tcPr>
            <w:tcW w:type="dxa" w:w="737"/>
          </w:tcPr>
          <w:p>
            <w:pPr>
              <w:jc w:val="center"/>
            </w:pPr>
            <w:r/>
            <w:r>
              <w:rPr>
                <w:b w:val="0"/>
                <w:sz w:val="19"/>
              </w:rPr>
              <w:t>A05</w:t>
            </w:r>
          </w:p>
        </w:tc>
        <w:tc>
          <w:tcPr>
            <w:tcW w:type="dxa" w:w="4535"/>
          </w:tcPr>
          <w:p>
            <w:pPr>
              <w:jc w:val="left"/>
            </w:pPr>
            <w:r/>
            <w:r>
              <w:rPr>
                <w:b w:val="0"/>
                <w:sz w:val="19"/>
              </w:rPr>
              <w:t>Reliance on service organization reports — Evaluating SOC 1, SOC 2 and SOC for Cybersecurity reports</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A06</w:t>
            </w:r>
          </w:p>
        </w:tc>
        <w:tc>
          <w:tcPr>
            <w:tcW w:type="dxa" w:w="4535"/>
          </w:tcPr>
          <w:p>
            <w:pPr>
              <w:jc w:val="left"/>
            </w:pPr>
            <w:r/>
            <w:r>
              <w:rPr>
                <w:b w:val="0"/>
                <w:sz w:val="19"/>
              </w:rPr>
              <w:t>Auditor's technical competence and use of experts — Auditor's cyber skills, use of IT experts and quality control</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A07</w:t>
            </w:r>
          </w:p>
        </w:tc>
        <w:tc>
          <w:tcPr>
            <w:tcW w:type="dxa" w:w="4535"/>
          </w:tcPr>
          <w:p>
            <w:pPr>
              <w:jc w:val="left"/>
            </w:pPr>
            <w:r/>
            <w:r>
              <w:rPr>
                <w:b w:val="0"/>
                <w:sz w:val="19"/>
              </w:rPr>
              <w:t>Effect of cyber incidents on the financial statements and disclosure — Cyber incidents, subsequent events, going concern and disclosure</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A08</w:t>
            </w:r>
          </w:p>
        </w:tc>
        <w:tc>
          <w:tcPr>
            <w:tcW w:type="dxa" w:w="4535"/>
          </w:tcPr>
          <w:p>
            <w:pPr>
              <w:jc w:val="left"/>
            </w:pPr>
            <w:r/>
            <w:r>
              <w:rPr>
                <w:b w:val="0"/>
                <w:sz w:val="19"/>
              </w:rPr>
              <w:t>Communication with those charged with governance and reporting of control deficiencies — Reporting cyber-related control deficiencies to management and governance bodies</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r>
        <w:tc>
          <w:tcPr>
            <w:tcW w:type="dxa" w:w="737"/>
          </w:tcPr>
          <w:p>
            <w:pPr>
              <w:jc w:val="center"/>
            </w:pPr>
            <w:r/>
            <w:r>
              <w:rPr>
                <w:b w:val="0"/>
                <w:sz w:val="19"/>
              </w:rPr>
              <w:t>A09</w:t>
            </w:r>
          </w:p>
        </w:tc>
        <w:tc>
          <w:tcPr>
            <w:tcW w:type="dxa" w:w="4535"/>
          </w:tcPr>
          <w:p>
            <w:pPr>
              <w:jc w:val="left"/>
            </w:pPr>
            <w:r/>
            <w:r>
              <w:rPr>
                <w:b w:val="0"/>
                <w:sz w:val="19"/>
              </w:rPr>
              <w:t>Professional judgment and skepticism in cyber risk — Exercising professional judgment and skepticism when assessing cyber risk</w:t>
            </w:r>
          </w:p>
        </w:tc>
        <w:tc>
          <w:tcPr>
            <w:tcW w:type="dxa" w:w="1474"/>
          </w:tcPr>
          <w:p>
            <w:pPr>
              <w:jc w:val="center"/>
            </w:pPr>
            <w:r/>
            <w:r>
              <w:rPr>
                <w:b w:val="0"/>
                <w:sz w:val="19"/>
              </w:rPr>
              <w:t>Auditor</w:t>
            </w:r>
          </w:p>
        </w:tc>
        <w:tc>
          <w:tcPr>
            <w:tcW w:type="dxa" w:w="2608"/>
          </w:tcPr>
          <w:p>
            <w:pPr>
              <w:jc w:val="center"/>
            </w:pPr>
            <w:r/>
            <w:r>
              <w:rPr>
                <w:b w:val="0"/>
                <w:sz w:val="19"/>
              </w:rPr>
              <w:t>☐1  ☐2  ☐3  ☐4  ☐5</w:t>
            </w:r>
          </w:p>
        </w:tc>
        <w:tc>
          <w:tcPr>
            <w:tcW w:type="dxa" w:w="2608"/>
          </w:tcPr>
          <w:p>
            <w:pPr>
              <w:jc w:val="center"/>
            </w:pPr>
            <w:r/>
            <w:r>
              <w:rPr>
                <w:b w:val="0"/>
                <w:sz w:val="19"/>
              </w:rPr>
              <w:t>☐1  ☐2  ☐3  ☐4  ☐5</w:t>
            </w:r>
          </w:p>
        </w:tc>
        <w:tc>
          <w:tcPr>
            <w:tcW w:type="dxa" w:w="2721"/>
          </w:tcPr>
          <w:p>
            <w:pPr>
              <w:jc w:val="left"/>
            </w:pPr>
            <w:r/>
            <w:r>
              <w:rPr>
                <w:b w:val="0"/>
                <w:sz w:val="19"/>
              </w:rPr>
            </w:r>
          </w:p>
        </w:tc>
      </w:tr>
    </w:tbl>
    <w:p/>
    <w:p>
      <w:pPr>
        <w:spacing w:after="80"/>
        <w:jc w:val="left"/>
      </w:pPr>
      <w:r>
        <w:rPr>
          <w:b/>
          <w:sz w:val="26"/>
        </w:rPr>
        <w:t>5. Open Questions</w:t>
      </w:r>
    </w:p>
    <w:p>
      <w:pPr>
        <w:spacing w:after="80"/>
        <w:jc w:val="left"/>
      </w:pPr>
      <w:r>
        <w:rPr>
          <w:b w:val="0"/>
        </w:rPr>
        <w:t>1) Is there an important component missing from the list above? Please give its name, definition and why it matters.</w:t>
      </w:r>
    </w:p>
    <w:p>
      <w:pPr>
        <w:spacing w:after="80"/>
        <w:jc w:val="left"/>
      </w:pPr>
      <w:r>
        <w:rPr>
          <w:b w:val="0"/>
          <w:color w:val="969696"/>
        </w:rPr>
        <w:t>......................................................................................................................................................</w:t>
      </w:r>
    </w:p>
    <w:p>
      <w:pPr>
        <w:spacing w:after="80"/>
        <w:jc w:val="left"/>
      </w:pPr>
      <w:r>
        <w:rPr>
          <w:b w:val="0"/>
        </w:rPr>
        <w:t>2) Which components should be merged or removed? Please explain.</w:t>
      </w:r>
    </w:p>
    <w:p>
      <w:pPr>
        <w:spacing w:after="80"/>
        <w:jc w:val="left"/>
      </w:pPr>
      <w:r>
        <w:rPr>
          <w:b w:val="0"/>
          <w:color w:val="969696"/>
        </w:rPr>
        <w:t>......................................................................................................................................................</w:t>
      </w:r>
    </w:p>
    <w:p>
      <w:pPr>
        <w:spacing w:after="80"/>
        <w:jc w:val="left"/>
      </w:pPr>
      <w:r>
        <w:rPr>
          <w:b w:val="0"/>
        </w:rPr>
        <w:t>3) What local requirements or features (laws, regulators' rules, sanctions, national infrastructure) affect cyber risk assessment in Iranian audits and are not reflected in the list?</w:t>
      </w:r>
    </w:p>
    <w:p>
      <w:pPr>
        <w:spacing w:after="80"/>
        <w:jc w:val="left"/>
      </w:pPr>
      <w:r>
        <w:rPr>
          <w:b w:val="0"/>
          <w:color w:val="969696"/>
        </w:rPr>
        <w:t>......................................................................................................................................................</w:t>
      </w:r>
    </w:p>
    <w:p>
      <w:pPr>
        <w:spacing w:after="80"/>
        <w:jc w:val="left"/>
      </w:pPr>
      <w:r>
        <w:rPr>
          <w:b w:val="0"/>
        </w:rPr>
        <w:t>4) What are the main obstacles to auditors performing cyber risk assessment in Iran, in your view?</w:t>
      </w:r>
    </w:p>
    <w:p>
      <w:pPr>
        <w:spacing w:after="80"/>
        <w:jc w:val="left"/>
      </w:pPr>
      <w:r>
        <w:rPr>
          <w:b w:val="0"/>
          <w:color w:val="969696"/>
        </w:rPr>
        <w:t>......................................................................................................................................................</w:t>
      </w:r>
    </w:p>
    <w:p>
      <w:pPr>
        <w:spacing w:after="80"/>
        <w:jc w:val="center"/>
      </w:pPr>
      <w:r>
        <w:rPr>
          <w:b w:val="0"/>
        </w:rPr>
        <w:t>Thank you for your time.</w:t>
      </w:r>
    </w:p>
    <w:p>
      <w:r>
        <w:br w:type="page"/>
      </w:r>
    </w:p>
    <w:p>
      <w:pPr>
        <w:spacing w:after="80"/>
        <w:jc w:val="left"/>
      </w:pPr>
      <w:r>
        <w:rPr>
          <w:b/>
          <w:color w:val="C00000"/>
          <w:sz w:val="26"/>
        </w:rPr>
        <w:t>Researcher's note (delete this page before sending to respondents)</w:t>
      </w:r>
    </w:p>
    <w:p>
      <w:pPr>
        <w:spacing w:after="80"/>
        <w:jc w:val="left"/>
      </w:pPr>
      <w:r>
        <w:rPr>
          <w:b w:val="0"/>
        </w:rPr>
        <w:t>• Expert selection: purposive (judgmental) sampling; typically 10–20 experts per group. Criteria: at least 5 years of relevant experience and/or a professional certification. Justify the final size in the methodology.</w:t>
      </w:r>
    </w:p>
    <w:p>
      <w:pPr>
        <w:spacing w:after="80"/>
        <w:jc w:val="left"/>
      </w:pPr>
      <w:r>
        <w:rPr>
          <w:b w:val="0"/>
        </w:rPr>
        <w:t>• Consensus criterion (a proposal that must be justified and cited from the Delphi literature): for example mean ≥ 4 with a low coefficient of variation, or 75% agreement; in fuzzy Delphi, a defuzzified-value threshold.</w:t>
      </w:r>
    </w:p>
    <w:p>
      <w:pPr>
        <w:spacing w:after="80"/>
        <w:jc w:val="left"/>
      </w:pPr>
      <w:r>
        <w:rPr>
          <w:b w:val="0"/>
        </w:rPr>
        <w:t>• Two-group analysis: compute the median/mean of each component per group and inspect the gap in the workbook (sheet 'مقایسه_دو_گروه'). Suggested test: Mann-Whitney.</w:t>
      </w:r>
    </w:p>
    <w:p>
      <w:pPr>
        <w:spacing w:after="80"/>
        <w:jc w:val="left"/>
      </w:pPr>
      <w:r>
        <w:rPr>
          <w:b w:val="0"/>
        </w:rPr>
        <w:t>• Round 2: new or revised components are re-sent together with the group statistics from Round 1.</w:t>
      </w:r>
    </w:p>
    <w:p>
      <w:pPr>
        <w:spacing w:after="80"/>
        <w:jc w:val="left"/>
      </w:pPr>
      <w:r>
        <w:rPr>
          <w:b w:val="0"/>
        </w:rPr>
        <w:t>• Ethics: finalize consent, anonymity and compliance with your university's or institution's rules.</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