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Fonts w:ascii="Tahoma" w:hAnsi="Tahoma" w:cs="Tahoma"/>
          <w:sz w:val="21"/>
          <w:szCs w:val="21"/>
          <w:rtl/>
        </w:rPr>
        <w:t xml:space="preserve">راهنمای جمع‌آوری داده: سال‌های مالی ۱۳۸۰ تا ۱۴۰۳</w:t>
      </w:r>
    </w:p>
    <w:p>
      <w:pPr>
        <w:pStyle w:val="Subtitle"/>
        <w:bidi/>
      </w:pPr>
      <w:r>
        <w:rPr>
          <w:rFonts w:ascii="Tahoma" w:hAnsi="Tahoma" w:cs="Tahoma"/>
          <w:sz w:val="21"/>
          <w:szCs w:val="21"/>
          <w:rtl/>
        </w:rPr>
        <w:t xml:space="preserve">برای مقاله انحراف ساختار سرمایه، توانایی مدیریت و کارایی سرمایه‌گذاری</w:t>
      </w:r>
    </w:p>
    <w:bookmarkStart w:id="9" w:name="آیا-این-بازه-زمانی-مرسوم-است"/>
    <w:p>
      <w:pPr>
        <w:pStyle w:val="Heading1"/>
        <w:bidi/>
      </w:pPr>
      <w:r>
        <w:rPr>
          <w:rFonts w:ascii="Tahoma" w:hAnsi="Tahoma" w:cs="Tahoma"/>
          <w:sz w:val="21"/>
          <w:szCs w:val="21"/>
          <w:rtl/>
        </w:rPr>
        <w:t xml:space="preserve">۱. آیا این بازه زمانی مرسوم است؟</w:t>
      </w:r>
    </w:p>
    <w:p>
      <w:pPr>
        <w:bidi/>
      </w:pPr>
      <w:r>
        <w:rPr>
          <w:rFonts w:ascii="Tahoma" w:hAnsi="Tahoma" w:cs="Tahoma"/>
          <w:sz w:val="21"/>
          <w:szCs w:val="21"/>
          <w:rtl/>
        </w:rPr>
        <w:t xml:space="preserve">بله. پژوهش‌های بین‌المللی کارایی سرمایه‌گذاری و ساختار سرمایه معمولاً دوره‌های ۱۵ تا ۳۰ ساله دارند. پژوهش‌های ایرانی بیشتر ۵ تا ۱۲ سال را بررسی می‌کنند، و دلیلش فقط دسترسی به داده است. دوره‌ی طولانی‌تر سه مزیت دارد:</w:t>
      </w:r>
    </w:p>
    <w:p>
      <w:pPr>
        <w:pStyle w:val="Compact"/>
        <w:numPr>
          <w:ilvl w:val="0"/>
          <w:numId w:val="1001"/>
        </w:numPr>
        <w:bidi/>
      </w:pPr>
      <w:r>
        <w:rPr>
          <w:rFonts w:ascii="Tahoma" w:hAnsi="Tahoma" w:cs="Tahoma"/>
          <w:b/>
          <w:bCs/>
          <w:sz w:val="21"/>
          <w:szCs w:val="21"/>
          <w:rtl/>
        </w:rPr>
        <w:t xml:space="preserve">توان آماری بیشتر.</w:t>
      </w:r>
      <w:r>
        <w:rPr>
          <w:rFonts w:ascii="Tahoma" w:hAnsi="Tahoma" w:cs="Tahoma"/>
          <w:sz w:val="21"/>
          <w:szCs w:val="21"/>
          <w:rtl/>
        </w:rPr>
        <w:t xml:space="preserve"> </w:t>
      </w:r>
      <w:r>
        <w:rPr>
          <w:rFonts w:ascii="Tahoma" w:hAnsi="Tahoma" w:cs="Tahoma"/>
          <w:sz w:val="21"/>
          <w:szCs w:val="21"/>
          <w:rtl/>
        </w:rPr>
        <w:t xml:space="preserve">این برای اثرهای تعاملی (فرضیه‌های H2 و H3) مهم است.</w:t>
      </w:r>
    </w:p>
    <w:p>
      <w:pPr>
        <w:pStyle w:val="Compact"/>
        <w:numPr>
          <w:ilvl w:val="0"/>
          <w:numId w:val="1001"/>
        </w:numPr>
        <w:bidi/>
      </w:pPr>
      <w:r>
        <w:rPr>
          <w:rFonts w:ascii="Tahoma" w:hAnsi="Tahoma" w:cs="Tahoma"/>
          <w:b/>
          <w:bCs/>
          <w:sz w:val="21"/>
          <w:szCs w:val="21"/>
          <w:rtl/>
        </w:rPr>
        <w:t xml:space="preserve">سوگیری کمتر در برآوردگرهای پویا.</w:t>
      </w:r>
      <w:r>
        <w:rPr>
          <w:rFonts w:ascii="Tahoma" w:hAnsi="Tahoma" w:cs="Tahoma"/>
          <w:sz w:val="21"/>
          <w:szCs w:val="21"/>
          <w:rtl/>
        </w:rPr>
        <w:t xml:space="preserve"> </w:t>
      </w:r>
      <w:r>
        <w:rPr>
          <w:rFonts w:ascii="Tahoma" w:hAnsi="Tahoma" w:cs="Tahoma"/>
          <w:sz w:val="21"/>
          <w:szCs w:val="21"/>
          <w:rtl/>
        </w:rPr>
        <w:t xml:space="preserve">سوگیری اثر ثابت (Nickell) با افزایش تعداد سال‌ها کوچک می‌شود.</w:t>
      </w:r>
    </w:p>
    <w:p>
      <w:pPr>
        <w:pStyle w:val="Compact"/>
        <w:numPr>
          <w:ilvl w:val="0"/>
          <w:numId w:val="1001"/>
        </w:numPr>
        <w:bidi/>
      </w:pPr>
      <w:r>
        <w:rPr>
          <w:rFonts w:ascii="Tahoma" w:hAnsi="Tahoma" w:cs="Tahoma"/>
          <w:b/>
          <w:bCs/>
          <w:sz w:val="21"/>
          <w:szCs w:val="21"/>
          <w:rtl/>
        </w:rPr>
        <w:t xml:space="preserve">پوشش چند دوره‌ی اقتصادی متفاوت.</w:t>
      </w:r>
      <w:r>
        <w:rPr>
          <w:rFonts w:ascii="Tahoma" w:hAnsi="Tahoma" w:cs="Tahoma"/>
          <w:sz w:val="21"/>
          <w:szCs w:val="21"/>
          <w:rtl/>
        </w:rPr>
        <w:t xml:space="preserve"> </w:t>
      </w:r>
      <w:r>
        <w:rPr>
          <w:rFonts w:ascii="Tahoma" w:hAnsi="Tahoma" w:cs="Tahoma"/>
          <w:sz w:val="21"/>
          <w:szCs w:val="21"/>
          <w:rtl/>
        </w:rPr>
        <w:t xml:space="preserve">رونق دهه‌ی ۱۳۸۰، تحریم ۱۳۹۰–۱۳۹۲، برجام و تحریم دوباره از ۱۳۹۷. این تعمیم‌پذیری نتایج را بیشتر می‌کند.</w:t>
      </w:r>
    </w:p>
    <w:p>
      <w:pPr>
        <w:bidi/>
      </w:pPr>
      <w:r>
        <w:rPr>
          <w:rFonts w:ascii="Tahoma" w:hAnsi="Tahoma" w:cs="Tahoma"/>
          <w:sz w:val="21"/>
          <w:szCs w:val="21"/>
          <w:rtl/>
        </w:rPr>
        <w:t xml:space="preserve">داور احتمالاً دو چیز را می‌پرسد. هر دو در طرح پژوهش پیش‌بینی شده‌اند:</w:t>
      </w:r>
    </w:p>
    <w:p>
      <w:pPr>
        <w:pStyle w:val="Compact"/>
        <w:numPr>
          <w:ilvl w:val="0"/>
          <w:numId w:val="1002"/>
        </w:numPr>
        <w:bidi/>
      </w:pPr>
      <w:r>
        <w:rPr>
          <w:rFonts w:ascii="Tahoma" w:hAnsi="Tahoma" w:cs="Tahoma"/>
          <w:b/>
          <w:bCs/>
          <w:sz w:val="21"/>
          <w:szCs w:val="21"/>
          <w:rtl/>
        </w:rPr>
        <w:t xml:space="preserve">تغییرات ساختاری.</w:t>
      </w:r>
      <w:r>
        <w:rPr>
          <w:rFonts w:ascii="Tahoma" w:hAnsi="Tahoma" w:cs="Tahoma"/>
          <w:sz w:val="21"/>
          <w:szCs w:val="21"/>
          <w:rtl/>
        </w:rPr>
        <w:t xml:space="preserve"> </w:t>
      </w:r>
      <w:r>
        <w:rPr>
          <w:rFonts w:ascii="Tahoma" w:hAnsi="Tahoma" w:cs="Tahoma"/>
          <w:sz w:val="21"/>
          <w:szCs w:val="21"/>
          <w:rtl/>
        </w:rPr>
        <w:t xml:space="preserve">آیا رابطه در طول دوره ثابت مانده است؟ اثر ثابت سال در همه‌ی مدل‌ها هست، و آزمون حساسیت S10 دوره‌ی ۱۳۹۵–۱۴۰۳ را جداگانه برآورد می‌کند.</w:t>
      </w:r>
    </w:p>
    <w:p>
      <w:pPr>
        <w:pStyle w:val="Compact"/>
        <w:numPr>
          <w:ilvl w:val="0"/>
          <w:numId w:val="1002"/>
        </w:numPr>
        <w:bidi/>
      </w:pPr>
      <w:r>
        <w:rPr>
          <w:rFonts w:ascii="Tahoma" w:hAnsi="Tahoma" w:cs="Tahoma"/>
          <w:b/>
          <w:bCs/>
          <w:sz w:val="21"/>
          <w:szCs w:val="21"/>
          <w:rtl/>
        </w:rPr>
        <w:t xml:space="preserve">تعداد ابزارهای GMM.</w:t>
      </w:r>
      <w:r>
        <w:rPr>
          <w:rFonts w:ascii="Tahoma" w:hAnsi="Tahoma" w:cs="Tahoma"/>
          <w:sz w:val="21"/>
          <w:szCs w:val="21"/>
          <w:rtl/>
        </w:rPr>
        <w:t xml:space="preserve"> </w:t>
      </w:r>
      <w:r>
        <w:rPr>
          <w:rFonts w:ascii="Tahoma" w:hAnsi="Tahoma" w:cs="Tahoma"/>
          <w:sz w:val="21"/>
          <w:szCs w:val="21"/>
          <w:rtl/>
        </w:rPr>
        <w:t xml:space="preserve">با سال‌های بیشتر، تعداد ابزارها زیاد می‌شود. ابزارها در کد فشرده (collapsed) شده‌اند، پس تعدادشان با طول دوره زیاد نمی‌شود.</w:t>
      </w:r>
    </w:p>
    <w:bookmarkEnd w:id="9"/>
    <w:bookmarkStart w:id="10" w:name="غربالگری-شرکتها"/>
    <w:p>
      <w:pPr>
        <w:pStyle w:val="Heading1"/>
        <w:bidi/>
      </w:pPr>
      <w:r>
        <w:rPr>
          <w:rFonts w:ascii="Tahoma" w:hAnsi="Tahoma" w:cs="Tahoma"/>
          <w:sz w:val="21"/>
          <w:szCs w:val="21"/>
          <w:rtl/>
        </w:rPr>
        <w:t xml:space="preserve">۲. غربالگری شرکت‌ها</w:t>
      </w:r>
    </w:p>
    <w:p>
      <w:pPr>
        <w:bidi/>
      </w:pPr>
      <w:r>
        <w:rPr>
          <w:rFonts w:ascii="Tahoma" w:hAnsi="Tahoma" w:cs="Tahoma"/>
          <w:sz w:val="21"/>
          <w:szCs w:val="21"/>
          <w:rtl/>
        </w:rPr>
        <w:t xml:space="preserve">مراحل زیر را به همین ترتیب اجرا کنید و</w:t>
      </w:r>
      <w:r>
        <w:rPr>
          <w:rFonts w:ascii="Tahoma" w:hAnsi="Tahoma" w:cs="Tahoma"/>
          <w:sz w:val="21"/>
          <w:szCs w:val="21"/>
          <w:rtl/>
        </w:rPr>
        <w:t xml:space="preserve"> </w:t>
      </w:r>
      <w:r>
        <w:rPr>
          <w:rFonts w:ascii="Tahoma" w:hAnsi="Tahoma" w:cs="Tahoma"/>
          <w:b/>
          <w:bCs/>
          <w:sz w:val="21"/>
          <w:szCs w:val="21"/>
          <w:rtl/>
        </w:rPr>
        <w:t xml:space="preserve">تعداد شرکت‌ها و سال-شرکت‌های حذف‌شده در هر مرحله را یادداشت کنید</w:t>
      </w:r>
      <w:r>
        <w:rPr>
          <w:rFonts w:ascii="Tahoma" w:hAnsi="Tahoma" w:cs="Tahoma"/>
          <w:sz w:val="21"/>
          <w:szCs w:val="21"/>
          <w:rtl/>
        </w:rPr>
        <w:t xml:space="preserve">. این اعداد مستقیماً در جدول نمونه‌ی مقاله (بخش 3.1) می‌آیند.</w:t>
      </w:r>
    </w:p>
    <w:tbl>
      <w:tblPr>
        <w:tblStyle w:val="Table"/>
        <w:bidiVisu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640"/>
        <w:gridCol w:w="2640"/>
        <w:gridCol w:w="2640"/>
      </w:tblGrid>
      <w:tr>
        <w:trPr>
          <w:tblHeader w:val="on"/>
        </w:trPr>
        <w:tc>
          <w:tcPr>
            <w:shd w:val="clear" w:color="auto" w:fill="E8ECF3"/>
          </w:tcPr>
          <w:p>
            <w:pPr>
              <w:pStyle w:val="Compact"/>
              <w:bidi/>
            </w:pPr>
            <w:r>
              <w:rPr>
                <w:rFonts w:ascii="Tahoma" w:hAnsi="Tahoma" w:cs="Tahoma"/>
                <w:b/>
                <w:sz w:val="21"/>
                <w:szCs w:val="21"/>
                <w:rtl/>
              </w:rPr>
              <w:t xml:space="preserve">مرحله</w:t>
            </w:r>
          </w:p>
        </w:tc>
        <w:tc>
          <w:tcPr>
            <w:shd w:val="clear" w:color="auto" w:fill="E8ECF3"/>
          </w:tcPr>
          <w:p>
            <w:pPr>
              <w:pStyle w:val="Compact"/>
              <w:bidi/>
            </w:pPr>
            <w:r>
              <w:rPr>
                <w:rFonts w:ascii="Tahoma" w:hAnsi="Tahoma" w:cs="Tahoma"/>
                <w:b/>
                <w:sz w:val="21"/>
                <w:szCs w:val="21"/>
                <w:rtl/>
              </w:rPr>
              <w:t xml:space="preserve">معیار</w:t>
            </w:r>
          </w:p>
        </w:tc>
        <w:tc>
          <w:tcPr>
            <w:shd w:val="clear" w:color="auto" w:fill="E8ECF3"/>
          </w:tcPr>
          <w:p>
            <w:pPr>
              <w:pStyle w:val="Compact"/>
              <w:bidi/>
            </w:pPr>
            <w:r>
              <w:rPr>
                <w:rFonts w:ascii="Tahoma" w:hAnsi="Tahoma" w:cs="Tahoma"/>
                <w:b/>
                <w:sz w:val="21"/>
                <w:szCs w:val="21"/>
                <w:rtl/>
              </w:rPr>
              <w:t xml:space="preserve">دلیل</w:t>
            </w:r>
          </w:p>
        </w:tc>
      </w:tr>
      <w:tr>
        <w:tc>
          <w:tcPr/>
          <w:p>
            <w:pPr>
              <w:pStyle w:val="Compact"/>
              <w:bidi/>
            </w:pPr>
            <w:r>
              <w:rPr>
                <w:rFonts w:ascii="Tahoma" w:hAnsi="Tahoma" w:cs="Tahoma"/>
                <w:sz w:val="21"/>
                <w:szCs w:val="21"/>
                <w:rtl/>
              </w:rPr>
              <w:t xml:space="preserve">۱</w:t>
            </w:r>
          </w:p>
        </w:tc>
        <w:tc>
          <w:tcPr/>
          <w:p>
            <w:pPr>
              <w:pStyle w:val="Compact"/>
              <w:bidi/>
            </w:pPr>
            <w:r>
              <w:rPr>
                <w:rFonts w:ascii="Tahoma" w:hAnsi="Tahoma" w:cs="Tahoma"/>
                <w:sz w:val="21"/>
                <w:szCs w:val="21"/>
                <w:rtl/>
              </w:rPr>
              <w:t xml:space="preserve">همه‌ی شرکت‌هایی که در هر یک از سال‌های ۱۳۸۰ تا ۱۴۰۳ در</w:t>
            </w:r>
            <w:r>
              <w:rPr>
                <w:rFonts w:ascii="Tahoma" w:hAnsi="Tahoma" w:cs="Tahoma"/>
                <w:sz w:val="21"/>
                <w:szCs w:val="21"/>
                <w:rtl/>
              </w:rPr>
              <w:t xml:space="preserve"> </w:t>
            </w:r>
            <w:r>
              <w:rPr>
                <w:rFonts w:ascii="Tahoma" w:hAnsi="Tahoma" w:cs="Tahoma"/>
                <w:b/>
                <w:bCs/>
                <w:sz w:val="21"/>
                <w:szCs w:val="21"/>
                <w:rtl/>
              </w:rPr>
              <w:t xml:space="preserve">بورس اوراق بهادار تهران</w:t>
            </w:r>
            <w:r>
              <w:rPr>
                <w:rFonts w:ascii="Tahoma" w:hAnsi="Tahoma" w:cs="Tahoma"/>
                <w:sz w:val="21"/>
                <w:szCs w:val="21"/>
                <w:rtl/>
              </w:rPr>
              <w:t xml:space="preserve"> </w:t>
            </w:r>
            <w:r>
              <w:rPr>
                <w:rFonts w:ascii="Tahoma" w:hAnsi="Tahoma" w:cs="Tahoma"/>
                <w:sz w:val="21"/>
                <w:szCs w:val="21"/>
                <w:rtl/>
              </w:rPr>
              <w:t xml:space="preserve">بوده‌اند. شرکت‌هایی که</w:t>
            </w:r>
            <w:r>
              <w:rPr>
                <w:rFonts w:ascii="Tahoma" w:hAnsi="Tahoma" w:cs="Tahoma"/>
                <w:sz w:val="21"/>
                <w:szCs w:val="21"/>
                <w:rtl/>
              </w:rPr>
              <w:t xml:space="preserve"> </w:t>
            </w:r>
            <w:r>
              <w:rPr>
                <w:rFonts w:ascii="Tahoma" w:hAnsi="Tahoma" w:cs="Tahoma"/>
                <w:b/>
                <w:bCs/>
                <w:sz w:val="21"/>
                <w:szCs w:val="21"/>
                <w:rtl/>
              </w:rPr>
              <w:t xml:space="preserve">بعد از ۱۳۸۰ پذیرفته شده‌اند هم بیایند</w:t>
            </w:r>
            <w:r>
              <w:rPr>
                <w:rFonts w:ascii="Tahoma" w:hAnsi="Tahoma" w:cs="Tahoma"/>
                <w:sz w:val="21"/>
                <w:szCs w:val="21"/>
                <w:rtl/>
              </w:rPr>
              <w:t xml:space="preserve">، از اولین سالی که داده دارند. شرکت‌هایی که بعداً از بورس خارج شده‌اند هم</w:t>
            </w:r>
            <w:r>
              <w:rPr>
                <w:rFonts w:ascii="Tahoma" w:hAnsi="Tahoma" w:cs="Tahoma"/>
                <w:sz w:val="21"/>
                <w:szCs w:val="21"/>
                <w:rtl/>
              </w:rPr>
              <w:t xml:space="preserve"> </w:t>
            </w:r>
            <w:r>
              <w:rPr>
                <w:rFonts w:ascii="Tahoma" w:hAnsi="Tahoma" w:cs="Tahoma"/>
                <w:b/>
                <w:bCs/>
                <w:sz w:val="21"/>
                <w:szCs w:val="21"/>
                <w:rtl/>
              </w:rPr>
              <w:t xml:space="preserve">حذف نشوند</w:t>
            </w:r>
            <w:r>
              <w:rPr>
                <w:rFonts w:ascii="Tahoma" w:hAnsi="Tahoma" w:cs="Tahoma"/>
                <w:sz w:val="21"/>
                <w:szCs w:val="21"/>
                <w:rtl/>
              </w:rPr>
              <w:t xml:space="preserve">.</w:t>
            </w:r>
          </w:p>
        </w:tc>
        <w:tc>
          <w:tcPr/>
          <w:p>
            <w:pPr>
              <w:pStyle w:val="Compact"/>
              <w:bidi/>
            </w:pPr>
            <w:r>
              <w:rPr>
                <w:rFonts w:ascii="Tahoma" w:hAnsi="Tahoma" w:cs="Tahoma"/>
                <w:sz w:val="21"/>
                <w:szCs w:val="21"/>
                <w:rtl/>
              </w:rPr>
              <w:t xml:space="preserve">پنل نامتوازن؛ جلوگیری از سوگیری بقا</w:t>
            </w:r>
          </w:p>
        </w:tc>
      </w:tr>
      <w:tr>
        <w:tc>
          <w:tcPr/>
          <w:p>
            <w:pPr>
              <w:pStyle w:val="Compact"/>
              <w:bidi/>
            </w:pPr>
            <w:r>
              <w:rPr>
                <w:rFonts w:ascii="Tahoma" w:hAnsi="Tahoma" w:cs="Tahoma"/>
                <w:sz w:val="21"/>
                <w:szCs w:val="21"/>
                <w:rtl/>
              </w:rPr>
              <w:t xml:space="preserve">۱ب</w:t>
            </w:r>
          </w:p>
        </w:tc>
        <w:tc>
          <w:tcPr/>
          <w:p>
            <w:pPr>
              <w:pStyle w:val="Compact"/>
              <w:bidi/>
            </w:pPr>
            <w:r>
              <w:rPr>
                <w:rFonts w:ascii="Tahoma" w:hAnsi="Tahoma" w:cs="Tahoma"/>
                <w:sz w:val="21"/>
                <w:szCs w:val="21"/>
                <w:rtl/>
              </w:rPr>
              <w:t xml:space="preserve">سال-شرکت‌های</w:t>
            </w:r>
            <w:r>
              <w:rPr>
                <w:rFonts w:ascii="Tahoma" w:hAnsi="Tahoma" w:cs="Tahoma"/>
                <w:sz w:val="21"/>
                <w:szCs w:val="21"/>
                <w:rtl/>
              </w:rPr>
              <w:t xml:space="preserve"> </w:t>
            </w:r>
            <w:r>
              <w:rPr>
                <w:rFonts w:ascii="Tahoma" w:hAnsi="Tahoma" w:cs="Tahoma"/>
                <w:b/>
                <w:bCs/>
                <w:sz w:val="21"/>
                <w:szCs w:val="21"/>
                <w:rtl/>
              </w:rPr>
              <w:t xml:space="preserve">فرابورس حذف شوند</w:t>
            </w:r>
            <w:r>
              <w:rPr>
                <w:rFonts w:ascii="Tahoma" w:hAnsi="Tahoma" w:cs="Tahoma"/>
                <w:sz w:val="21"/>
                <w:szCs w:val="21"/>
                <w:rtl/>
              </w:rPr>
              <w:t xml:space="preserve"> </w:t>
            </w:r>
            <w:r>
              <w:rPr>
                <w:rFonts w:ascii="Tahoma" w:hAnsi="Tahoma" w:cs="Tahoma"/>
                <w:sz w:val="21"/>
                <w:szCs w:val="21"/>
                <w:rtl/>
              </w:rPr>
              <w:t xml:space="preserve">(ستون «بازار»). اگر شرکتی از فرابورس به بورس منتقل شده، فقط سال‌های حضورش در بورس بماند.</w:t>
            </w:r>
          </w:p>
        </w:tc>
        <w:tc>
          <w:tcPr/>
          <w:p>
            <w:pPr>
              <w:pStyle w:val="Compact"/>
              <w:bidi/>
            </w:pPr>
            <w:r>
              <w:rPr>
                <w:rFonts w:ascii="Tahoma" w:hAnsi="Tahoma" w:cs="Tahoma"/>
                <w:sz w:val="21"/>
                <w:szCs w:val="21"/>
                <w:rtl/>
              </w:rPr>
              <w:t xml:space="preserve">روش‌شناسی نمونه را «شرکت‌های بورس تهران» تعریف کرده است. شرایط پذیرش و اندازه‌ی شرکت‌های فرابورس متفاوت است.</w:t>
            </w:r>
          </w:p>
        </w:tc>
      </w:tr>
      <w:tr>
        <w:tc>
          <w:tcPr/>
          <w:p>
            <w:pPr>
              <w:pStyle w:val="Compact"/>
              <w:bidi/>
            </w:pPr>
            <w:r>
              <w:rPr>
                <w:rFonts w:ascii="Tahoma" w:hAnsi="Tahoma" w:cs="Tahoma"/>
                <w:sz w:val="21"/>
                <w:szCs w:val="21"/>
                <w:rtl/>
              </w:rPr>
              <w:t xml:space="preserve">۲</w:t>
            </w:r>
          </w:p>
        </w:tc>
        <w:tc>
          <w:tcPr/>
          <w:p>
            <w:pPr>
              <w:pStyle w:val="Compact"/>
              <w:bidi/>
            </w:pPr>
            <w:r>
              <w:rPr>
                <w:rFonts w:ascii="Tahoma" w:hAnsi="Tahoma" w:cs="Tahoma"/>
                <w:sz w:val="21"/>
                <w:szCs w:val="21"/>
                <w:rtl/>
              </w:rPr>
              <w:t xml:space="preserve">حذف بانک‌ها، مؤسسات اعتباری، بیمه‌ها، لیزینگ‌ها، شرکت‌های سرمایه‌گذاری، هلدینگ‌ها، کارگزاری‌ها و صندوق‌ها</w:t>
            </w:r>
          </w:p>
        </w:tc>
        <w:tc>
          <w:tcPr/>
          <w:p>
            <w:pPr>
              <w:pStyle w:val="Compact"/>
              <w:bidi/>
            </w:pPr>
            <w:r>
              <w:rPr>
                <w:rFonts w:ascii="Tahoma" w:hAnsi="Tahoma" w:cs="Tahoma"/>
                <w:sz w:val="21"/>
                <w:szCs w:val="21"/>
                <w:rtl/>
              </w:rPr>
              <w:t xml:space="preserve">ساختار سرمایه و دارایی‌های آن‌ها قابل مقایسه نیست</w:t>
            </w:r>
          </w:p>
        </w:tc>
      </w:tr>
      <w:tr>
        <w:tc>
          <w:tcPr/>
          <w:p>
            <w:pPr>
              <w:pStyle w:val="Compact"/>
              <w:bidi/>
            </w:pPr>
            <w:r>
              <w:rPr>
                <w:rFonts w:ascii="Tahoma" w:hAnsi="Tahoma" w:cs="Tahoma"/>
                <w:sz w:val="21"/>
                <w:szCs w:val="21"/>
                <w:rtl/>
              </w:rPr>
              <w:t xml:space="preserve">۳</w:t>
            </w:r>
          </w:p>
        </w:tc>
        <w:tc>
          <w:tcPr/>
          <w:p>
            <w:pPr>
              <w:pStyle w:val="Compact"/>
              <w:bidi/>
            </w:pPr>
            <w:r>
              <w:rPr>
                <w:rFonts w:ascii="Tahoma" w:hAnsi="Tahoma" w:cs="Tahoma"/>
                <w:sz w:val="21"/>
                <w:szCs w:val="21"/>
                <w:rtl/>
              </w:rPr>
              <w:t xml:space="preserve">فقط شرکت‌هایی که سال مالی‌شان</w:t>
            </w:r>
            <w:r>
              <w:rPr>
                <w:rFonts w:ascii="Tahoma" w:hAnsi="Tahoma" w:cs="Tahoma"/>
                <w:sz w:val="21"/>
                <w:szCs w:val="21"/>
                <w:rtl/>
              </w:rPr>
              <w:t xml:space="preserve"> </w:t>
            </w:r>
            <w:r>
              <w:rPr>
                <w:rFonts w:ascii="Tahoma" w:hAnsi="Tahoma" w:cs="Tahoma"/>
                <w:b/>
                <w:bCs/>
                <w:sz w:val="21"/>
                <w:szCs w:val="21"/>
                <w:rtl/>
              </w:rPr>
              <w:t xml:space="preserve">پایان اسفند</w:t>
            </w:r>
            <w:r>
              <w:rPr>
                <w:rFonts w:ascii="Tahoma" w:hAnsi="Tahoma" w:cs="Tahoma"/>
                <w:sz w:val="21"/>
                <w:szCs w:val="21"/>
                <w:rtl/>
              </w:rPr>
              <w:t xml:space="preserve"> </w:t>
            </w:r>
            <w:r>
              <w:rPr>
                <w:rFonts w:ascii="Tahoma" w:hAnsi="Tahoma" w:cs="Tahoma"/>
                <w:sz w:val="21"/>
                <w:szCs w:val="21"/>
                <w:rtl/>
              </w:rPr>
              <w:t xml:space="preserve">است. سال‌هایی که شرکت سال مالی خود را تغییر داده (سال مالی کوتاه‌تر یا بلندتر از ۱۲ ماه) حذف شوند.</w:t>
            </w:r>
          </w:p>
        </w:tc>
        <w:tc>
          <w:tcPr/>
          <w:p>
            <w:pPr>
              <w:pStyle w:val="Compact"/>
              <w:bidi/>
            </w:pPr>
            <w:r>
              <w:rPr>
                <w:rFonts w:ascii="Tahoma" w:hAnsi="Tahoma" w:cs="Tahoma"/>
                <w:sz w:val="21"/>
                <w:szCs w:val="21"/>
                <w:rtl/>
              </w:rPr>
              <w:t xml:space="preserve">هم‌زمانی با تورم و اثر سال</w:t>
            </w:r>
          </w:p>
        </w:tc>
      </w:tr>
      <w:tr>
        <w:tc>
          <w:tcPr/>
          <w:p>
            <w:pPr>
              <w:pStyle w:val="Compact"/>
              <w:bidi/>
            </w:pPr>
            <w:r>
              <w:rPr>
                <w:rFonts w:ascii="Tahoma" w:hAnsi="Tahoma" w:cs="Tahoma"/>
                <w:sz w:val="21"/>
                <w:szCs w:val="21"/>
                <w:rtl/>
              </w:rPr>
              <w:t xml:space="preserve">۴</w:t>
            </w:r>
          </w:p>
        </w:tc>
        <w:tc>
          <w:tcPr/>
          <w:p>
            <w:pPr>
              <w:pStyle w:val="Compact"/>
              <w:bidi/>
            </w:pPr>
            <w:r>
              <w:rPr>
                <w:rFonts w:ascii="Tahoma" w:hAnsi="Tahoma" w:cs="Tahoma"/>
                <w:sz w:val="21"/>
                <w:szCs w:val="21"/>
                <w:rtl/>
              </w:rPr>
              <w:t xml:space="preserve">هر شرکت دست‌کم</w:t>
            </w:r>
            <w:r>
              <w:rPr>
                <w:rFonts w:ascii="Tahoma" w:hAnsi="Tahoma" w:cs="Tahoma"/>
                <w:sz w:val="21"/>
                <w:szCs w:val="21"/>
                <w:rtl/>
              </w:rPr>
              <w:t xml:space="preserve"> </w:t>
            </w:r>
            <w:r>
              <w:rPr>
                <w:rFonts w:ascii="Tahoma" w:hAnsi="Tahoma" w:cs="Tahoma"/>
                <w:b/>
                <w:bCs/>
                <w:sz w:val="21"/>
                <w:szCs w:val="21"/>
                <w:rtl/>
              </w:rPr>
              <w:t xml:space="preserve">۶ سال پیاپی</w:t>
            </w:r>
            <w:r>
              <w:rPr>
                <w:rFonts w:ascii="Tahoma" w:hAnsi="Tahoma" w:cs="Tahoma"/>
                <w:sz w:val="21"/>
                <w:szCs w:val="21"/>
                <w:rtl/>
              </w:rPr>
              <w:t xml:space="preserve"> </w:t>
            </w:r>
            <w:r>
              <w:rPr>
                <w:rFonts w:ascii="Tahoma" w:hAnsi="Tahoma" w:cs="Tahoma"/>
                <w:sz w:val="21"/>
                <w:szCs w:val="21"/>
                <w:rtl/>
              </w:rPr>
              <w:t xml:space="preserve">داده‌ی کامل داشته باشد. لازم نیست شرکت در کل دوره حضور داشته باشد (پنل نامتوازن).</w:t>
            </w:r>
          </w:p>
        </w:tc>
        <w:tc>
          <w:tcPr/>
          <w:p>
            <w:pPr>
              <w:pStyle w:val="Compact"/>
              <w:bidi/>
            </w:pPr>
            <w:r>
              <w:rPr>
                <w:rFonts w:ascii="Tahoma" w:hAnsi="Tahoma" w:cs="Tahoma"/>
                <w:sz w:val="21"/>
                <w:szCs w:val="21"/>
                <w:rtl/>
              </w:rPr>
              <w:t xml:space="preserve">مدل به وقفه‌های تا t−3 نیاز دارد، پس شرکت با کمتر از ۶ سال پیاپی هیچ مشاهده‌ای به برآورد اضافه نمی‌کند</w:t>
            </w:r>
          </w:p>
        </w:tc>
      </w:tr>
      <w:tr>
        <w:tc>
          <w:tcPr/>
          <w:p>
            <w:pPr>
              <w:pStyle w:val="Compact"/>
              <w:bidi/>
            </w:pPr>
            <w:r>
              <w:rPr>
                <w:rFonts w:ascii="Tahoma" w:hAnsi="Tahoma" w:cs="Tahoma"/>
                <w:sz w:val="21"/>
                <w:szCs w:val="21"/>
                <w:rtl/>
              </w:rPr>
              <w:t xml:space="preserve">۵</w:t>
            </w:r>
          </w:p>
        </w:tc>
        <w:tc>
          <w:tcPr/>
          <w:p>
            <w:pPr>
              <w:pStyle w:val="Compact"/>
              <w:bidi/>
            </w:pPr>
            <w:r>
              <w:rPr>
                <w:rFonts w:ascii="Tahoma" w:hAnsi="Tahoma" w:cs="Tahoma"/>
                <w:sz w:val="21"/>
                <w:szCs w:val="21"/>
                <w:rtl/>
              </w:rPr>
              <w:t xml:space="preserve">سال-شرکت‌هایی را که حقوق صاحبان سهام صفر یا منفی دارند</w:t>
            </w:r>
            <w:r>
              <w:rPr>
                <w:rFonts w:ascii="Tahoma" w:hAnsi="Tahoma" w:cs="Tahoma"/>
                <w:sz w:val="21"/>
                <w:szCs w:val="21"/>
                <w:rtl/>
              </w:rPr>
              <w:t xml:space="preserve"> </w:t>
            </w:r>
            <w:r>
              <w:rPr>
                <w:rFonts w:ascii="Tahoma" w:hAnsi="Tahoma" w:cs="Tahoma"/>
                <w:b/>
                <w:bCs/>
                <w:sz w:val="21"/>
                <w:szCs w:val="21"/>
                <w:rtl/>
              </w:rPr>
              <w:t xml:space="preserve">خودتان حذف نکنید</w:t>
            </w:r>
            <w:r>
              <w:rPr>
                <w:rFonts w:ascii="Tahoma" w:hAnsi="Tahoma" w:cs="Tahoma"/>
                <w:sz w:val="21"/>
                <w:szCs w:val="21"/>
                <w:rtl/>
              </w:rPr>
              <w:t xml:space="preserve">.</w:t>
            </w:r>
          </w:p>
        </w:tc>
        <w:tc>
          <w:tcPr/>
          <w:p>
            <w:pPr>
              <w:pStyle w:val="Compact"/>
              <w:bidi/>
            </w:pPr>
            <w:r>
              <w:rPr>
                <w:rFonts w:ascii="Tahoma" w:hAnsi="Tahoma" w:cs="Tahoma"/>
                <w:sz w:val="21"/>
                <w:szCs w:val="21"/>
                <w:rtl/>
              </w:rPr>
              <w:t xml:space="preserve">کد آن‌ها را حذف می‌کند و تعدادشان را در لاگ گزارش می‌دهد</w:t>
            </w:r>
          </w:p>
        </w:tc>
      </w:tr>
    </w:tbl>
    <w:p>
      <w:pPr>
        <w:bidi/>
      </w:pPr>
      <w:r>
        <w:rPr>
          <w:rFonts w:ascii="Tahoma" w:hAnsi="Tahoma" w:cs="Tahoma"/>
          <w:b/>
          <w:bCs/>
          <w:sz w:val="21"/>
          <w:szCs w:val="21"/>
          <w:rtl/>
        </w:rPr>
        <w:t xml:space="preserve">توقف نماد:</w:t>
      </w:r>
      <w:r>
        <w:rPr>
          <w:rFonts w:ascii="Tahoma" w:hAnsi="Tahoma" w:cs="Tahoma"/>
          <w:sz w:val="21"/>
          <w:szCs w:val="21"/>
          <w:rtl/>
        </w:rPr>
        <w:t xml:space="preserve"> </w:t>
      </w:r>
      <w:r>
        <w:rPr>
          <w:rFonts w:ascii="Tahoma" w:hAnsi="Tahoma" w:cs="Tahoma"/>
          <w:sz w:val="21"/>
          <w:szCs w:val="21"/>
          <w:rtl/>
        </w:rPr>
        <w:t xml:space="preserve">این داده در دسترس نیست، پس این معیار اعمال نمی‌شود. ارزش بازار پایان سال برای نمادهای متوقف همان آخرین قیمت است. در بخش محدودیت‌های مقاله یک جمله درباره‌اش می‌نویسیم.</w:t>
      </w:r>
    </w:p>
    <w:p>
      <w:pPr>
        <w:bidi/>
      </w:pPr>
      <w:r>
        <w:rPr>
          <w:rFonts w:ascii="Tahoma" w:hAnsi="Tahoma" w:cs="Tahoma"/>
          <w:b/>
          <w:bCs/>
          <w:sz w:val="21"/>
          <w:szCs w:val="21"/>
          <w:rtl/>
        </w:rPr>
        <w:t xml:space="preserve">نکته:</w:t>
      </w:r>
      <w:r>
        <w:rPr>
          <w:rFonts w:ascii="Tahoma" w:hAnsi="Tahoma" w:cs="Tahoma"/>
          <w:sz w:val="21"/>
          <w:szCs w:val="21"/>
          <w:rtl/>
        </w:rPr>
        <w:t xml:space="preserve"> </w:t>
      </w:r>
      <w:r>
        <w:rPr>
          <w:rFonts w:ascii="Tahoma" w:hAnsi="Tahoma" w:cs="Tahoma"/>
          <w:sz w:val="21"/>
          <w:szCs w:val="21"/>
          <w:rtl/>
        </w:rPr>
        <w:t xml:space="preserve">معیار قبلی «حضور پیوسته در کل دوره» برای ۲۴ سال نمونه را خیلی کوچک می‌کند و سوگیری بقا ایجاد می‌کند. پنل نامتوازن با حداقل ۶ سال پیاپی، روش استاندارد پژوهش‌های بین‌المللی است.</w:t>
      </w:r>
    </w:p>
    <w:bookmarkEnd w:id="10"/>
    <w:bookmarkStart w:id="11" w:name="ساختار-فایل"/>
    <w:p>
      <w:pPr>
        <w:pStyle w:val="Heading1"/>
        <w:bidi/>
      </w:pPr>
      <w:r>
        <w:rPr>
          <w:rFonts w:ascii="Tahoma" w:hAnsi="Tahoma" w:cs="Tahoma"/>
          <w:sz w:val="21"/>
          <w:szCs w:val="21"/>
          <w:rtl/>
        </w:rPr>
        <w:t xml:space="preserve">۳. ساختار فایل</w:t>
      </w:r>
    </w:p>
    <w:p>
      <w:pPr>
        <w:bidi/>
      </w:pPr>
      <w:r>
        <w:rPr>
          <w:rFonts w:ascii="Tahoma" w:hAnsi="Tahoma" w:cs="Tahoma"/>
          <w:b/>
          <w:bCs/>
          <w:sz w:val="21"/>
          <w:szCs w:val="21"/>
          <w:rtl/>
        </w:rPr>
        <w:t xml:space="preserve">تبدیل ستون‌های شناسه‌ی فایل شما:</w:t>
      </w:r>
    </w:p>
    <w:tbl>
      <w:tblPr>
        <w:tblStyle w:val="Table"/>
        <w:bidiVisu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3960"/>
        <w:gridCol w:w="3960"/>
      </w:tblGrid>
      <w:tr>
        <w:trPr>
          <w:tblHeader w:val="on"/>
        </w:trPr>
        <w:tc>
          <w:tcPr>
            <w:shd w:val="clear" w:color="auto" w:fill="E8ECF3"/>
          </w:tcPr>
          <w:p>
            <w:pPr>
              <w:pStyle w:val="Compact"/>
              <w:bidi/>
            </w:pPr>
            <w:r>
              <w:rPr>
                <w:rFonts w:ascii="Tahoma" w:hAnsi="Tahoma" w:cs="Tahoma"/>
                <w:b/>
                <w:sz w:val="21"/>
                <w:szCs w:val="21"/>
                <w:rtl/>
              </w:rPr>
              <w:t xml:space="preserve">ستون فعلی شما</w:t>
            </w:r>
          </w:p>
        </w:tc>
        <w:tc>
          <w:tcPr>
            <w:shd w:val="clear" w:color="auto" w:fill="E8ECF3"/>
          </w:tcPr>
          <w:p>
            <w:pPr>
              <w:pStyle w:val="Compact"/>
              <w:bidi/>
            </w:pPr>
            <w:r>
              <w:rPr>
                <w:rFonts w:ascii="Tahoma" w:hAnsi="Tahoma" w:cs="Tahoma"/>
                <w:b/>
                <w:sz w:val="21"/>
                <w:szCs w:val="21"/>
                <w:rtl/>
              </w:rPr>
              <w:t xml:space="preserve">نام جدید در فایل نهایی</w:t>
            </w:r>
          </w:p>
        </w:tc>
      </w:tr>
      <w:tr>
        <w:tc>
          <w:tcPr/>
          <w:p>
            <w:pPr>
              <w:pStyle w:val="Compact"/>
              <w:bidi/>
            </w:pPr>
            <w:r>
              <w:rPr>
                <w:rFonts w:ascii="Tahoma" w:hAnsi="Tahoma" w:cs="Tahoma"/>
                <w:sz w:val="21"/>
                <w:szCs w:val="21"/>
                <w:rtl/>
              </w:rPr>
              <w:t xml:space="preserve">شرکت (firmcode)</w:t>
            </w:r>
          </w:p>
        </w:tc>
        <w:tc>
          <w:tcPr/>
          <w:p>
            <w:pPr>
              <w:pStyle w:val="Compact"/>
              <w:bidi/>
            </w:pPr>
            <w:r>
              <w:rPr>
                <w:rFonts w:ascii="Tahoma" w:hAnsi="Tahoma" w:cs="Tahoma"/>
                <w:b/>
                <w:bCs/>
                <w:sz w:val="21"/>
                <w:szCs w:val="21"/>
                <w:rtl/>
              </w:rPr>
              <w:t xml:space="preserve">FirmCode</w:t>
            </w:r>
          </w:p>
        </w:tc>
      </w:tr>
      <w:tr>
        <w:tc>
          <w:tcPr/>
          <w:p>
            <w:pPr>
              <w:pStyle w:val="Compact"/>
              <w:bidi/>
            </w:pPr>
            <w:r>
              <w:rPr>
                <w:rFonts w:ascii="Tahoma" w:hAnsi="Tahoma" w:cs="Tahoma"/>
                <w:sz w:val="21"/>
                <w:szCs w:val="21"/>
                <w:rtl/>
              </w:rPr>
              <w:t xml:space="preserve">سال مالی (year)</w:t>
            </w:r>
          </w:p>
        </w:tc>
        <w:tc>
          <w:tcPr/>
          <w:p>
            <w:pPr>
              <w:pStyle w:val="Compact"/>
              <w:bidi/>
            </w:pPr>
            <w:r>
              <w:rPr>
                <w:rFonts w:ascii="Tahoma" w:hAnsi="Tahoma" w:cs="Tahoma"/>
                <w:b/>
                <w:bCs/>
                <w:sz w:val="21"/>
                <w:szCs w:val="21"/>
                <w:rtl/>
              </w:rPr>
              <w:t xml:space="preserve">Year</w:t>
            </w:r>
          </w:p>
        </w:tc>
      </w:tr>
      <w:tr>
        <w:tc>
          <w:tcPr/>
          <w:p>
            <w:pPr>
              <w:pStyle w:val="Compact"/>
              <w:bidi/>
            </w:pPr>
            <w:r>
              <w:rPr>
                <w:rFonts w:ascii="Tahoma" w:hAnsi="Tahoma" w:cs="Tahoma"/>
                <w:sz w:val="21"/>
                <w:szCs w:val="21"/>
                <w:rtl/>
              </w:rPr>
              <w:t xml:space="preserve">کدصنعت کلی (ind)</w:t>
            </w:r>
          </w:p>
        </w:tc>
        <w:tc>
          <w:tcPr/>
          <w:p>
            <w:pPr>
              <w:pStyle w:val="Compact"/>
              <w:bidi/>
            </w:pPr>
            <w:r>
              <w:rPr>
                <w:rFonts w:ascii="Tahoma" w:hAnsi="Tahoma" w:cs="Tahoma"/>
                <w:b/>
                <w:bCs/>
                <w:sz w:val="21"/>
                <w:szCs w:val="21"/>
                <w:rtl/>
              </w:rPr>
              <w:t xml:space="preserve">IndID</w:t>
            </w:r>
          </w:p>
        </w:tc>
      </w:tr>
      <w:tr>
        <w:tc>
          <w:tcPr/>
          <w:p>
            <w:pPr>
              <w:pStyle w:val="Compact"/>
              <w:bidi/>
            </w:pPr>
            <w:r>
              <w:rPr>
                <w:rFonts w:ascii="Tahoma" w:hAnsi="Tahoma" w:cs="Tahoma"/>
                <w:sz w:val="21"/>
                <w:szCs w:val="21"/>
                <w:rtl/>
              </w:rPr>
              <w:t xml:space="preserve">صنعت (industry)</w:t>
            </w:r>
          </w:p>
        </w:tc>
        <w:tc>
          <w:tcPr/>
          <w:p>
            <w:pPr>
              <w:pStyle w:val="Compact"/>
              <w:bidi/>
            </w:pPr>
            <w:r>
              <w:rPr>
                <w:rFonts w:ascii="Tahoma" w:hAnsi="Tahoma" w:cs="Tahoma"/>
                <w:b/>
                <w:bCs/>
                <w:sz w:val="21"/>
                <w:szCs w:val="21"/>
                <w:rtl/>
              </w:rPr>
              <w:t xml:space="preserve">Industry</w:t>
            </w:r>
          </w:p>
        </w:tc>
      </w:tr>
      <w:tr>
        <w:tc>
          <w:tcPr/>
          <w:p>
            <w:pPr>
              <w:pStyle w:val="Compact"/>
              <w:bidi/>
            </w:pPr>
            <w:r>
              <w:rPr>
                <w:rFonts w:ascii="Tahoma" w:hAnsi="Tahoma" w:cs="Tahoma"/>
                <w:sz w:val="21"/>
                <w:szCs w:val="21"/>
                <w:rtl/>
              </w:rPr>
              <w:t xml:space="preserve">نماد (x2)</w:t>
            </w:r>
          </w:p>
        </w:tc>
        <w:tc>
          <w:tcPr/>
          <w:p>
            <w:pPr>
              <w:pStyle w:val="Compact"/>
              <w:bidi/>
            </w:pPr>
            <w:r>
              <w:rPr>
                <w:rFonts w:ascii="Tahoma" w:hAnsi="Tahoma" w:cs="Tahoma"/>
                <w:b/>
                <w:bCs/>
                <w:sz w:val="21"/>
                <w:szCs w:val="21"/>
                <w:rtl/>
              </w:rPr>
              <w:t xml:space="preserve">Symbol</w:t>
            </w:r>
          </w:p>
        </w:tc>
      </w:tr>
      <w:tr>
        <w:tc>
          <w:tcPr/>
          <w:p>
            <w:pPr>
              <w:pStyle w:val="Compact"/>
              <w:bidi/>
            </w:pPr>
            <w:r>
              <w:rPr>
                <w:rFonts w:ascii="Tahoma" w:hAnsi="Tahoma" w:cs="Tahoma"/>
                <w:sz w:val="21"/>
                <w:szCs w:val="21"/>
                <w:rtl/>
              </w:rPr>
              <w:t xml:space="preserve">شرکت (firm)، کد صنعت جزئی، طبقه، بازار (x1)</w:t>
            </w:r>
          </w:p>
        </w:tc>
        <w:tc>
          <w:tcPr/>
          <w:p>
            <w:pPr>
              <w:pStyle w:val="Compact"/>
              <w:bidi/>
            </w:pPr>
            <w:r>
              <w:rPr>
                <w:rFonts w:ascii="Tahoma" w:hAnsi="Tahoma" w:cs="Tahoma"/>
                <w:sz w:val="21"/>
                <w:szCs w:val="21"/>
                <w:rtl/>
              </w:rPr>
              <w:t xml:space="preserve">بعد از غربالگری</w:t>
            </w:r>
            <w:r>
              <w:rPr>
                <w:rFonts w:ascii="Tahoma" w:hAnsi="Tahoma" w:cs="Tahoma"/>
                <w:sz w:val="21"/>
                <w:szCs w:val="21"/>
                <w:rtl/>
              </w:rPr>
              <w:t xml:space="preserve"> </w:t>
            </w:r>
            <w:r>
              <w:rPr>
                <w:rFonts w:ascii="Tahoma" w:hAnsi="Tahoma" w:cs="Tahoma"/>
                <w:b/>
                <w:bCs/>
                <w:sz w:val="21"/>
                <w:szCs w:val="21"/>
                <w:rtl/>
              </w:rPr>
              <w:t xml:space="preserve">حذف شوند</w:t>
            </w:r>
            <w:r>
              <w:rPr>
                <w:rFonts w:ascii="Tahoma" w:hAnsi="Tahoma" w:cs="Tahoma"/>
                <w:sz w:val="21"/>
                <w:szCs w:val="21"/>
                <w:rtl/>
              </w:rPr>
              <w:t xml:space="preserve">. دو ستون با نام یکسان industry در فایل نماند.</w:t>
            </w:r>
          </w:p>
        </w:tc>
      </w:tr>
    </w:tbl>
    <w:p>
      <w:pPr>
        <w:pStyle w:val="Compact"/>
        <w:numPr>
          <w:ilvl w:val="0"/>
          <w:numId w:val="1003"/>
        </w:numPr>
        <w:bidi/>
      </w:pPr>
      <w:r>
        <w:rPr>
          <w:rFonts w:ascii="Tahoma" w:hAnsi="Tahoma" w:cs="Tahoma"/>
          <w:b/>
          <w:bCs/>
          <w:sz w:val="21"/>
          <w:szCs w:val="21"/>
          <w:rtl/>
        </w:rPr>
        <w:t xml:space="preserve">یک ردیف برای هر شرکت در هر سال</w:t>
      </w:r>
      <w:r>
        <w:rPr>
          <w:rFonts w:ascii="Tahoma" w:hAnsi="Tahoma" w:cs="Tahoma"/>
          <w:sz w:val="21"/>
          <w:szCs w:val="21"/>
          <w:rtl/>
        </w:rPr>
        <w:t xml:space="preserve"> </w:t>
      </w:r>
      <w:r>
        <w:rPr>
          <w:rFonts w:ascii="Tahoma" w:hAnsi="Tahoma" w:cs="Tahoma"/>
          <w:sz w:val="21"/>
          <w:szCs w:val="21"/>
          <w:rtl/>
        </w:rPr>
        <w:t xml:space="preserve">(فرمت بلند). ستون‌ها دقیقاً با نام‌های جدول بخش ۴، در یک برگه.</w:t>
      </w:r>
    </w:p>
    <w:p>
      <w:pPr>
        <w:pStyle w:val="Compact"/>
        <w:numPr>
          <w:ilvl w:val="0"/>
          <w:numId w:val="1003"/>
        </w:numPr>
        <w:bidi/>
      </w:pPr>
      <w:r>
        <w:rPr>
          <w:rFonts w:ascii="Tahoma" w:hAnsi="Tahoma" w:cs="Tahoma"/>
          <w:b/>
          <w:bCs/>
          <w:sz w:val="21"/>
          <w:szCs w:val="21"/>
          <w:rtl/>
        </w:rPr>
        <w:t xml:space="preserve">واحد پول یکسان در همه‌ی سال‌ها:</w:t>
      </w:r>
      <w:r>
        <w:rPr>
          <w:rFonts w:ascii="Tahoma" w:hAnsi="Tahoma" w:cs="Tahoma"/>
          <w:sz w:val="21"/>
          <w:szCs w:val="21"/>
          <w:rtl/>
        </w:rPr>
        <w:t xml:space="preserve"> </w:t>
      </w:r>
      <w:r>
        <w:rPr>
          <w:rFonts w:ascii="Tahoma" w:hAnsi="Tahoma" w:cs="Tahoma"/>
          <w:sz w:val="21"/>
          <w:szCs w:val="21"/>
          <w:rtl/>
        </w:rPr>
        <w:t xml:space="preserve">میلیون ریال. بعضی پایگاه‌ها در سال‌های قدیمی واحد را عوض می‌کنند. این را حتماً کنترل کنید.</w:t>
      </w:r>
    </w:p>
    <w:p>
      <w:pPr>
        <w:pStyle w:val="Compact"/>
        <w:numPr>
          <w:ilvl w:val="0"/>
          <w:numId w:val="1003"/>
        </w:numPr>
        <w:bidi/>
      </w:pPr>
      <w:r>
        <w:rPr>
          <w:rFonts w:ascii="Tahoma" w:hAnsi="Tahoma" w:cs="Tahoma"/>
          <w:b/>
          <w:bCs/>
          <w:sz w:val="21"/>
          <w:szCs w:val="21"/>
          <w:rtl/>
        </w:rPr>
        <w:t xml:space="preserve">داده‌ی ناموجود = خانه‌ی خالی، نه صفر.</w:t>
      </w:r>
      <w:r>
        <w:rPr>
          <w:rFonts w:ascii="Tahoma" w:hAnsi="Tahoma" w:cs="Tahoma"/>
          <w:sz w:val="21"/>
          <w:szCs w:val="21"/>
          <w:rtl/>
        </w:rPr>
        <w:t xml:space="preserve"> </w:t>
      </w:r>
      <w:r>
        <w:rPr>
          <w:rFonts w:ascii="Tahoma" w:hAnsi="Tahoma" w:cs="Tahoma"/>
          <w:sz w:val="21"/>
          <w:szCs w:val="21"/>
          <w:rtl/>
        </w:rPr>
        <w:t xml:space="preserve">صفر فقط وقتی که مقدار واقعاً صفر است، مثلاً شرکتی که دارایی نامشهود یا هزینه‌ی مالی ندارد.</w:t>
      </w:r>
    </w:p>
    <w:p>
      <w:pPr>
        <w:pStyle w:val="Compact"/>
        <w:numPr>
          <w:ilvl w:val="0"/>
          <w:numId w:val="1003"/>
        </w:numPr>
        <w:bidi/>
      </w:pPr>
      <w:r>
        <w:rPr>
          <w:rFonts w:ascii="Tahoma" w:hAnsi="Tahoma" w:cs="Tahoma"/>
          <w:b/>
          <w:bCs/>
          <w:sz w:val="21"/>
          <w:szCs w:val="21"/>
          <w:rtl/>
        </w:rPr>
        <w:t xml:space="preserve">صورت‌های مالی جداگانه‌ی شرکت اصلی</w:t>
      </w:r>
      <w:r>
        <w:rPr>
          <w:rFonts w:ascii="Tahoma" w:hAnsi="Tahoma" w:cs="Tahoma"/>
          <w:sz w:val="21"/>
          <w:szCs w:val="21"/>
          <w:rtl/>
        </w:rPr>
        <w:t xml:space="preserve">، نه تلفیقی. در همه‌ی سال‌ها یکسان.</w:t>
      </w:r>
    </w:p>
    <w:p>
      <w:pPr>
        <w:pStyle w:val="Compact"/>
        <w:numPr>
          <w:ilvl w:val="0"/>
          <w:numId w:val="1003"/>
        </w:numPr>
        <w:bidi/>
      </w:pPr>
      <w:r>
        <w:rPr>
          <w:rFonts w:ascii="Tahoma" w:hAnsi="Tahoma" w:cs="Tahoma"/>
          <w:b/>
          <w:bCs/>
          <w:sz w:val="21"/>
          <w:szCs w:val="21"/>
          <w:rtl/>
        </w:rPr>
        <w:t xml:space="preserve">ارقام حسابرسی‌شده‌ی گزارش همان سال.</w:t>
      </w:r>
      <w:r>
        <w:rPr>
          <w:rFonts w:ascii="Tahoma" w:hAnsi="Tahoma" w:cs="Tahoma"/>
          <w:sz w:val="21"/>
          <w:szCs w:val="21"/>
          <w:rtl/>
        </w:rPr>
        <w:t xml:space="preserve"> </w:t>
      </w:r>
      <w:r>
        <w:rPr>
          <w:rFonts w:ascii="Tahoma" w:hAnsi="Tahoma" w:cs="Tahoma"/>
          <w:sz w:val="21"/>
          <w:szCs w:val="21"/>
          <w:rtl/>
        </w:rPr>
        <w:t xml:space="preserve">اگر از ارقام تجدیدارائه‌شده استفاده می‌کنید، در همه‌ی سال‌ها همین کار را بکنید. ترکیب این دو مجاز نیست.</w:t>
      </w:r>
    </w:p>
    <w:p>
      <w:pPr>
        <w:pStyle w:val="Compact"/>
        <w:numPr>
          <w:ilvl w:val="0"/>
          <w:numId w:val="1003"/>
        </w:numPr>
        <w:bidi/>
      </w:pPr>
      <w:r>
        <w:rPr>
          <w:rFonts w:ascii="Tahoma" w:hAnsi="Tahoma" w:cs="Tahoma"/>
          <w:b/>
          <w:bCs/>
          <w:sz w:val="21"/>
          <w:szCs w:val="21"/>
          <w:rtl/>
        </w:rPr>
        <w:t xml:space="preserve">علامت جریان‌های نقدی:</w:t>
      </w:r>
      <w:r>
        <w:rPr>
          <w:rFonts w:ascii="Tahoma" w:hAnsi="Tahoma" w:cs="Tahoma"/>
          <w:sz w:val="21"/>
          <w:szCs w:val="21"/>
          <w:rtl/>
        </w:rPr>
        <w:t xml:space="preserve"> </w:t>
      </w:r>
      <w:r>
        <w:rPr>
          <w:rFonts w:ascii="Tahoma" w:hAnsi="Tahoma" w:cs="Tahoma"/>
          <w:sz w:val="21"/>
          <w:szCs w:val="21"/>
          <w:rtl/>
        </w:rPr>
        <w:t xml:space="preserve">ورودی مثبت و خروجی منفی. مثلاً CFI معمولاً منفی است. این علامت برای تعریف چرخه‌ی عمر حیاتی است.</w:t>
      </w:r>
    </w:p>
    <w:bookmarkEnd w:id="11"/>
    <w:bookmarkStart w:id="18" w:name="فهرست-متغیرها-۲۲-ستون"/>
    <w:p>
      <w:pPr>
        <w:pStyle w:val="Heading1"/>
        <w:bidi/>
      </w:pPr>
      <w:r>
        <w:rPr>
          <w:rFonts w:ascii="Tahoma" w:hAnsi="Tahoma" w:cs="Tahoma"/>
          <w:sz w:val="21"/>
          <w:szCs w:val="21"/>
          <w:rtl/>
        </w:rPr>
        <w:t xml:space="preserve">۴. فهرست متغیرها (۲۲ ستون)</w:t>
      </w:r>
    </w:p>
    <w:bookmarkStart w:id="12" w:name="شناسهها"/>
    <w:p>
      <w:pPr>
        <w:pStyle w:val="Heading2"/>
        <w:bidi/>
      </w:pPr>
      <w:r>
        <w:rPr>
          <w:rFonts w:ascii="Tahoma" w:hAnsi="Tahoma" w:cs="Tahoma"/>
          <w:sz w:val="21"/>
          <w:szCs w:val="21"/>
          <w:rtl/>
        </w:rPr>
        <w:t xml:space="preserve">۴.۱ شناسه‌ها</w:t>
      </w:r>
    </w:p>
    <w:tbl>
      <w:tblPr>
        <w:tblStyle w:val="Table"/>
        <w:bidiVisu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640"/>
        <w:gridCol w:w="2640"/>
        <w:gridCol w:w="2640"/>
      </w:tblGrid>
      <w:tr>
        <w:trPr>
          <w:tblHeader w:val="on"/>
        </w:trPr>
        <w:tc>
          <w:tcPr>
            <w:shd w:val="clear" w:color="auto" w:fill="E8ECF3"/>
          </w:tcPr>
          <w:p>
            <w:pPr>
              <w:pStyle w:val="Compact"/>
              <w:bidi/>
            </w:pPr>
            <w:r>
              <w:rPr>
                <w:rFonts w:ascii="Tahoma" w:hAnsi="Tahoma" w:cs="Tahoma"/>
                <w:b/>
                <w:sz w:val="21"/>
                <w:szCs w:val="21"/>
                <w:rtl/>
              </w:rPr>
              <w:t xml:space="preserve">ستون</w:t>
            </w:r>
          </w:p>
        </w:tc>
        <w:tc>
          <w:tcPr>
            <w:shd w:val="clear" w:color="auto" w:fill="E8ECF3"/>
          </w:tcPr>
          <w:p>
            <w:pPr>
              <w:pStyle w:val="Compact"/>
              <w:bidi/>
            </w:pPr>
            <w:r>
              <w:rPr>
                <w:rFonts w:ascii="Tahoma" w:hAnsi="Tahoma" w:cs="Tahoma"/>
                <w:b/>
                <w:sz w:val="21"/>
                <w:szCs w:val="21"/>
                <w:rtl/>
              </w:rPr>
              <w:t xml:space="preserve">تعریف</w:t>
            </w:r>
          </w:p>
        </w:tc>
        <w:tc>
          <w:tcPr>
            <w:shd w:val="clear" w:color="auto" w:fill="E8ECF3"/>
          </w:tcPr>
          <w:p>
            <w:pPr>
              <w:pStyle w:val="Compact"/>
              <w:bidi/>
            </w:pPr>
            <w:r>
              <w:rPr>
                <w:rFonts w:ascii="Tahoma" w:hAnsi="Tahoma" w:cs="Tahoma"/>
                <w:b/>
                <w:sz w:val="21"/>
                <w:szCs w:val="21"/>
                <w:rtl/>
              </w:rPr>
              <w:t xml:space="preserve">توضیح</w:t>
            </w:r>
          </w:p>
        </w:tc>
      </w:tr>
      <w:tr>
        <w:tc>
          <w:tcPr/>
          <w:p>
            <w:pPr>
              <w:pStyle w:val="Compact"/>
              <w:bidi/>
            </w:pPr>
            <w:r>
              <w:rPr>
                <w:rFonts w:ascii="Tahoma" w:hAnsi="Tahoma" w:cs="Tahoma"/>
                <w:b/>
                <w:bCs/>
                <w:sz w:val="21"/>
                <w:szCs w:val="21"/>
                <w:rtl/>
              </w:rPr>
              <w:t xml:space="preserve">FirmCode</w:t>
            </w:r>
          </w:p>
        </w:tc>
        <w:tc>
          <w:tcPr/>
          <w:p>
            <w:pPr>
              <w:pStyle w:val="Compact"/>
              <w:bidi/>
            </w:pPr>
            <w:r>
              <w:rPr>
                <w:rFonts w:ascii="Tahoma" w:hAnsi="Tahoma" w:cs="Tahoma"/>
                <w:sz w:val="21"/>
                <w:szCs w:val="21"/>
                <w:rtl/>
              </w:rPr>
              <w:t xml:space="preserve">کد شرکت در پایگاه داده (ستون firmcode فایل شما)</w:t>
            </w:r>
          </w:p>
        </w:tc>
        <w:tc>
          <w:tcPr/>
          <w:p>
            <w:pPr>
              <w:pStyle w:val="Compact"/>
              <w:bidi/>
            </w:pPr>
            <w:r>
              <w:rPr>
                <w:rFonts w:ascii="Tahoma" w:hAnsi="Tahoma" w:cs="Tahoma"/>
                <w:sz w:val="21"/>
                <w:szCs w:val="21"/>
                <w:rtl/>
              </w:rPr>
              <w:t xml:space="preserve">نماد شرکت‌ها در طول ۲۴ سال گاهی عوض شده است، ولی کد شرکت در پایگاه داده ثابت می‌ماند.</w:t>
            </w:r>
          </w:p>
        </w:tc>
      </w:tr>
      <w:tr>
        <w:tc>
          <w:tcPr/>
          <w:p>
            <w:pPr>
              <w:pStyle w:val="Compact"/>
              <w:bidi/>
            </w:pPr>
            <w:r>
              <w:rPr>
                <w:rFonts w:ascii="Tahoma" w:hAnsi="Tahoma" w:cs="Tahoma"/>
                <w:b/>
                <w:bCs/>
                <w:sz w:val="21"/>
                <w:szCs w:val="21"/>
                <w:rtl/>
              </w:rPr>
              <w:t xml:space="preserve">Symbol</w:t>
            </w:r>
          </w:p>
        </w:tc>
        <w:tc>
          <w:tcPr/>
          <w:p>
            <w:pPr>
              <w:pStyle w:val="Compact"/>
              <w:bidi/>
            </w:pPr>
            <w:r>
              <w:rPr>
                <w:rFonts w:ascii="Tahoma" w:hAnsi="Tahoma" w:cs="Tahoma"/>
                <w:sz w:val="21"/>
                <w:szCs w:val="21"/>
                <w:rtl/>
              </w:rPr>
              <w:t xml:space="preserve">نماد معاملاتی</w:t>
            </w:r>
          </w:p>
        </w:tc>
        <w:tc>
          <w:tcPr/>
          <w:p>
            <w:pPr>
              <w:pStyle w:val="Compact"/>
              <w:bidi/>
            </w:pPr>
            <w:r>
              <w:rPr>
                <w:rFonts w:ascii="Tahoma" w:hAnsi="Tahoma" w:cs="Tahoma"/>
                <w:sz w:val="21"/>
                <w:szCs w:val="21"/>
                <w:rtl/>
              </w:rPr>
              <w:t xml:space="preserve">برای هر شرکت در همه‌ی سال‌ها همان</w:t>
            </w:r>
            <w:r>
              <w:rPr>
                <w:rFonts w:ascii="Tahoma" w:hAnsi="Tahoma" w:cs="Tahoma"/>
                <w:sz w:val="21"/>
                <w:szCs w:val="21"/>
                <w:rtl/>
              </w:rPr>
              <w:t xml:space="preserve"> </w:t>
            </w:r>
            <w:r>
              <w:rPr>
                <w:rFonts w:ascii="Tahoma" w:hAnsi="Tahoma" w:cs="Tahoma"/>
                <w:b/>
                <w:bCs/>
                <w:sz w:val="21"/>
                <w:szCs w:val="21"/>
                <w:rtl/>
              </w:rPr>
              <w:t xml:space="preserve">آخرین نماد</w:t>
            </w:r>
            <w:r>
              <w:rPr>
                <w:rFonts w:ascii="Tahoma" w:hAnsi="Tahoma" w:cs="Tahoma"/>
                <w:sz w:val="21"/>
                <w:szCs w:val="21"/>
                <w:rtl/>
              </w:rPr>
              <w:t xml:space="preserve"> </w:t>
            </w:r>
            <w:r>
              <w:rPr>
                <w:rFonts w:ascii="Tahoma" w:hAnsi="Tahoma" w:cs="Tahoma"/>
                <w:sz w:val="21"/>
                <w:szCs w:val="21"/>
                <w:rtl/>
              </w:rPr>
              <w:t xml:space="preserve">را بنویسید</w:t>
            </w:r>
          </w:p>
        </w:tc>
      </w:tr>
      <w:tr>
        <w:tc>
          <w:tcPr/>
          <w:p>
            <w:pPr>
              <w:pStyle w:val="Compact"/>
              <w:bidi/>
            </w:pPr>
            <w:r>
              <w:rPr>
                <w:rFonts w:ascii="Tahoma" w:hAnsi="Tahoma" w:cs="Tahoma"/>
                <w:b/>
                <w:bCs/>
                <w:sz w:val="21"/>
                <w:szCs w:val="21"/>
                <w:rtl/>
              </w:rPr>
              <w:t xml:space="preserve">Year</w:t>
            </w:r>
          </w:p>
        </w:tc>
        <w:tc>
          <w:tcPr/>
          <w:p>
            <w:pPr>
              <w:pStyle w:val="Compact"/>
              <w:bidi/>
            </w:pPr>
            <w:r>
              <w:rPr>
                <w:rFonts w:ascii="Tahoma" w:hAnsi="Tahoma" w:cs="Tahoma"/>
                <w:sz w:val="21"/>
                <w:szCs w:val="21"/>
                <w:rtl/>
              </w:rPr>
              <w:t xml:space="preserve">سال مالی شمسی (سالی که در اسفندش سال مالی تمام می‌شود)</w:t>
            </w:r>
          </w:p>
        </w:tc>
        <w:tc>
          <w:tcPr/>
          <w:p>
            <w:pPr>
              <w:pStyle w:val="Compact"/>
              <w:bidi/>
            </w:pPr>
            <w:r>
              <w:rPr>
                <w:rFonts w:ascii="Tahoma" w:hAnsi="Tahoma" w:cs="Tahoma"/>
                <w:sz w:val="21"/>
                <w:szCs w:val="21"/>
                <w:rtl/>
              </w:rPr>
              <w:t xml:space="preserve">۱۳۸۰ تا ۱۴۰۳</w:t>
            </w:r>
          </w:p>
        </w:tc>
      </w:tr>
      <w:tr>
        <w:tc>
          <w:tcPr/>
          <w:p>
            <w:pPr>
              <w:pStyle w:val="Compact"/>
              <w:bidi/>
            </w:pPr>
            <w:r>
              <w:rPr>
                <w:rFonts w:ascii="Tahoma" w:hAnsi="Tahoma" w:cs="Tahoma"/>
                <w:b/>
                <w:bCs/>
                <w:sz w:val="21"/>
                <w:szCs w:val="21"/>
                <w:rtl/>
              </w:rPr>
              <w:t xml:space="preserve">Industry</w:t>
            </w:r>
          </w:p>
        </w:tc>
        <w:tc>
          <w:tcPr/>
          <w:p>
            <w:pPr>
              <w:pStyle w:val="Compact"/>
              <w:bidi/>
            </w:pPr>
            <w:r>
              <w:rPr>
                <w:rFonts w:ascii="Tahoma" w:hAnsi="Tahoma" w:cs="Tahoma"/>
                <w:sz w:val="21"/>
                <w:szCs w:val="21"/>
                <w:rtl/>
              </w:rPr>
              <w:t xml:space="preserve">نام صنعت (متناظر با کد صنعت کلی)</w:t>
            </w:r>
          </w:p>
        </w:tc>
        <w:tc>
          <w:tcPr/>
          <w:p>
            <w:pPr>
              <w:pStyle w:val="Compact"/>
              <w:bidi/>
            </w:pPr>
            <w:r>
              <w:rPr>
                <w:rFonts w:ascii="Tahoma" w:hAnsi="Tahoma" w:cs="Tahoma"/>
                <w:sz w:val="21"/>
                <w:szCs w:val="21"/>
                <w:rtl/>
              </w:rPr>
              <w:t xml:space="preserve">طبقه‌بندی صنایع بورس تهران</w:t>
            </w:r>
          </w:p>
        </w:tc>
      </w:tr>
      <w:tr>
        <w:tc>
          <w:tcPr/>
          <w:p>
            <w:pPr>
              <w:pStyle w:val="Compact"/>
              <w:bidi/>
            </w:pPr>
            <w:r>
              <w:rPr>
                <w:rFonts w:ascii="Tahoma" w:hAnsi="Tahoma" w:cs="Tahoma"/>
                <w:b/>
                <w:bCs/>
                <w:sz w:val="21"/>
                <w:szCs w:val="21"/>
                <w:rtl/>
              </w:rPr>
              <w:t xml:space="preserve">IndID</w:t>
            </w:r>
          </w:p>
        </w:tc>
        <w:tc>
          <w:tcPr/>
          <w:p>
            <w:pPr>
              <w:pStyle w:val="Compact"/>
              <w:bidi/>
            </w:pPr>
            <w:r>
              <w:rPr>
                <w:rFonts w:ascii="Tahoma" w:hAnsi="Tahoma" w:cs="Tahoma"/>
                <w:b/>
                <w:bCs/>
                <w:sz w:val="21"/>
                <w:szCs w:val="21"/>
                <w:rtl/>
              </w:rPr>
              <w:t xml:space="preserve">کد صنعت کلی</w:t>
            </w:r>
            <w:r>
              <w:rPr>
                <w:rFonts w:ascii="Tahoma" w:hAnsi="Tahoma" w:cs="Tahoma"/>
                <w:sz w:val="21"/>
                <w:szCs w:val="21"/>
                <w:rtl/>
              </w:rPr>
              <w:t xml:space="preserve"> </w:t>
            </w:r>
            <w:r>
              <w:rPr>
                <w:rFonts w:ascii="Tahoma" w:hAnsi="Tahoma" w:cs="Tahoma"/>
                <w:sz w:val="21"/>
                <w:szCs w:val="21"/>
                <w:rtl/>
              </w:rPr>
              <w:t xml:space="preserve">(نه کد جزئی)</w:t>
            </w:r>
          </w:p>
        </w:tc>
        <w:tc>
          <w:tcPr/>
          <w:p>
            <w:pPr>
              <w:pStyle w:val="Compact"/>
              <w:bidi/>
            </w:pPr>
            <w:r>
              <w:rPr>
                <w:rFonts w:ascii="Tahoma" w:hAnsi="Tahoma" w:cs="Tahoma"/>
                <w:sz w:val="21"/>
                <w:szCs w:val="21"/>
                <w:rtl/>
              </w:rPr>
              <w:t xml:space="preserve">کد جزئی صنایع خیلی کوچک می‌سازد. مدل سرمایه‌گذاری هر صنعت-سال را با دست‌کم ۱۰ شرکت جداگانه برآورد می‌کند.</w:t>
            </w:r>
          </w:p>
        </w:tc>
      </w:tr>
      <w:tr>
        <w:tc>
          <w:tcPr/>
          <w:p>
            <w:pPr>
              <w:pStyle w:val="Compact"/>
              <w:bidi/>
            </w:pPr>
            <w:r>
              <w:rPr>
                <w:rFonts w:ascii="Tahoma" w:hAnsi="Tahoma" w:cs="Tahoma"/>
                <w:b/>
                <w:bCs/>
                <w:sz w:val="21"/>
                <w:szCs w:val="21"/>
                <w:rtl/>
              </w:rPr>
              <w:t xml:space="preserve">Age</w:t>
            </w:r>
          </w:p>
        </w:tc>
        <w:tc>
          <w:tcPr/>
          <w:p>
            <w:pPr>
              <w:pStyle w:val="Compact"/>
              <w:bidi/>
            </w:pPr>
            <w:r>
              <w:rPr>
                <w:rFonts w:ascii="Tahoma" w:hAnsi="Tahoma" w:cs="Tahoma"/>
                <w:sz w:val="21"/>
                <w:szCs w:val="21"/>
                <w:rtl/>
              </w:rPr>
              <w:t xml:space="preserve">سن شرکت در سال t</w:t>
            </w:r>
          </w:p>
        </w:tc>
        <w:tc>
          <w:tcPr/>
          <w:p>
            <w:pPr>
              <w:pStyle w:val="Compact"/>
              <w:bidi/>
            </w:pPr>
            <w:r>
              <w:rPr>
                <w:rFonts w:ascii="Tahoma" w:hAnsi="Tahoma" w:cs="Tahoma"/>
                <w:sz w:val="21"/>
                <w:szCs w:val="21"/>
                <w:rtl/>
              </w:rPr>
              <w:t xml:space="preserve">سال مالی منهای سال تأسیس، از اساسنامه یا Codal</w:t>
            </w:r>
          </w:p>
        </w:tc>
      </w:tr>
    </w:tbl>
    <w:bookmarkEnd w:id="12"/>
    <w:bookmarkStart w:id="13" w:name="کلان-اقتصادی"/>
    <w:p>
      <w:pPr>
        <w:pStyle w:val="Heading2"/>
        <w:bidi/>
      </w:pPr>
      <w:r>
        <w:rPr>
          <w:rFonts w:ascii="Tahoma" w:hAnsi="Tahoma" w:cs="Tahoma"/>
          <w:sz w:val="21"/>
          <w:szCs w:val="21"/>
          <w:rtl/>
        </w:rPr>
        <w:t xml:space="preserve">۴.۲ کلان اقتصادی</w:t>
      </w:r>
    </w:p>
    <w:tbl>
      <w:tblPr>
        <w:tblStyle w:val="Table"/>
        <w:bidiVisu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640"/>
        <w:gridCol w:w="2640"/>
        <w:gridCol w:w="2640"/>
      </w:tblGrid>
      <w:tr>
        <w:trPr>
          <w:tblHeader w:val="on"/>
        </w:trPr>
        <w:tc>
          <w:tcPr>
            <w:shd w:val="clear" w:color="auto" w:fill="E8ECF3"/>
          </w:tcPr>
          <w:p>
            <w:pPr>
              <w:pStyle w:val="Compact"/>
              <w:bidi/>
            </w:pPr>
            <w:r>
              <w:rPr>
                <w:rFonts w:ascii="Tahoma" w:hAnsi="Tahoma" w:cs="Tahoma"/>
                <w:b/>
                <w:sz w:val="21"/>
                <w:szCs w:val="21"/>
                <w:rtl/>
              </w:rPr>
              <w:t xml:space="preserve">ستون</w:t>
            </w:r>
          </w:p>
        </w:tc>
        <w:tc>
          <w:tcPr>
            <w:shd w:val="clear" w:color="auto" w:fill="E8ECF3"/>
          </w:tcPr>
          <w:p>
            <w:pPr>
              <w:pStyle w:val="Compact"/>
              <w:bidi/>
            </w:pPr>
            <w:r>
              <w:rPr>
                <w:rFonts w:ascii="Tahoma" w:hAnsi="Tahoma" w:cs="Tahoma"/>
                <w:b/>
                <w:sz w:val="21"/>
                <w:szCs w:val="21"/>
                <w:rtl/>
              </w:rPr>
              <w:t xml:space="preserve">تعریف</w:t>
            </w:r>
          </w:p>
        </w:tc>
        <w:tc>
          <w:tcPr>
            <w:shd w:val="clear" w:color="auto" w:fill="E8ECF3"/>
          </w:tcPr>
          <w:p>
            <w:pPr>
              <w:pStyle w:val="Compact"/>
              <w:bidi/>
            </w:pPr>
            <w:r>
              <w:rPr>
                <w:rFonts w:ascii="Tahoma" w:hAnsi="Tahoma" w:cs="Tahoma"/>
                <w:b/>
                <w:sz w:val="21"/>
                <w:szCs w:val="21"/>
                <w:rtl/>
              </w:rPr>
              <w:t xml:space="preserve">منبع</w:t>
            </w:r>
          </w:p>
        </w:tc>
      </w:tr>
      <w:tr>
        <w:tc>
          <w:tcPr/>
          <w:p>
            <w:pPr>
              <w:pStyle w:val="Compact"/>
              <w:bidi/>
            </w:pPr>
            <w:r>
              <w:rPr>
                <w:rFonts w:ascii="Tahoma" w:hAnsi="Tahoma" w:cs="Tahoma"/>
                <w:b/>
                <w:bCs/>
                <w:sz w:val="21"/>
                <w:szCs w:val="21"/>
                <w:rtl/>
              </w:rPr>
              <w:t xml:space="preserve">INF</w:t>
            </w:r>
          </w:p>
        </w:tc>
        <w:tc>
          <w:tcPr/>
          <w:p>
            <w:pPr>
              <w:pStyle w:val="Compact"/>
              <w:bidi/>
            </w:pPr>
            <w:r>
              <w:rPr>
                <w:rFonts w:ascii="Tahoma" w:hAnsi="Tahoma" w:cs="Tahoma"/>
                <w:sz w:val="21"/>
                <w:szCs w:val="21"/>
                <w:rtl/>
              </w:rPr>
              <w:t xml:space="preserve">نرخ تورم سالانه‌ی شاخص قیمت مصرف‌کننده برای سال t (فروردین تا اسفند)، به</w:t>
            </w:r>
            <w:r>
              <w:rPr>
                <w:rFonts w:ascii="Tahoma" w:hAnsi="Tahoma" w:cs="Tahoma"/>
                <w:sz w:val="21"/>
                <w:szCs w:val="21"/>
                <w:rtl/>
              </w:rPr>
              <w:t xml:space="preserve"> </w:t>
            </w:r>
            <w:r>
              <w:rPr>
                <w:rFonts w:ascii="Tahoma" w:hAnsi="Tahoma" w:cs="Tahoma"/>
                <w:b/>
                <w:bCs/>
                <w:sz w:val="21"/>
                <w:szCs w:val="21"/>
                <w:rtl/>
              </w:rPr>
              <w:t xml:space="preserve">درصد</w:t>
            </w:r>
          </w:p>
        </w:tc>
        <w:tc>
          <w:tcPr/>
          <w:p>
            <w:pPr>
              <w:pStyle w:val="Compact"/>
              <w:bidi/>
            </w:pPr>
            <w:r>
              <w:rPr>
                <w:rFonts w:ascii="Tahoma" w:hAnsi="Tahoma" w:cs="Tahoma"/>
                <w:sz w:val="21"/>
                <w:szCs w:val="21"/>
                <w:rtl/>
              </w:rPr>
              <w:t xml:space="preserve">بانک مرکزی. همه‌ی سال‌ها از</w:t>
            </w:r>
            <w:r>
              <w:rPr>
                <w:rFonts w:ascii="Tahoma" w:hAnsi="Tahoma" w:cs="Tahoma"/>
                <w:sz w:val="21"/>
                <w:szCs w:val="21"/>
                <w:rtl/>
              </w:rPr>
              <w:t xml:space="preserve"> </w:t>
            </w:r>
            <w:r>
              <w:rPr>
                <w:rFonts w:ascii="Tahoma" w:hAnsi="Tahoma" w:cs="Tahoma"/>
                <w:b/>
                <w:bCs/>
                <w:sz w:val="21"/>
                <w:szCs w:val="21"/>
                <w:rtl/>
              </w:rPr>
              <w:t xml:space="preserve">یک منبع</w:t>
            </w:r>
            <w:r>
              <w:rPr>
                <w:rFonts w:ascii="Tahoma" w:hAnsi="Tahoma" w:cs="Tahoma"/>
                <w:sz w:val="21"/>
                <w:szCs w:val="21"/>
                <w:rtl/>
              </w:rPr>
              <w:t xml:space="preserve"> </w:t>
            </w:r>
            <w:r>
              <w:rPr>
                <w:rFonts w:ascii="Tahoma" w:hAnsi="Tahoma" w:cs="Tahoma"/>
                <w:sz w:val="21"/>
                <w:szCs w:val="21"/>
                <w:rtl/>
              </w:rPr>
              <w:t xml:space="preserve">(بانک مرکزی یا مرکز آمار، نه ترکیب آن‌ها). برای همه‌ی شرکت‌های یک سال یکسان است.</w:t>
            </w:r>
          </w:p>
        </w:tc>
      </w:tr>
    </w:tbl>
    <w:bookmarkEnd w:id="13"/>
    <w:bookmarkStart w:id="14" w:name="ترازنامه-پایان-سال-مالی"/>
    <w:p>
      <w:pPr>
        <w:pStyle w:val="Heading2"/>
        <w:bidi/>
      </w:pPr>
      <w:r>
        <w:rPr>
          <w:rFonts w:ascii="Tahoma" w:hAnsi="Tahoma" w:cs="Tahoma"/>
          <w:sz w:val="21"/>
          <w:szCs w:val="21"/>
          <w:rtl/>
        </w:rPr>
        <w:t xml:space="preserve">۴.۳ ترازنامه (پایان سال مالی)</w:t>
      </w:r>
    </w:p>
    <w:tbl>
      <w:tblPr>
        <w:tblStyle w:val="Table"/>
        <w:bidiVisu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640"/>
        <w:gridCol w:w="2640"/>
        <w:gridCol w:w="2640"/>
      </w:tblGrid>
      <w:tr>
        <w:trPr>
          <w:tblHeader w:val="on"/>
        </w:trPr>
        <w:tc>
          <w:tcPr>
            <w:shd w:val="clear" w:color="auto" w:fill="E8ECF3"/>
          </w:tcPr>
          <w:p>
            <w:pPr>
              <w:pStyle w:val="Compact"/>
              <w:bidi/>
            </w:pPr>
            <w:r>
              <w:rPr>
                <w:rFonts w:ascii="Tahoma" w:hAnsi="Tahoma" w:cs="Tahoma"/>
                <w:b/>
                <w:sz w:val="21"/>
                <w:szCs w:val="21"/>
                <w:rtl/>
              </w:rPr>
              <w:t xml:space="preserve">ستون</w:t>
            </w:r>
          </w:p>
        </w:tc>
        <w:tc>
          <w:tcPr>
            <w:shd w:val="clear" w:color="auto" w:fill="E8ECF3"/>
          </w:tcPr>
          <w:p>
            <w:pPr>
              <w:pStyle w:val="Compact"/>
              <w:bidi/>
            </w:pPr>
            <w:r>
              <w:rPr>
                <w:rFonts w:ascii="Tahoma" w:hAnsi="Tahoma" w:cs="Tahoma"/>
                <w:b/>
                <w:sz w:val="21"/>
                <w:szCs w:val="21"/>
                <w:rtl/>
              </w:rPr>
              <w:t xml:space="preserve">قلم صورت مالی</w:t>
            </w:r>
          </w:p>
        </w:tc>
        <w:tc>
          <w:tcPr>
            <w:shd w:val="clear" w:color="auto" w:fill="E8ECF3"/>
          </w:tcPr>
          <w:p>
            <w:pPr>
              <w:pStyle w:val="Compact"/>
              <w:bidi/>
            </w:pPr>
            <w:r>
              <w:rPr>
                <w:rFonts w:ascii="Tahoma" w:hAnsi="Tahoma" w:cs="Tahoma"/>
                <w:b/>
                <w:sz w:val="21"/>
                <w:szCs w:val="21"/>
                <w:rtl/>
              </w:rPr>
              <w:t xml:space="preserve">کاربرد در مدل</w:t>
            </w:r>
          </w:p>
        </w:tc>
      </w:tr>
      <w:tr>
        <w:tc>
          <w:tcPr/>
          <w:p>
            <w:pPr>
              <w:pStyle w:val="Compact"/>
              <w:bidi/>
            </w:pPr>
            <w:r>
              <w:rPr>
                <w:rFonts w:ascii="Tahoma" w:hAnsi="Tahoma" w:cs="Tahoma"/>
                <w:b/>
                <w:bCs/>
                <w:sz w:val="21"/>
                <w:szCs w:val="21"/>
                <w:rtl/>
              </w:rPr>
              <w:t xml:space="preserve">TA</w:t>
            </w:r>
          </w:p>
        </w:tc>
        <w:tc>
          <w:tcPr/>
          <w:p>
            <w:pPr>
              <w:pStyle w:val="Compact"/>
              <w:bidi/>
            </w:pPr>
            <w:r>
              <w:rPr>
                <w:rFonts w:ascii="Tahoma" w:hAnsi="Tahoma" w:cs="Tahoma"/>
                <w:sz w:val="21"/>
                <w:szCs w:val="21"/>
                <w:rtl/>
              </w:rPr>
              <w:t xml:space="preserve">جمع دارایی‌ها</w:t>
            </w:r>
          </w:p>
        </w:tc>
        <w:tc>
          <w:tcPr/>
          <w:p>
            <w:pPr>
              <w:pStyle w:val="Compact"/>
              <w:bidi/>
            </w:pPr>
            <w:r>
              <w:rPr>
                <w:rFonts w:ascii="Tahoma" w:hAnsi="Tahoma" w:cs="Tahoma"/>
                <w:sz w:val="21"/>
                <w:szCs w:val="21"/>
                <w:rtl/>
              </w:rPr>
              <w:t xml:space="preserve">مقیاس همه‌ی نسبت‌ها، اندازه</w:t>
            </w:r>
          </w:p>
        </w:tc>
      </w:tr>
      <w:tr>
        <w:tc>
          <w:tcPr/>
          <w:p>
            <w:pPr>
              <w:pStyle w:val="Compact"/>
              <w:bidi/>
            </w:pPr>
            <w:r>
              <w:rPr>
                <w:rFonts w:ascii="Tahoma" w:hAnsi="Tahoma" w:cs="Tahoma"/>
                <w:b/>
                <w:bCs/>
                <w:sz w:val="21"/>
                <w:szCs w:val="21"/>
                <w:rtl/>
              </w:rPr>
              <w:t xml:space="preserve">TD</w:t>
            </w:r>
          </w:p>
        </w:tc>
        <w:tc>
          <w:tcPr/>
          <w:p>
            <w:pPr>
              <w:pStyle w:val="Compact"/>
              <w:bidi/>
            </w:pPr>
            <w:r>
              <w:rPr>
                <w:rFonts w:ascii="Tahoma" w:hAnsi="Tahoma" w:cs="Tahoma"/>
                <w:sz w:val="21"/>
                <w:szCs w:val="21"/>
                <w:rtl/>
              </w:rPr>
              <w:t xml:space="preserve">جمع بدهی‌ها (جاری و غیرجاری)</w:t>
            </w:r>
          </w:p>
        </w:tc>
        <w:tc>
          <w:tcPr/>
          <w:p>
            <w:pPr>
              <w:pStyle w:val="Compact"/>
              <w:bidi/>
            </w:pPr>
            <w:r>
              <w:rPr>
                <w:rFonts w:ascii="Tahoma" w:hAnsi="Tahoma" w:cs="Tahoma"/>
                <w:sz w:val="21"/>
                <w:szCs w:val="21"/>
                <w:rtl/>
              </w:rPr>
              <w:t xml:space="preserve">اهرم TDA = TD/TA.</w:t>
            </w:r>
            <w:r>
              <w:rPr>
                <w:rFonts w:ascii="Tahoma" w:hAnsi="Tahoma" w:cs="Tahoma"/>
                <w:sz w:val="21"/>
                <w:szCs w:val="21"/>
                <w:rtl/>
              </w:rPr>
              <w:t xml:space="preserve"> </w:t>
            </w:r>
            <w:r>
              <w:rPr>
                <w:rFonts w:ascii="Tahoma" w:hAnsi="Tahoma" w:cs="Tahoma"/>
                <w:b/>
                <w:bCs/>
                <w:sz w:val="21"/>
                <w:szCs w:val="21"/>
                <w:rtl/>
              </w:rPr>
              <w:t xml:space="preserve">همان تعریفی که در فایل فعلی داشتید.</w:t>
            </w:r>
          </w:p>
        </w:tc>
      </w:tr>
      <w:tr>
        <w:tc>
          <w:tcPr/>
          <w:p>
            <w:pPr>
              <w:pStyle w:val="Compact"/>
              <w:bidi/>
            </w:pPr>
            <w:r>
              <w:rPr>
                <w:rFonts w:ascii="Tahoma" w:hAnsi="Tahoma" w:cs="Tahoma"/>
                <w:b/>
                <w:bCs/>
                <w:sz w:val="21"/>
                <w:szCs w:val="21"/>
                <w:rtl/>
              </w:rPr>
              <w:t xml:space="preserve">BV</w:t>
            </w:r>
          </w:p>
        </w:tc>
        <w:tc>
          <w:tcPr/>
          <w:p>
            <w:pPr>
              <w:pStyle w:val="Compact"/>
              <w:bidi/>
            </w:pPr>
            <w:r>
              <w:rPr>
                <w:rFonts w:ascii="Tahoma" w:hAnsi="Tahoma" w:cs="Tahoma"/>
                <w:sz w:val="21"/>
                <w:szCs w:val="21"/>
                <w:rtl/>
              </w:rPr>
              <w:t xml:space="preserve">جمع حقوق صاحبان سهام</w:t>
            </w:r>
          </w:p>
        </w:tc>
        <w:tc>
          <w:tcPr/>
          <w:p>
            <w:pPr>
              <w:pStyle w:val="Compact"/>
              <w:bidi/>
            </w:pPr>
            <w:r>
              <w:rPr>
                <w:rFonts w:ascii="Tahoma" w:hAnsi="Tahoma" w:cs="Tahoma"/>
                <w:sz w:val="21"/>
                <w:szCs w:val="21"/>
                <w:rtl/>
              </w:rPr>
              <w:t xml:space="preserve">نسبت ارزش بازار به دفتری</w:t>
            </w:r>
          </w:p>
        </w:tc>
      </w:tr>
      <w:tr>
        <w:tc>
          <w:tcPr/>
          <w:p>
            <w:pPr>
              <w:pStyle w:val="Compact"/>
              <w:bidi/>
            </w:pPr>
            <w:r>
              <w:rPr>
                <w:rFonts w:ascii="Tahoma" w:hAnsi="Tahoma" w:cs="Tahoma"/>
                <w:b/>
                <w:bCs/>
                <w:sz w:val="21"/>
                <w:szCs w:val="21"/>
                <w:rtl/>
              </w:rPr>
              <w:t xml:space="preserve">PPE</w:t>
            </w:r>
          </w:p>
        </w:tc>
        <w:tc>
          <w:tcPr/>
          <w:p>
            <w:pPr>
              <w:pStyle w:val="Compact"/>
              <w:bidi/>
            </w:pPr>
            <w:r>
              <w:rPr>
                <w:rFonts w:ascii="Tahoma" w:hAnsi="Tahoma" w:cs="Tahoma"/>
                <w:sz w:val="21"/>
                <w:szCs w:val="21"/>
                <w:rtl/>
              </w:rPr>
              <w:t xml:space="preserve">دارایی‌های ثابت مشهود،</w:t>
            </w:r>
            <w:r>
              <w:rPr>
                <w:rFonts w:ascii="Tahoma" w:hAnsi="Tahoma" w:cs="Tahoma"/>
                <w:sz w:val="21"/>
                <w:szCs w:val="21"/>
                <w:rtl/>
              </w:rPr>
              <w:t xml:space="preserve"> </w:t>
            </w:r>
            <w:r>
              <w:rPr>
                <w:rFonts w:ascii="Tahoma" w:hAnsi="Tahoma" w:cs="Tahoma"/>
                <w:b/>
                <w:bCs/>
                <w:sz w:val="21"/>
                <w:szCs w:val="21"/>
                <w:rtl/>
              </w:rPr>
              <w:t xml:space="preserve">خالص</w:t>
            </w:r>
            <w:r>
              <w:rPr>
                <w:rFonts w:ascii="Tahoma" w:hAnsi="Tahoma" w:cs="Tahoma"/>
                <w:sz w:val="21"/>
                <w:szCs w:val="21"/>
                <w:rtl/>
              </w:rPr>
              <w:t xml:space="preserve"> </w:t>
            </w:r>
            <w:r>
              <w:rPr>
                <w:rFonts w:ascii="Tahoma" w:hAnsi="Tahoma" w:cs="Tahoma"/>
                <w:sz w:val="21"/>
                <w:szCs w:val="21"/>
                <w:rtl/>
              </w:rPr>
              <w:t xml:space="preserve">(بعد از استهلاک انباشته)</w:t>
            </w:r>
          </w:p>
        </w:tc>
        <w:tc>
          <w:tcPr/>
          <w:p>
            <w:pPr>
              <w:pStyle w:val="Compact"/>
              <w:bidi/>
            </w:pPr>
            <w:r>
              <w:rPr>
                <w:rFonts w:ascii="Tahoma" w:hAnsi="Tahoma" w:cs="Tahoma"/>
                <w:sz w:val="21"/>
                <w:szCs w:val="21"/>
                <w:rtl/>
              </w:rPr>
              <w:t xml:space="preserve">سرمایه‌گذاری تعهدی (R6)، وثیقه، دارایی‌های مشهود، DEA</w:t>
            </w:r>
          </w:p>
        </w:tc>
      </w:tr>
      <w:tr>
        <w:tc>
          <w:tcPr/>
          <w:p>
            <w:pPr>
              <w:pStyle w:val="Compact"/>
              <w:bidi/>
            </w:pPr>
            <w:r>
              <w:rPr>
                <w:rFonts w:ascii="Tahoma" w:hAnsi="Tahoma" w:cs="Tahoma"/>
                <w:b/>
                <w:bCs/>
                <w:sz w:val="21"/>
                <w:szCs w:val="21"/>
                <w:rtl/>
              </w:rPr>
              <w:t xml:space="preserve">IA</w:t>
            </w:r>
          </w:p>
        </w:tc>
        <w:tc>
          <w:tcPr/>
          <w:p>
            <w:pPr>
              <w:pStyle w:val="Compact"/>
              <w:bidi/>
            </w:pPr>
            <w:r>
              <w:rPr>
                <w:rFonts w:ascii="Tahoma" w:hAnsi="Tahoma" w:cs="Tahoma"/>
                <w:sz w:val="21"/>
                <w:szCs w:val="21"/>
                <w:rtl/>
              </w:rPr>
              <w:t xml:space="preserve">دارایی‌های نامشهود، خالص</w:t>
            </w:r>
          </w:p>
        </w:tc>
        <w:tc>
          <w:tcPr/>
          <w:p>
            <w:pPr>
              <w:pStyle w:val="Compact"/>
              <w:bidi/>
            </w:pPr>
            <w:r>
              <w:rPr>
                <w:rFonts w:ascii="Tahoma" w:hAnsi="Tahoma" w:cs="Tahoma"/>
                <w:sz w:val="21"/>
                <w:szCs w:val="21"/>
                <w:rtl/>
              </w:rPr>
              <w:t xml:space="preserve">سرمایه‌گذاری تعهدی، DEA</w:t>
            </w:r>
          </w:p>
        </w:tc>
      </w:tr>
      <w:tr>
        <w:tc>
          <w:tcPr/>
          <w:p>
            <w:pPr>
              <w:pStyle w:val="Compact"/>
              <w:bidi/>
            </w:pPr>
            <w:r>
              <w:rPr>
                <w:rFonts w:ascii="Tahoma" w:hAnsi="Tahoma" w:cs="Tahoma"/>
                <w:b/>
                <w:bCs/>
                <w:sz w:val="21"/>
                <w:szCs w:val="21"/>
                <w:rtl/>
              </w:rPr>
              <w:t xml:space="preserve">INV</w:t>
            </w:r>
          </w:p>
        </w:tc>
        <w:tc>
          <w:tcPr/>
          <w:p>
            <w:pPr>
              <w:pStyle w:val="Compact"/>
              <w:bidi/>
            </w:pPr>
            <w:r>
              <w:rPr>
                <w:rFonts w:ascii="Tahoma" w:hAnsi="Tahoma" w:cs="Tahoma"/>
                <w:sz w:val="21"/>
                <w:szCs w:val="21"/>
                <w:rtl/>
              </w:rPr>
              <w:t xml:space="preserve">موجودی مواد و کالا</w:t>
            </w:r>
          </w:p>
        </w:tc>
        <w:tc>
          <w:tcPr/>
          <w:p>
            <w:pPr>
              <w:pStyle w:val="Compact"/>
              <w:bidi/>
            </w:pPr>
            <w:r>
              <w:rPr>
                <w:rFonts w:ascii="Tahoma" w:hAnsi="Tahoma" w:cs="Tahoma"/>
                <w:sz w:val="21"/>
                <w:szCs w:val="21"/>
                <w:rtl/>
              </w:rPr>
              <w:t xml:space="preserve">وثیقه (COL)</w:t>
            </w:r>
          </w:p>
        </w:tc>
      </w:tr>
    </w:tbl>
    <w:bookmarkEnd w:id="14"/>
    <w:bookmarkStart w:id="15" w:name="صورت-سود-و-زیان"/>
    <w:p>
      <w:pPr>
        <w:pStyle w:val="Heading2"/>
        <w:bidi/>
      </w:pPr>
      <w:r>
        <w:rPr>
          <w:rFonts w:ascii="Tahoma" w:hAnsi="Tahoma" w:cs="Tahoma"/>
          <w:sz w:val="21"/>
          <w:szCs w:val="21"/>
          <w:rtl/>
        </w:rPr>
        <w:t xml:space="preserve">۴.۴ صورت سود و زیان</w:t>
      </w:r>
    </w:p>
    <w:tbl>
      <w:tblPr>
        <w:tblStyle w:val="Table"/>
        <w:bidiVisu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640"/>
        <w:gridCol w:w="2640"/>
        <w:gridCol w:w="2640"/>
      </w:tblGrid>
      <w:tr>
        <w:trPr>
          <w:tblHeader w:val="on"/>
        </w:trPr>
        <w:tc>
          <w:tcPr>
            <w:shd w:val="clear" w:color="auto" w:fill="E8ECF3"/>
          </w:tcPr>
          <w:p>
            <w:pPr>
              <w:pStyle w:val="Compact"/>
              <w:bidi/>
            </w:pPr>
            <w:r>
              <w:rPr>
                <w:rFonts w:ascii="Tahoma" w:hAnsi="Tahoma" w:cs="Tahoma"/>
                <w:b/>
                <w:sz w:val="21"/>
                <w:szCs w:val="21"/>
                <w:rtl/>
              </w:rPr>
              <w:t xml:space="preserve">ستون</w:t>
            </w:r>
          </w:p>
        </w:tc>
        <w:tc>
          <w:tcPr>
            <w:shd w:val="clear" w:color="auto" w:fill="E8ECF3"/>
          </w:tcPr>
          <w:p>
            <w:pPr>
              <w:pStyle w:val="Compact"/>
              <w:bidi/>
            </w:pPr>
            <w:r>
              <w:rPr>
                <w:rFonts w:ascii="Tahoma" w:hAnsi="Tahoma" w:cs="Tahoma"/>
                <w:b/>
                <w:sz w:val="21"/>
                <w:szCs w:val="21"/>
                <w:rtl/>
              </w:rPr>
              <w:t xml:space="preserve">قلم صورت مالی</w:t>
            </w:r>
          </w:p>
        </w:tc>
        <w:tc>
          <w:tcPr>
            <w:shd w:val="clear" w:color="auto" w:fill="E8ECF3"/>
          </w:tcPr>
          <w:p>
            <w:pPr>
              <w:pStyle w:val="Compact"/>
              <w:bidi/>
            </w:pPr>
            <w:r>
              <w:rPr>
                <w:rFonts w:ascii="Tahoma" w:hAnsi="Tahoma" w:cs="Tahoma"/>
                <w:b/>
                <w:sz w:val="21"/>
                <w:szCs w:val="21"/>
                <w:rtl/>
              </w:rPr>
              <w:t xml:space="preserve">کاربرد در مدل</w:t>
            </w:r>
          </w:p>
        </w:tc>
      </w:tr>
      <w:tr>
        <w:tc>
          <w:tcPr/>
          <w:p>
            <w:pPr>
              <w:pStyle w:val="Compact"/>
              <w:bidi/>
            </w:pPr>
            <w:r>
              <w:rPr>
                <w:rFonts w:ascii="Tahoma" w:hAnsi="Tahoma" w:cs="Tahoma"/>
                <w:b/>
                <w:bCs/>
                <w:sz w:val="21"/>
                <w:szCs w:val="21"/>
                <w:rtl/>
              </w:rPr>
              <w:t xml:space="preserve">Sales</w:t>
            </w:r>
          </w:p>
        </w:tc>
        <w:tc>
          <w:tcPr/>
          <w:p>
            <w:pPr>
              <w:pStyle w:val="Compact"/>
              <w:bidi/>
            </w:pPr>
            <w:r>
              <w:rPr>
                <w:rFonts w:ascii="Tahoma" w:hAnsi="Tahoma" w:cs="Tahoma"/>
                <w:sz w:val="21"/>
                <w:szCs w:val="21"/>
                <w:rtl/>
              </w:rPr>
              <w:t xml:space="preserve">درآمدهای عملیاتی (فروش خالص)</w:t>
            </w:r>
          </w:p>
        </w:tc>
        <w:tc>
          <w:tcPr/>
          <w:p>
            <w:pPr>
              <w:pStyle w:val="Compact"/>
              <w:bidi/>
            </w:pPr>
            <w:r>
              <w:rPr>
                <w:rFonts w:ascii="Tahoma" w:hAnsi="Tahoma" w:cs="Tahoma"/>
                <w:sz w:val="21"/>
                <w:szCs w:val="21"/>
                <w:rtl/>
              </w:rPr>
              <w:t xml:space="preserve">رشد فروش، خروجی DEA، نوسان فروش</w:t>
            </w:r>
          </w:p>
        </w:tc>
      </w:tr>
      <w:tr>
        <w:tc>
          <w:tcPr/>
          <w:p>
            <w:pPr>
              <w:pStyle w:val="Compact"/>
              <w:bidi/>
            </w:pPr>
            <w:r>
              <w:rPr>
                <w:rFonts w:ascii="Tahoma" w:hAnsi="Tahoma" w:cs="Tahoma"/>
                <w:b/>
                <w:bCs/>
                <w:sz w:val="21"/>
                <w:szCs w:val="21"/>
                <w:rtl/>
              </w:rPr>
              <w:t xml:space="preserve">COGS</w:t>
            </w:r>
          </w:p>
        </w:tc>
        <w:tc>
          <w:tcPr/>
          <w:p>
            <w:pPr>
              <w:pStyle w:val="Compact"/>
              <w:bidi/>
            </w:pPr>
            <w:r>
              <w:rPr>
                <w:rFonts w:ascii="Tahoma" w:hAnsi="Tahoma" w:cs="Tahoma"/>
                <w:sz w:val="21"/>
                <w:szCs w:val="21"/>
                <w:rtl/>
              </w:rPr>
              <w:t xml:space="preserve">بهای تمام‌شده‌ی درآمدهای عملیاتی</w:t>
            </w:r>
          </w:p>
        </w:tc>
        <w:tc>
          <w:tcPr/>
          <w:p>
            <w:pPr>
              <w:pStyle w:val="Compact"/>
              <w:bidi/>
            </w:pPr>
            <w:r>
              <w:rPr>
                <w:rFonts w:ascii="Tahoma" w:hAnsi="Tahoma" w:cs="Tahoma"/>
                <w:sz w:val="21"/>
                <w:szCs w:val="21"/>
                <w:rtl/>
              </w:rPr>
              <w:t xml:space="preserve">ورودی DEA</w:t>
            </w:r>
          </w:p>
        </w:tc>
      </w:tr>
      <w:tr>
        <w:tc>
          <w:tcPr/>
          <w:p>
            <w:pPr>
              <w:pStyle w:val="Compact"/>
              <w:bidi/>
            </w:pPr>
            <w:r>
              <w:rPr>
                <w:rFonts w:ascii="Tahoma" w:hAnsi="Tahoma" w:cs="Tahoma"/>
                <w:b/>
                <w:bCs/>
                <w:sz w:val="21"/>
                <w:szCs w:val="21"/>
                <w:rtl/>
              </w:rPr>
              <w:t xml:space="preserve">SGA</w:t>
            </w:r>
          </w:p>
        </w:tc>
        <w:tc>
          <w:tcPr/>
          <w:p>
            <w:pPr>
              <w:pStyle w:val="Compact"/>
              <w:bidi/>
            </w:pPr>
            <w:r>
              <w:rPr>
                <w:rFonts w:ascii="Tahoma" w:hAnsi="Tahoma" w:cs="Tahoma"/>
                <w:sz w:val="21"/>
                <w:szCs w:val="21"/>
                <w:rtl/>
              </w:rPr>
              <w:t xml:space="preserve">هزینه‌های فروش، اداری و عمومی</w:t>
            </w:r>
          </w:p>
        </w:tc>
        <w:tc>
          <w:tcPr/>
          <w:p>
            <w:pPr>
              <w:pStyle w:val="Compact"/>
              <w:bidi/>
            </w:pPr>
            <w:r>
              <w:rPr>
                <w:rFonts w:ascii="Tahoma" w:hAnsi="Tahoma" w:cs="Tahoma"/>
                <w:sz w:val="21"/>
                <w:szCs w:val="21"/>
                <w:rtl/>
              </w:rPr>
              <w:t xml:space="preserve">ورودی DEA</w:t>
            </w:r>
          </w:p>
        </w:tc>
      </w:tr>
      <w:tr>
        <w:tc>
          <w:tcPr/>
          <w:p>
            <w:pPr>
              <w:pStyle w:val="Compact"/>
              <w:bidi/>
            </w:pPr>
            <w:r>
              <w:rPr>
                <w:rFonts w:ascii="Tahoma" w:hAnsi="Tahoma" w:cs="Tahoma"/>
                <w:b/>
                <w:bCs/>
                <w:sz w:val="21"/>
                <w:szCs w:val="21"/>
                <w:rtl/>
              </w:rPr>
              <w:t xml:space="preserve">OI</w:t>
            </w:r>
          </w:p>
        </w:tc>
        <w:tc>
          <w:tcPr/>
          <w:p>
            <w:pPr>
              <w:pStyle w:val="Compact"/>
              <w:bidi/>
            </w:pPr>
            <w:r>
              <w:rPr>
                <w:rFonts w:ascii="Tahoma" w:hAnsi="Tahoma" w:cs="Tahoma"/>
                <w:sz w:val="21"/>
                <w:szCs w:val="21"/>
                <w:rtl/>
              </w:rPr>
              <w:t xml:space="preserve">سود (زیان) عملیاتی</w:t>
            </w:r>
          </w:p>
        </w:tc>
        <w:tc>
          <w:tcPr/>
          <w:p>
            <w:pPr>
              <w:pStyle w:val="Compact"/>
              <w:bidi/>
            </w:pPr>
            <w:r>
              <w:rPr>
                <w:rFonts w:ascii="Tahoma" w:hAnsi="Tahoma" w:cs="Tahoma"/>
                <w:sz w:val="21"/>
                <w:szCs w:val="21"/>
                <w:rtl/>
              </w:rPr>
              <w:t xml:space="preserve">سودآوری، متغیر زیان</w:t>
            </w:r>
          </w:p>
        </w:tc>
      </w:tr>
      <w:tr>
        <w:tc>
          <w:tcPr/>
          <w:p>
            <w:pPr>
              <w:pStyle w:val="Compact"/>
              <w:bidi/>
            </w:pPr>
            <w:r>
              <w:rPr>
                <w:rFonts w:ascii="Tahoma" w:hAnsi="Tahoma" w:cs="Tahoma"/>
                <w:b/>
                <w:bCs/>
                <w:sz w:val="21"/>
                <w:szCs w:val="21"/>
                <w:rtl/>
              </w:rPr>
              <w:t xml:space="preserve">FinExp</w:t>
            </w:r>
          </w:p>
        </w:tc>
        <w:tc>
          <w:tcPr/>
          <w:p>
            <w:pPr>
              <w:pStyle w:val="Compact"/>
              <w:bidi/>
            </w:pPr>
            <w:r>
              <w:rPr>
                <w:rFonts w:ascii="Tahoma" w:hAnsi="Tahoma" w:cs="Tahoma"/>
                <w:sz w:val="21"/>
                <w:szCs w:val="21"/>
                <w:rtl/>
              </w:rPr>
              <w:t xml:space="preserve">هزینه‌های مالی</w:t>
            </w:r>
          </w:p>
        </w:tc>
        <w:tc>
          <w:tcPr/>
          <w:p>
            <w:pPr>
              <w:pStyle w:val="Compact"/>
              <w:bidi/>
            </w:pPr>
            <w:r>
              <w:rPr>
                <w:rFonts w:ascii="Tahoma" w:hAnsi="Tahoma" w:cs="Tahoma"/>
                <w:sz w:val="21"/>
                <w:szCs w:val="21"/>
                <w:rtl/>
              </w:rPr>
              <w:t xml:space="preserve">بار بهره (IOB) در مدل اهرم هدف</w:t>
            </w:r>
          </w:p>
        </w:tc>
      </w:tr>
    </w:tbl>
    <w:bookmarkEnd w:id="15"/>
    <w:bookmarkStart w:id="16" w:name="صورت-جریان-وجوه-نقد-مهمترین-بخش"/>
    <w:p>
      <w:pPr>
        <w:pStyle w:val="Heading2"/>
        <w:bidi/>
      </w:pPr>
      <w:r>
        <w:rPr>
          <w:rFonts w:ascii="Tahoma" w:hAnsi="Tahoma" w:cs="Tahoma"/>
          <w:sz w:val="21"/>
          <w:szCs w:val="21"/>
          <w:rtl/>
        </w:rPr>
        <w:t xml:space="preserve">۴.۵ صورت جریان وجوه نقد: مهم‌ترین بخش</w:t>
      </w:r>
    </w:p>
    <w:tbl>
      <w:tblPr>
        <w:tblStyle w:val="Table"/>
        <w:bidiVisual/>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tblPr>
      <w:tblGrid>
        <w:gridCol w:w="3960"/>
        <w:gridCol w:w="3960"/>
      </w:tblGrid>
      <w:tr>
        <w:trPr>
          <w:tblHeader w:val="on"/>
        </w:trPr>
        <w:tc>
          <w:tcPr>
            <w:shd w:val="clear" w:color="auto" w:fill="E8ECF3"/>
          </w:tcPr>
          <w:p>
            <w:pPr>
              <w:pStyle w:val="Compact"/>
              <w:bidi/>
            </w:pPr>
            <w:r>
              <w:rPr>
                <w:rFonts w:ascii="Tahoma" w:hAnsi="Tahoma" w:cs="Tahoma"/>
                <w:b/>
                <w:sz w:val="21"/>
                <w:szCs w:val="21"/>
                <w:rtl/>
              </w:rPr>
              <w:t xml:space="preserve">ستون</w:t>
            </w:r>
          </w:p>
        </w:tc>
        <w:tc>
          <w:tcPr>
            <w:shd w:val="clear" w:color="auto" w:fill="E8ECF3"/>
          </w:tcPr>
          <w:p>
            <w:pPr>
              <w:pStyle w:val="Compact"/>
              <w:bidi/>
            </w:pPr>
            <w:r>
              <w:rPr>
                <w:rFonts w:ascii="Tahoma" w:hAnsi="Tahoma" w:cs="Tahoma"/>
                <w:b/>
                <w:sz w:val="21"/>
                <w:szCs w:val="21"/>
                <w:rtl/>
              </w:rPr>
              <w:t xml:space="preserve">تعریف (طبقه‌بندی ۳ گانه)</w:t>
            </w:r>
          </w:p>
        </w:tc>
      </w:tr>
      <w:tr>
        <w:tc>
          <w:tcPr/>
          <w:p>
            <w:pPr>
              <w:pStyle w:val="Compact"/>
              <w:bidi/>
            </w:pPr>
            <w:r>
              <w:rPr>
                <w:rFonts w:ascii="Tahoma" w:hAnsi="Tahoma" w:cs="Tahoma"/>
                <w:b/>
                <w:bCs/>
                <w:sz w:val="21"/>
                <w:szCs w:val="21"/>
                <w:rtl/>
              </w:rPr>
              <w:t xml:space="preserve">CFO</w:t>
            </w:r>
          </w:p>
        </w:tc>
        <w:tc>
          <w:tcPr/>
          <w:p>
            <w:pPr>
              <w:pStyle w:val="Compact"/>
              <w:bidi/>
            </w:pPr>
            <w:r>
              <w:rPr>
                <w:rFonts w:ascii="Tahoma" w:hAnsi="Tahoma" w:cs="Tahoma"/>
                <w:sz w:val="21"/>
                <w:szCs w:val="21"/>
                <w:rtl/>
              </w:rPr>
              <w:t xml:space="preserve">جریان خالص ورود (خروج) نقد حاصل از فعالیت‌های عملیاتی</w:t>
            </w:r>
          </w:p>
        </w:tc>
      </w:tr>
      <w:tr>
        <w:tc>
          <w:tcPr/>
          <w:p>
            <w:pPr>
              <w:pStyle w:val="Compact"/>
              <w:bidi/>
            </w:pPr>
            <w:r>
              <w:rPr>
                <w:rFonts w:ascii="Tahoma" w:hAnsi="Tahoma" w:cs="Tahoma"/>
                <w:b/>
                <w:bCs/>
                <w:sz w:val="21"/>
                <w:szCs w:val="21"/>
                <w:rtl/>
              </w:rPr>
              <w:t xml:space="preserve">CFI</w:t>
            </w:r>
          </w:p>
        </w:tc>
        <w:tc>
          <w:tcPr/>
          <w:p>
            <w:pPr>
              <w:pStyle w:val="Compact"/>
              <w:bidi/>
            </w:pPr>
            <w:r>
              <w:rPr>
                <w:rFonts w:ascii="Tahoma" w:hAnsi="Tahoma" w:cs="Tahoma"/>
                <w:sz w:val="21"/>
                <w:szCs w:val="21"/>
                <w:rtl/>
              </w:rPr>
              <w:t xml:space="preserve">جریان خالص ورود (خروج) نقد حاصل از فعالیت‌های سرمایه‌گذاری</w:t>
            </w:r>
          </w:p>
        </w:tc>
      </w:tr>
      <w:tr>
        <w:tc>
          <w:tcPr/>
          <w:p>
            <w:pPr>
              <w:pStyle w:val="Compact"/>
              <w:bidi/>
            </w:pPr>
            <w:r>
              <w:rPr>
                <w:rFonts w:ascii="Tahoma" w:hAnsi="Tahoma" w:cs="Tahoma"/>
                <w:b/>
                <w:bCs/>
                <w:sz w:val="21"/>
                <w:szCs w:val="21"/>
                <w:rtl/>
              </w:rPr>
              <w:t xml:space="preserve">CFF</w:t>
            </w:r>
          </w:p>
        </w:tc>
        <w:tc>
          <w:tcPr/>
          <w:p>
            <w:pPr>
              <w:pStyle w:val="Compact"/>
              <w:bidi/>
            </w:pPr>
            <w:r>
              <w:rPr>
                <w:rFonts w:ascii="Tahoma" w:hAnsi="Tahoma" w:cs="Tahoma"/>
                <w:sz w:val="21"/>
                <w:szCs w:val="21"/>
                <w:rtl/>
              </w:rPr>
              <w:t xml:space="preserve">جریان خالص ورود (خروج) نقد حاصل از فعالیت‌های تأمین مالی</w:t>
            </w:r>
          </w:p>
        </w:tc>
      </w:tr>
    </w:tbl>
    <w:p>
      <w:pPr>
        <w:bidi/>
      </w:pPr>
      <w:r>
        <w:rPr>
          <w:rFonts w:ascii="Tahoma" w:hAnsi="Tahoma" w:cs="Tahoma"/>
          <w:sz w:val="21"/>
          <w:szCs w:val="21"/>
          <w:rtl/>
        </w:rPr>
        <w:t xml:space="preserve">فکر می‌کنم استاندارد حسابداری شماره‌ی ۲ ایران حدود سال ۱۳۹۸ بازنگری شد و صورت جریان وجوه نقد از ۵ طبقه به ۳ طبقه رسید. سال دقیق این تغییر را در منبع داده‌تان چک کنید.</w:t>
      </w:r>
      <w:r>
        <w:rPr>
          <w:rFonts w:ascii="Tahoma" w:hAnsi="Tahoma" w:cs="Tahoma"/>
          <w:sz w:val="21"/>
          <w:szCs w:val="21"/>
          <w:rtl/>
        </w:rPr>
        <w:t xml:space="preserve"> </w:t>
      </w:r>
      <w:r>
        <w:rPr>
          <w:rFonts w:ascii="Tahoma" w:hAnsi="Tahoma" w:cs="Tahoma"/>
          <w:b/>
          <w:bCs/>
          <w:sz w:val="21"/>
          <w:szCs w:val="21"/>
          <w:rtl/>
        </w:rPr>
        <w:t xml:space="preserve">سال‌های قبل از آن باید به ۳ طبقه تبدیل شوند</w:t>
      </w:r>
      <w:r>
        <w:rPr>
          <w:rFonts w:ascii="Tahoma" w:hAnsi="Tahoma" w:cs="Tahoma"/>
          <w:sz w:val="21"/>
          <w:szCs w:val="21"/>
          <w:rtl/>
        </w:rPr>
        <w:t xml:space="preserve">، وگرنه متغیر سرمایه‌گذاری و چرخه‌ی عمر Dickinson در دو بخش دوره تعریف متفاوتی خواهند داشت:</w:t>
      </w:r>
    </w:p>
    <w:tbl>
      <w:tblPr>
        <w:tblStyle w:val="Table"/>
        <w:bidiVisual/>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tblPr>
      <w:tblGrid>
        <w:gridCol w:w="3960"/>
        <w:gridCol w:w="3960"/>
      </w:tblGrid>
      <w:tr>
        <w:trPr>
          <w:tblHeader w:val="on"/>
        </w:trPr>
        <w:tc>
          <w:tcPr>
            <w:shd w:val="clear" w:color="auto" w:fill="E8ECF3"/>
          </w:tcPr>
          <w:p>
            <w:pPr>
              <w:pStyle w:val="Compact"/>
              <w:bidi/>
            </w:pPr>
            <w:r>
              <w:rPr>
                <w:rFonts w:ascii="Tahoma" w:hAnsi="Tahoma" w:cs="Tahoma"/>
                <w:b/>
                <w:sz w:val="21"/>
                <w:szCs w:val="21"/>
                <w:rtl/>
              </w:rPr>
              <w:t xml:space="preserve">طبقه‌ی قدیم (۵ گانه)</w:t>
            </w:r>
          </w:p>
        </w:tc>
        <w:tc>
          <w:tcPr>
            <w:shd w:val="clear" w:color="auto" w:fill="E8ECF3"/>
          </w:tcPr>
          <w:p>
            <w:pPr>
              <w:pStyle w:val="Compact"/>
              <w:bidi/>
            </w:pPr>
            <w:r>
              <w:rPr>
                <w:rFonts w:ascii="Tahoma" w:hAnsi="Tahoma" w:cs="Tahoma"/>
                <w:b/>
                <w:sz w:val="21"/>
                <w:szCs w:val="21"/>
                <w:rtl/>
              </w:rPr>
              <w:t xml:space="preserve">به کدام ستون اضافه شود</w:t>
            </w:r>
          </w:p>
        </w:tc>
      </w:tr>
      <w:tr>
        <w:tc>
          <w:tcPr/>
          <w:p>
            <w:pPr>
              <w:pStyle w:val="Compact"/>
              <w:bidi/>
            </w:pPr>
            <w:r>
              <w:rPr>
                <w:rFonts w:ascii="Tahoma" w:hAnsi="Tahoma" w:cs="Tahoma"/>
                <w:sz w:val="21"/>
                <w:szCs w:val="21"/>
                <w:rtl/>
              </w:rPr>
              <w:t xml:space="preserve">فعالیت‌های عملیاتی</w:t>
            </w:r>
          </w:p>
        </w:tc>
        <w:tc>
          <w:tcPr/>
          <w:p>
            <w:pPr>
              <w:pStyle w:val="Compact"/>
              <w:bidi/>
            </w:pPr>
            <w:r>
              <w:rPr>
                <w:rFonts w:ascii="Tahoma" w:hAnsi="Tahoma" w:cs="Tahoma"/>
                <w:sz w:val="21"/>
                <w:szCs w:val="21"/>
                <w:rtl/>
              </w:rPr>
              <w:t xml:space="preserve">CFO</w:t>
            </w:r>
          </w:p>
        </w:tc>
      </w:tr>
      <w:tr>
        <w:tc>
          <w:tcPr/>
          <w:p>
            <w:pPr>
              <w:pStyle w:val="Compact"/>
              <w:bidi/>
            </w:pPr>
            <w:r>
              <w:rPr>
                <w:rFonts w:ascii="Tahoma" w:hAnsi="Tahoma" w:cs="Tahoma"/>
                <w:sz w:val="21"/>
                <w:szCs w:val="21"/>
                <w:rtl/>
              </w:rPr>
              <w:t xml:space="preserve">مالیات بر درآمد پرداختی</w:t>
            </w:r>
          </w:p>
        </w:tc>
        <w:tc>
          <w:tcPr/>
          <w:p>
            <w:pPr>
              <w:pStyle w:val="Compact"/>
              <w:bidi/>
            </w:pPr>
            <w:r>
              <w:rPr>
                <w:rFonts w:ascii="Tahoma" w:hAnsi="Tahoma" w:cs="Tahoma"/>
                <w:sz w:val="21"/>
                <w:szCs w:val="21"/>
                <w:rtl/>
              </w:rPr>
              <w:t xml:space="preserve">CFO</w:t>
            </w:r>
          </w:p>
        </w:tc>
      </w:tr>
      <w:tr>
        <w:tc>
          <w:tcPr/>
          <w:p>
            <w:pPr>
              <w:pStyle w:val="Compact"/>
              <w:bidi/>
            </w:pPr>
            <w:r>
              <w:rPr>
                <w:rFonts w:ascii="Tahoma" w:hAnsi="Tahoma" w:cs="Tahoma"/>
                <w:sz w:val="21"/>
                <w:szCs w:val="21"/>
                <w:rtl/>
              </w:rPr>
              <w:t xml:space="preserve">سود سهام دریافتی و سود دریافتی بابت سپرده‌ها و سرمایه‌گذاری‌ها</w:t>
            </w:r>
          </w:p>
        </w:tc>
        <w:tc>
          <w:tcPr/>
          <w:p>
            <w:pPr>
              <w:pStyle w:val="Compact"/>
              <w:bidi/>
            </w:pPr>
            <w:r>
              <w:rPr>
                <w:rFonts w:ascii="Tahoma" w:hAnsi="Tahoma" w:cs="Tahoma"/>
                <w:sz w:val="21"/>
                <w:szCs w:val="21"/>
                <w:rtl/>
              </w:rPr>
              <w:t xml:space="preserve">CFI</w:t>
            </w:r>
          </w:p>
        </w:tc>
      </w:tr>
      <w:tr>
        <w:tc>
          <w:tcPr/>
          <w:p>
            <w:pPr>
              <w:pStyle w:val="Compact"/>
              <w:bidi/>
            </w:pPr>
            <w:r>
              <w:rPr>
                <w:rFonts w:ascii="Tahoma" w:hAnsi="Tahoma" w:cs="Tahoma"/>
                <w:sz w:val="21"/>
                <w:szCs w:val="21"/>
                <w:rtl/>
              </w:rPr>
              <w:t xml:space="preserve">سود پرداختی بابت تسهیلات</w:t>
            </w:r>
          </w:p>
        </w:tc>
        <w:tc>
          <w:tcPr/>
          <w:p>
            <w:pPr>
              <w:pStyle w:val="Compact"/>
              <w:bidi/>
            </w:pPr>
            <w:r>
              <w:rPr>
                <w:rFonts w:ascii="Tahoma" w:hAnsi="Tahoma" w:cs="Tahoma"/>
                <w:sz w:val="21"/>
                <w:szCs w:val="21"/>
                <w:rtl/>
              </w:rPr>
              <w:t xml:space="preserve">CFF</w:t>
            </w:r>
          </w:p>
        </w:tc>
      </w:tr>
      <w:tr>
        <w:tc>
          <w:tcPr/>
          <w:p>
            <w:pPr>
              <w:pStyle w:val="Compact"/>
              <w:bidi/>
            </w:pPr>
            <w:r>
              <w:rPr>
                <w:rFonts w:ascii="Tahoma" w:hAnsi="Tahoma" w:cs="Tahoma"/>
                <w:sz w:val="21"/>
                <w:szCs w:val="21"/>
                <w:rtl/>
              </w:rPr>
              <w:t xml:space="preserve">سود سهام پرداختی</w:t>
            </w:r>
          </w:p>
        </w:tc>
        <w:tc>
          <w:tcPr/>
          <w:p>
            <w:pPr>
              <w:pStyle w:val="Compact"/>
              <w:bidi/>
            </w:pPr>
            <w:r>
              <w:rPr>
                <w:rFonts w:ascii="Tahoma" w:hAnsi="Tahoma" w:cs="Tahoma"/>
                <w:sz w:val="21"/>
                <w:szCs w:val="21"/>
                <w:rtl/>
              </w:rPr>
              <w:t xml:space="preserve">CFF</w:t>
            </w:r>
          </w:p>
        </w:tc>
      </w:tr>
      <w:tr>
        <w:tc>
          <w:tcPr/>
          <w:p>
            <w:pPr>
              <w:pStyle w:val="Compact"/>
              <w:bidi/>
            </w:pPr>
            <w:r>
              <w:rPr>
                <w:rFonts w:ascii="Tahoma" w:hAnsi="Tahoma" w:cs="Tahoma"/>
                <w:sz w:val="21"/>
                <w:szCs w:val="21"/>
                <w:rtl/>
              </w:rPr>
              <w:t xml:space="preserve">فعالیت‌های سرمایه‌گذاری</w:t>
            </w:r>
          </w:p>
        </w:tc>
        <w:tc>
          <w:tcPr/>
          <w:p>
            <w:pPr>
              <w:pStyle w:val="Compact"/>
              <w:bidi/>
            </w:pPr>
            <w:r>
              <w:rPr>
                <w:rFonts w:ascii="Tahoma" w:hAnsi="Tahoma" w:cs="Tahoma"/>
                <w:sz w:val="21"/>
                <w:szCs w:val="21"/>
                <w:rtl/>
              </w:rPr>
              <w:t xml:space="preserve">CFI</w:t>
            </w:r>
          </w:p>
        </w:tc>
      </w:tr>
      <w:tr>
        <w:tc>
          <w:tcPr/>
          <w:p>
            <w:pPr>
              <w:pStyle w:val="Compact"/>
              <w:bidi/>
            </w:pPr>
            <w:r>
              <w:rPr>
                <w:rFonts w:ascii="Tahoma" w:hAnsi="Tahoma" w:cs="Tahoma"/>
                <w:sz w:val="21"/>
                <w:szCs w:val="21"/>
                <w:rtl/>
              </w:rPr>
              <w:t xml:space="preserve">فعالیت‌های تأمین مالی</w:t>
            </w:r>
          </w:p>
        </w:tc>
        <w:tc>
          <w:tcPr/>
          <w:p>
            <w:pPr>
              <w:pStyle w:val="Compact"/>
              <w:bidi/>
            </w:pPr>
            <w:r>
              <w:rPr>
                <w:rFonts w:ascii="Tahoma" w:hAnsi="Tahoma" w:cs="Tahoma"/>
                <w:sz w:val="21"/>
                <w:szCs w:val="21"/>
                <w:rtl/>
              </w:rPr>
              <w:t xml:space="preserve">CFF</w:t>
            </w:r>
          </w:p>
        </w:tc>
      </w:tr>
    </w:tbl>
    <w:p>
      <w:pPr>
        <w:bidi/>
      </w:pPr>
      <w:r>
        <w:rPr>
          <w:rFonts w:ascii="Tahoma" w:hAnsi="Tahoma" w:cs="Tahoma"/>
          <w:sz w:val="21"/>
          <w:szCs w:val="21"/>
          <w:rtl/>
        </w:rPr>
        <w:t xml:space="preserve">این تبدیل همان روشی است که خود استاندارد جدید برای ارقام مقایسه‌ای به کار برده است. اگر پایگاه داده‌تان (مثلاً ره‌آورد نوین) سال‌های قدیم را خودش به ۳ طبقه تبدیل کرده، فقط این را برای چند شرکت با Codal مقایسه و تأیید کنید.</w:t>
      </w:r>
    </w:p>
    <w:p>
      <w:pPr>
        <w:bidi/>
      </w:pPr>
      <w:r>
        <w:rPr>
          <w:rFonts w:ascii="Tahoma" w:hAnsi="Tahoma" w:cs="Tahoma"/>
          <w:b/>
          <w:bCs/>
          <w:sz w:val="21"/>
          <w:szCs w:val="21"/>
          <w:rtl/>
        </w:rPr>
        <w:t xml:space="preserve">آزمون کنترلی:</w:t>
      </w:r>
      <w:r>
        <w:rPr>
          <w:rFonts w:ascii="Tahoma" w:hAnsi="Tahoma" w:cs="Tahoma"/>
          <w:sz w:val="21"/>
          <w:szCs w:val="21"/>
          <w:rtl/>
        </w:rPr>
        <w:t xml:space="preserve"> </w:t>
      </w:r>
      <w:r>
        <w:rPr>
          <w:rFonts w:ascii="Tahoma" w:hAnsi="Tahoma" w:cs="Tahoma"/>
          <w:sz w:val="21"/>
          <w:szCs w:val="21"/>
          <w:rtl/>
        </w:rPr>
        <w:t xml:space="preserve">برای هر سال-شرکت، CFO + CFI + CFF باید با تغییر وجه نقد (به‌علاوه‌ی اثر نرخ ارز) برابر باشد.</w:t>
      </w:r>
    </w:p>
    <w:bookmarkEnd w:id="16"/>
    <w:bookmarkStart w:id="17" w:name="بازار"/>
    <w:p>
      <w:pPr>
        <w:pStyle w:val="Heading2"/>
        <w:bidi/>
      </w:pPr>
      <w:r>
        <w:rPr>
          <w:rFonts w:ascii="Tahoma" w:hAnsi="Tahoma" w:cs="Tahoma"/>
          <w:sz w:val="21"/>
          <w:szCs w:val="21"/>
          <w:rtl/>
        </w:rPr>
        <w:t xml:space="preserve">۴.۶ بازار</w:t>
      </w:r>
    </w:p>
    <w:tbl>
      <w:tblPr>
        <w:tblStyle w:val="Table"/>
        <w:bidiVisu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640"/>
        <w:gridCol w:w="2640"/>
        <w:gridCol w:w="2640"/>
      </w:tblGrid>
      <w:tr>
        <w:trPr>
          <w:tblHeader w:val="on"/>
        </w:trPr>
        <w:tc>
          <w:tcPr>
            <w:shd w:val="clear" w:color="auto" w:fill="E8ECF3"/>
          </w:tcPr>
          <w:p>
            <w:pPr>
              <w:pStyle w:val="Compact"/>
              <w:bidi/>
            </w:pPr>
            <w:r>
              <w:rPr>
                <w:rFonts w:ascii="Tahoma" w:hAnsi="Tahoma" w:cs="Tahoma"/>
                <w:b/>
                <w:sz w:val="21"/>
                <w:szCs w:val="21"/>
                <w:rtl/>
              </w:rPr>
              <w:t xml:space="preserve">ستون</w:t>
            </w:r>
          </w:p>
        </w:tc>
        <w:tc>
          <w:tcPr>
            <w:shd w:val="clear" w:color="auto" w:fill="E8ECF3"/>
          </w:tcPr>
          <w:p>
            <w:pPr>
              <w:pStyle w:val="Compact"/>
              <w:bidi/>
            </w:pPr>
            <w:r>
              <w:rPr>
                <w:rFonts w:ascii="Tahoma" w:hAnsi="Tahoma" w:cs="Tahoma"/>
                <w:b/>
                <w:sz w:val="21"/>
                <w:szCs w:val="21"/>
                <w:rtl/>
              </w:rPr>
              <w:t xml:space="preserve">تعریف</w:t>
            </w:r>
          </w:p>
        </w:tc>
        <w:tc>
          <w:tcPr>
            <w:shd w:val="clear" w:color="auto" w:fill="E8ECF3"/>
          </w:tcPr>
          <w:p>
            <w:pPr>
              <w:pStyle w:val="Compact"/>
              <w:bidi/>
            </w:pPr>
            <w:r>
              <w:rPr>
                <w:rFonts w:ascii="Tahoma" w:hAnsi="Tahoma" w:cs="Tahoma"/>
                <w:b/>
                <w:sz w:val="21"/>
                <w:szCs w:val="21"/>
                <w:rtl/>
              </w:rPr>
              <w:t xml:space="preserve">توضیح</w:t>
            </w:r>
          </w:p>
        </w:tc>
      </w:tr>
      <w:tr>
        <w:tc>
          <w:tcPr/>
          <w:p>
            <w:pPr>
              <w:pStyle w:val="Compact"/>
              <w:bidi/>
            </w:pPr>
            <w:r>
              <w:rPr>
                <w:rFonts w:ascii="Tahoma" w:hAnsi="Tahoma" w:cs="Tahoma"/>
                <w:b/>
                <w:bCs/>
                <w:sz w:val="21"/>
                <w:szCs w:val="21"/>
                <w:rtl/>
              </w:rPr>
              <w:t xml:space="preserve">MV</w:t>
            </w:r>
          </w:p>
        </w:tc>
        <w:tc>
          <w:tcPr/>
          <w:p>
            <w:pPr>
              <w:pStyle w:val="Compact"/>
              <w:bidi/>
            </w:pPr>
            <w:r>
              <w:rPr>
                <w:rFonts w:ascii="Tahoma" w:hAnsi="Tahoma" w:cs="Tahoma"/>
                <w:sz w:val="21"/>
                <w:szCs w:val="21"/>
                <w:rtl/>
              </w:rPr>
              <w:t xml:space="preserve">ارزش بازار حقوق صاحبان سهام در پایان سال مالی</w:t>
            </w:r>
          </w:p>
        </w:tc>
        <w:tc>
          <w:tcPr/>
          <w:p>
            <w:pPr>
              <w:pStyle w:val="Compact"/>
              <w:bidi/>
            </w:pPr>
            <w:r>
              <w:rPr>
                <w:rFonts w:ascii="Tahoma" w:hAnsi="Tahoma" w:cs="Tahoma"/>
                <w:sz w:val="21"/>
                <w:szCs w:val="21"/>
                <w:rtl/>
              </w:rPr>
              <w:t xml:space="preserve">تعداد سهام منتشرشده × قیمت پایانی</w:t>
            </w:r>
            <w:r>
              <w:rPr>
                <w:rFonts w:ascii="Tahoma" w:hAnsi="Tahoma" w:cs="Tahoma"/>
                <w:sz w:val="21"/>
                <w:szCs w:val="21"/>
                <w:rtl/>
              </w:rPr>
              <w:t xml:space="preserve"> </w:t>
            </w:r>
            <w:r>
              <w:rPr>
                <w:rFonts w:ascii="Tahoma" w:hAnsi="Tahoma" w:cs="Tahoma"/>
                <w:b/>
                <w:bCs/>
                <w:sz w:val="21"/>
                <w:szCs w:val="21"/>
                <w:rtl/>
              </w:rPr>
              <w:t xml:space="preserve">آخرین روز معاملاتی اسفند</w:t>
            </w:r>
            <w:r>
              <w:rPr>
                <w:rFonts w:ascii="Tahoma" w:hAnsi="Tahoma" w:cs="Tahoma"/>
                <w:sz w:val="21"/>
                <w:szCs w:val="21"/>
                <w:rtl/>
              </w:rPr>
              <w:t xml:space="preserve">. اگر نماد بسته بوده، آخرین قیمت قبل از توقف. واحد: میلیون ریال.</w:t>
            </w:r>
          </w:p>
        </w:tc>
      </w:tr>
    </w:tbl>
    <w:bookmarkEnd w:id="17"/>
    <w:bookmarkEnd w:id="18"/>
    <w:bookmarkStart w:id="19" w:name="چکلیست-پیش-از-ارسال"/>
    <w:p>
      <w:pPr>
        <w:pStyle w:val="Heading1"/>
        <w:bidi/>
      </w:pPr>
      <w:r>
        <w:rPr>
          <w:rFonts w:ascii="Tahoma" w:hAnsi="Tahoma" w:cs="Tahoma"/>
          <w:sz w:val="21"/>
          <w:szCs w:val="21"/>
          <w:rtl/>
        </w:rPr>
        <w:t xml:space="preserve">۵. چک‌لیست پیش از ارسال</w:t>
      </w:r>
    </w:p>
    <w:p>
      <w:pPr>
        <w:pStyle w:val="Compact"/>
        <w:numPr>
          <w:ilvl w:val="0"/>
          <w:numId w:val="1004"/>
        </w:numPr>
        <w:bidi/>
      </w:pPr>
      <w:r>
        <w:rPr>
          <w:rFonts w:ascii="Tahoma" w:hAnsi="Tahoma" w:cs="Tahoma"/>
          <w:sz w:val="21"/>
          <w:szCs w:val="21"/>
          <w:rtl/>
        </w:rPr>
        <w:t xml:space="preserve">همه‌ی ۲۲ ستون با همین نام‌ها، در یک برگه.</w:t>
      </w:r>
    </w:p>
    <w:p>
      <w:pPr>
        <w:pStyle w:val="Compact"/>
        <w:numPr>
          <w:ilvl w:val="0"/>
          <w:numId w:val="1004"/>
        </w:numPr>
        <w:bidi/>
      </w:pPr>
      <w:r>
        <w:rPr>
          <w:rFonts w:ascii="Tahoma" w:hAnsi="Tahoma" w:cs="Tahoma"/>
          <w:sz w:val="21"/>
          <w:szCs w:val="21"/>
          <w:rtl/>
        </w:rPr>
        <w:t xml:space="preserve">FirmCode و IndID برای هر شرکت در همه‌ی سال‌ها ثابت باشد.</w:t>
      </w:r>
    </w:p>
    <w:p>
      <w:pPr>
        <w:pStyle w:val="Compact"/>
        <w:numPr>
          <w:ilvl w:val="0"/>
          <w:numId w:val="1004"/>
        </w:numPr>
        <w:bidi/>
      </w:pPr>
      <w:r>
        <w:rPr>
          <w:rFonts w:ascii="Tahoma" w:hAnsi="Tahoma" w:cs="Tahoma"/>
          <w:sz w:val="21"/>
          <w:szCs w:val="21"/>
          <w:rtl/>
        </w:rPr>
        <w:t xml:space="preserve">واحد همه‌ی ارقام میلیون ریال باشد. ارقام را برای چند شرکت در سال‌های ۱۳۸۰، ۱۳۹۰ و ۱۴۰۰ با Codal مقایسه کنید.</w:t>
      </w:r>
    </w:p>
    <w:p>
      <w:pPr>
        <w:pStyle w:val="Compact"/>
        <w:numPr>
          <w:ilvl w:val="0"/>
          <w:numId w:val="1004"/>
        </w:numPr>
        <w:bidi/>
      </w:pPr>
      <w:r>
        <w:rPr>
          <w:rFonts w:ascii="Tahoma" w:hAnsi="Tahoma" w:cs="Tahoma"/>
          <w:sz w:val="21"/>
          <w:szCs w:val="21"/>
          <w:rtl/>
        </w:rPr>
        <w:t xml:space="preserve">جریان‌های نقدی سال‌های قبل از تغییر استاندارد به ۳ طبقه تبدیل شده باشند و علامتشان درست باشد.</w:t>
      </w:r>
    </w:p>
    <w:p>
      <w:pPr>
        <w:pStyle w:val="Compact"/>
        <w:numPr>
          <w:ilvl w:val="0"/>
          <w:numId w:val="1004"/>
        </w:numPr>
        <w:bidi/>
      </w:pPr>
      <w:r>
        <w:rPr>
          <w:rFonts w:ascii="Tahoma" w:hAnsi="Tahoma" w:cs="Tahoma"/>
          <w:sz w:val="21"/>
          <w:szCs w:val="21"/>
          <w:rtl/>
        </w:rPr>
        <w:t xml:space="preserve">هیچ ردیف تکراری (یک شرکت، یک سال) نباشد.</w:t>
      </w:r>
    </w:p>
    <w:p>
      <w:pPr>
        <w:pStyle w:val="Compact"/>
        <w:numPr>
          <w:ilvl w:val="0"/>
          <w:numId w:val="1004"/>
        </w:numPr>
        <w:bidi/>
      </w:pPr>
      <w:r>
        <w:rPr>
          <w:rFonts w:ascii="Tahoma" w:hAnsi="Tahoma" w:cs="Tahoma"/>
          <w:sz w:val="21"/>
          <w:szCs w:val="21"/>
          <w:rtl/>
        </w:rPr>
        <w:t xml:space="preserve">خانه‌های ناموجود خالی باشند، نه صفر.</w:t>
      </w:r>
    </w:p>
    <w:p>
      <w:pPr>
        <w:pStyle w:val="Compact"/>
        <w:numPr>
          <w:ilvl w:val="0"/>
          <w:numId w:val="1004"/>
        </w:numPr>
        <w:bidi/>
      </w:pPr>
      <w:r>
        <w:rPr>
          <w:rFonts w:ascii="Tahoma" w:hAnsi="Tahoma" w:cs="Tahoma"/>
          <w:sz w:val="21"/>
          <w:szCs w:val="21"/>
          <w:rtl/>
        </w:rPr>
        <w:t xml:space="preserve">تعداد شرکت و سال-شرکت حذف‌شده در هر مرحله‌ی غربالگری را در یک برگه‌ی جداگانه با نام «Screening» بنویسید.</w:t>
      </w:r>
    </w:p>
    <w:p>
      <w:pPr>
        <w:pStyle w:val="Compact"/>
        <w:numPr>
          <w:ilvl w:val="0"/>
          <w:numId w:val="1004"/>
        </w:numPr>
        <w:bidi/>
      </w:pPr>
      <w:r>
        <w:rPr>
          <w:rFonts w:ascii="Tahoma" w:hAnsi="Tahoma" w:cs="Tahoma"/>
          <w:sz w:val="21"/>
          <w:szCs w:val="21"/>
          <w:rtl/>
        </w:rPr>
        <w:t xml:space="preserve">فهرست شرکت‌های خارج‌شده از بورس و سال خروجشان را، اگر دارید، در برگه‌ی جداگانه بفرستید.</w:t>
      </w:r>
    </w:p>
    <w:bookmarkEnd w:id="19"/>
    <w:bookmarkStart w:id="20" w:name="بعد-از-جمعآوری"/>
    <w:p>
      <w:pPr>
        <w:pStyle w:val="Heading1"/>
        <w:bidi/>
      </w:pPr>
      <w:r>
        <w:rPr>
          <w:rFonts w:ascii="Tahoma" w:hAnsi="Tahoma" w:cs="Tahoma"/>
          <w:sz w:val="21"/>
          <w:szCs w:val="21"/>
          <w:rtl/>
        </w:rPr>
        <w:t xml:space="preserve">۶. بعد از جمع‌آوری</w:t>
      </w:r>
    </w:p>
    <w:p>
      <w:pPr>
        <w:bidi/>
      </w:pPr>
      <w:r>
        <w:rPr>
          <w:rFonts w:ascii="Tahoma" w:hAnsi="Tahoma" w:cs="Tahoma"/>
          <w:sz w:val="21"/>
          <w:szCs w:val="21"/>
          <w:rtl/>
        </w:rPr>
        <w:t xml:space="preserve">فایل را با نام</w:t>
      </w:r>
      <w:r>
        <w:rPr>
          <w:rFonts w:ascii="Tahoma" w:hAnsi="Tahoma" w:cs="Tahoma"/>
          <w:sz w:val="21"/>
          <w:szCs w:val="21"/>
          <w:rtl/>
        </w:rPr>
        <w:t xml:space="preserve"> </w:t>
      </w:r>
      <w:r>
        <w:rPr>
          <w:rStyle w:val="VerbatimChar"/>
          <w:rFonts w:ascii="Tahoma" w:hAnsi="Tahoma" w:cs="Tahoma"/>
          <w:sz w:val="21"/>
          <w:szCs w:val="21"/>
          <w:rtl/>
        </w:rPr>
        <w:t xml:space="preserve">Final_Master_Data.xlsx</w:t>
      </w:r>
      <w:r>
        <w:rPr>
          <w:rFonts w:ascii="Tahoma" w:hAnsi="Tahoma" w:cs="Tahoma"/>
          <w:sz w:val="21"/>
          <w:szCs w:val="21"/>
          <w:rtl/>
        </w:rPr>
        <w:t xml:space="preserve"> </w:t>
      </w:r>
      <w:r>
        <w:rPr>
          <w:rFonts w:ascii="Tahoma" w:hAnsi="Tahoma" w:cs="Tahoma"/>
          <w:sz w:val="21"/>
          <w:szCs w:val="21"/>
          <w:rtl/>
        </w:rPr>
        <w:t xml:space="preserve">در پوشه‌ی</w:t>
      </w:r>
      <w:r>
        <w:rPr>
          <w:rFonts w:ascii="Tahoma" w:hAnsi="Tahoma" w:cs="Tahoma"/>
          <w:sz w:val="21"/>
          <w:szCs w:val="21"/>
          <w:rtl/>
        </w:rPr>
        <w:t xml:space="preserve"> </w:t>
      </w:r>
      <w:r>
        <w:rPr>
          <w:rStyle w:val="VerbatimChar"/>
          <w:rFonts w:ascii="Tahoma" w:hAnsi="Tahoma" w:cs="Tahoma"/>
          <w:sz w:val="21"/>
          <w:szCs w:val="21"/>
          <w:rtl/>
        </w:rPr>
        <w:t xml:space="preserve">C:/Users/Rohi/Desktop/Data</w:t>
      </w:r>
      <w:r>
        <w:rPr>
          <w:rFonts w:ascii="Tahoma" w:hAnsi="Tahoma" w:cs="Tahoma"/>
          <w:sz w:val="21"/>
          <w:szCs w:val="21"/>
          <w:rtl/>
        </w:rPr>
        <w:t xml:space="preserve"> </w:t>
      </w:r>
      <w:r>
        <w:rPr>
          <w:rFonts w:ascii="Tahoma" w:hAnsi="Tahoma" w:cs="Tahoma"/>
          <w:sz w:val="21"/>
          <w:szCs w:val="21"/>
          <w:rtl/>
        </w:rPr>
        <w:t xml:space="preserve">بگذارید و</w:t>
      </w:r>
      <w:r>
        <w:rPr>
          <w:rFonts w:ascii="Tahoma" w:hAnsi="Tahoma" w:cs="Tahoma"/>
          <w:sz w:val="21"/>
          <w:szCs w:val="21"/>
          <w:rtl/>
        </w:rPr>
        <w:t xml:space="preserve"> </w:t>
      </w:r>
      <w:r>
        <w:rPr>
          <w:rStyle w:val="VerbatimChar"/>
          <w:rFonts w:ascii="Tahoma" w:hAnsi="Tahoma" w:cs="Tahoma"/>
          <w:sz w:val="21"/>
          <w:szCs w:val="21"/>
          <w:rtl/>
        </w:rPr>
        <w:t xml:space="preserve">00_run_all.do</w:t>
      </w:r>
      <w:r>
        <w:rPr>
          <w:rFonts w:ascii="Tahoma" w:hAnsi="Tahoma" w:cs="Tahoma"/>
          <w:sz w:val="21"/>
          <w:szCs w:val="21"/>
          <w:rtl/>
        </w:rPr>
        <w:t xml:space="preserve"> </w:t>
      </w:r>
      <w:r>
        <w:rPr>
          <w:rFonts w:ascii="Tahoma" w:hAnsi="Tahoma" w:cs="Tahoma"/>
          <w:sz w:val="21"/>
          <w:szCs w:val="21"/>
          <w:rtl/>
        </w:rPr>
        <w:t xml:space="preserve">را اجرا کنید. کد سال اول (۱۳۸۰) را خودکار سال پایه می‌گیرد. برآورد مدل‌ها از ۱۳۸۳ شروع می‌شود، چون سه سال برای وقفه‌ها لازم است. دوره‌ی قبلی هم در آزمون حساسیت S10 گزارش می‌شود.</w:t>
      </w:r>
    </w:p>
    <w:p>
      <w:pPr>
        <w:bidi/>
      </w:pPr>
      <w:r>
        <w:rPr>
          <w:rFonts w:ascii="Tahoma" w:hAnsi="Tahoma" w:cs="Tahoma"/>
          <w:b/>
          <w:bCs/>
          <w:sz w:val="21"/>
          <w:szCs w:val="21"/>
          <w:rtl/>
        </w:rPr>
        <w:t xml:space="preserve">قرار ما از قبل:</w:t>
      </w:r>
      <w:r>
        <w:rPr>
          <w:rFonts w:ascii="Tahoma" w:hAnsi="Tahoma" w:cs="Tahoma"/>
          <w:sz w:val="21"/>
          <w:szCs w:val="21"/>
          <w:rtl/>
        </w:rPr>
        <w:t xml:space="preserve"> </w:t>
      </w:r>
      <w:r>
        <w:rPr>
          <w:rFonts w:ascii="Tahoma" w:hAnsi="Tahoma" w:cs="Tahoma"/>
          <w:sz w:val="21"/>
          <w:szCs w:val="21"/>
          <w:rtl/>
        </w:rPr>
        <w:t xml:space="preserve">نمونه‌ی کامل ۱۳۸۰–۱۴۰۳ نمونه‌ی اصلی مقاله است و نتیجه‌اش هر چه باشد گزارش می‌شود.</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1F2A44"/>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1F2A44"/>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1F2A44"/>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1F2A44"/>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جمع‌آوری داده: سال‌های مالی ۱۳۸۰ تا ۱۴۰۳</dc:title>
  <dc:creator/>
  <dc:language>fa-IR</dc:language>
  <cp:keywords/>
  <dcterms:created xsi:type="dcterms:W3CDTF">2026-10-01T11:49:26Z</dcterms:created>
  <dcterms:modified xsi:type="dcterms:W3CDTF">2026-10-01T11:49:26Z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subtitle">
    <vt:lpwstr>برای مقاله انحراف ساختار سرمایه، توانایی مدیریت و کارایی سرمایه‌گذاری</vt:lpwstr>
  </property>
</Properties>
</file>