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پیش‌برنده‌ها و پیامدهای فومو در رقابت منابع اطلاعاتی سرمایه‌گذاران حقیقی: ناوردایی اندازه‌گیری و تفاوت مسیرها بر پایهٔ تجربهٔ زیان در ریزش بورس، با تحلیل تکمیلی یادگیری ماشین</w:t>
      </w:r>
    </w:p>
    <w:p>
      <w:pPr>
        <w:bidi/>
        <w:spacing w:before="0" w:after="100" w:line="240" w:lineRule="auto"/>
        <w:jc w:val="center"/>
      </w:pPr>
      <w:r>
        <w:rPr>
          <w:rFonts w:ascii="Times New Roman" w:hAnsi="Times New Roman" w:cs="B Nazanin" w:eastAsia="Times New Roman"/>
          <w:b/>
          <w:bCs/>
          <w:sz w:val="26"/>
          <w:szCs w:val="26"/>
          <w:lang w:val="en-US" w:bidi="fa-IR"/>
        </w:rPr>
        <w:t xml:space="preserve">چکیدهٔ گسترده</w:t>
      </w:r>
    </w:p>
    <w:p>
      <w:pPr>
        <w:bidi/>
        <w:spacing w:before="0" w:after="100" w:line="240" w:lineRule="auto"/>
        <w:jc w:val="both"/>
      </w:pPr>
      <w:r>
        <w:rPr>
          <w:rFonts w:ascii="Times New Roman" w:hAnsi="Times New Roman" w:cs="B Nazanin" w:eastAsia="Times New Roman"/>
          <w:i/>
          <w:iCs/>
          <w:sz w:val="24"/>
          <w:szCs w:val="24"/>
          <w:lang w:val="en-US" w:bidi="fa-IR"/>
        </w:rPr>
        <w:t xml:space="preserve">اعلان شفافیت: داده‌های این پژوهش شبیه‌سازی‌شده‌اند و نتایج جنبهٔ نمایشی و روش‌شناختی دارند.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مقدمه و هدف</w:t>
      </w:r>
    </w:p>
    <w:p>
      <w:pPr>
        <w:bidi/>
        <w:spacing w:before="0" w:after="80" w:line="240" w:lineRule="auto"/>
        <w:jc w:val="both"/>
      </w:pPr>
      <w:r>
        <w:rPr>
          <w:rFonts w:ascii="Times New Roman" w:hAnsi="Times New Roman" w:cs="B Nazanin" w:eastAsia="Times New Roman"/>
          <w:sz w:val="24"/>
          <w:szCs w:val="24"/>
          <w:lang w:val="en-US" w:bidi="fa-IR"/>
        </w:rPr>
        <w:t xml:space="preserve">سرمایه‌گذار حقیقی میان جریان پرشتاب و هیجانی شبکه‌های اجتماعی و جریان کندتر اما قابل‌راستی‌آزمایی گزارش‌های مالی دچار رقابت توجه است. هدف این پژوهش بررسی پیش‌برنده‌های ترس از دست دادن فرصت (فومو)، رقابت میان محتوای شبکه‌ها و اطلاعات حسابداری، تفاوت ساختار و مسیرها میان سرمایه‌گذاران دارای و فاقد تجربهٔ زیان در ریزش بورس، و ارزیابی تکمیلی مدل‌های غیرخطی یادگیری ماشین است.</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مبانی نظری و فرضیه‌ها</w:t>
      </w:r>
    </w:p>
    <w:p>
      <w:pPr>
        <w:bidi/>
        <w:spacing w:before="0" w:after="80" w:line="240" w:lineRule="auto"/>
        <w:jc w:val="both"/>
      </w:pPr>
      <w:r>
        <w:rPr>
          <w:rFonts w:ascii="Times New Roman" w:hAnsi="Times New Roman" w:cs="B Nazanin" w:eastAsia="Times New Roman"/>
          <w:sz w:val="24"/>
          <w:szCs w:val="24"/>
          <w:lang w:val="en-US" w:bidi="fa-IR"/>
        </w:rPr>
        <w:t xml:space="preserve">نظریهٔ مقایسهٔ اجتماعی (فستینگر، ۱۹۵۴)، نظریهٔ پشیمانی (لومز و ساگدن، ۱۹۸۲؛ بل، ۱۹۸۲) و توجه محدود (باربر و اودین، ۲۰۰۸) مبنای دوازده فرضیه‌اند: اثر مثبت مقایسهٔ اجتماعی و پشیمانی پیش‌بینی‌شده بر فومو، اثر منفی مواجهه با محتوا بر استفاده از اطلاعات حسابداری (جایگزینی)، اثر مثبت سواد حسابداری بر استفاده از آن، اثر منفی فومو و اثر مثبت اطلاعات حسابداری بر کیفیت تصمیم، اثرهای غیرمستقیم، ناوردایی اندازه‌گیری، قوی‌تر بودن اثر پشیمانی بر فومو و اثر منفی فومو بر کیفیت تصمیم در گروه دارای تجربهٔ زیان، برتری پیش‌بینی مدل‌های غیرخطی و هم‌خوانی اهمیت SHAP با مدل ساختاری.</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روش‌شناسی</w:t>
      </w:r>
    </w:p>
    <w:p>
      <w:pPr>
        <w:bidi/>
        <w:spacing w:before="0" w:after="80" w:line="240" w:lineRule="auto"/>
        <w:jc w:val="both"/>
      </w:pPr>
      <w:r>
        <w:rPr>
          <w:rFonts w:ascii="Times New Roman" w:hAnsi="Times New Roman" w:cs="B Nazanin" w:eastAsia="Times New Roman"/>
          <w:sz w:val="24"/>
          <w:szCs w:val="24"/>
          <w:lang w:val="en-US" w:bidi="fa-IR"/>
        </w:rPr>
        <w:t xml:space="preserve">پرسشنامهٔ ۳۳ گویه‌ای لیکرت پنج‌درجه‌ای برای هفت سازه به‌کار رفت. داده‌های ۴۴۲ سرمایه‌گذار حقیقی (۱۷۳ نفر دارای تجربهٔ زیان) به‌صورت شبیه‌سازی واقع‌نما و مستقل از مقالهٔ همراه تولید شد؛ نتایج نمایشی و روش‌شناختی‌اند. تحلیل شامل مدل ساختاری مکنون با ۲۰۰۰ تکرار خودگردان، CFA چندگروهی (پیکربندی، متریک، اسکالر)، مقایسهٔ مسیرها با آزمون z و خودگردان‌سازی، و مقایسهٔ رگرسیون خطی با جنگل تصادفی و تقویت گرادیان (اعتبارسنجی متقاطع ۵ لایه‌ای × ۱۰ تکرار، آزمون t اصلاح‌شده) و تفسیر SHAP بود.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یافته‌ها</w:t>
      </w:r>
    </w:p>
    <w:p>
      <w:pPr>
        <w:bidi/>
        <w:spacing w:before="0" w:after="80" w:line="240" w:lineRule="auto"/>
        <w:jc w:val="both"/>
      </w:pPr>
      <w:r>
        <w:rPr>
          <w:rFonts w:ascii="Times New Roman" w:hAnsi="Times New Roman" w:cs="B Nazanin" w:eastAsia="Times New Roman"/>
          <w:sz w:val="24"/>
          <w:szCs w:val="24"/>
          <w:lang w:val="en-US" w:bidi="fa-IR"/>
        </w:rPr>
        <w:t xml:space="preserve">برازش مدل اندازه‌گیری مطلوب بود (⁦CFI = ۰٫۹۷۶⁩؛ ⁦RMSEA = ۰٫۰۲۶⁩). مقایسهٔ اجتماعی (⁦β = ۰٫۲۷⁩، ⁦z = ۵٫۱۷⁩، ⁦p &lt; ۰٫۰۰۱⁩) و پشیمانی پیش‌بینی‌شده (⁦β = ۰٫۲۳⁩، ⁦z = ۴٫۴۵⁩، ⁦p &lt; ۰٫۰۰۱⁩) فومو را افزایش دادند؛ مواجهه، استفاده از اطلاعات حسابداری را کاهش داد (⁦β = −۰٫۲۴⁩، ⁦z = −۴٫۸۰⁩، ⁦p &lt; ۰٫۰۰۱⁩) و سواد حسابداری آن را افزایش داد (⁦β = ۰٫۵۰⁩، ⁦z = ۹٫۵۷⁩، ⁦p &lt; ۰٫۰۰۱⁩). فومو کیفیت تصمیم را کاهش (⁦β = −۰٫۳۶⁩، ⁦z = −۶٫۵۹⁩، ⁦p &lt; ۰٫۰۰۱⁩) و استفاده از اطلاعات حسابداری آن را افزایش داد (⁦β = ۰٫۳۵⁩، ⁦z = ۵٫۳۶⁩، ⁦p &lt; ۰٫۰۰۱⁩). ناوردایی اسکالر برقرار بود (⁦ΔCFI = −۰٫۰۰۵⁩). اثر پشیمانی بر فومو (⁦Δb = ۰٫۲۸⁩) و اثر فومو بر کیفیت تصمیم (⁦Δb = −۰٫۳۵⁩) در گروه دارای تجربهٔ زیان قوی‌تر بود. R² بیرون‌نمونه‌ای رگرسیون خطی ۰٫۱۵۷، جنگل تصادفی ۰٫۲۳۹ و تقویت گرادیان ۰٫۲۴۱ بود؛ مهم‌ترین پیش‌بینی‌کننده‌های SHAP فومو و استفاده از اطلاعات حسابداری بودند.</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80" w:line="240" w:lineRule="auto"/>
        <w:jc w:val="both"/>
      </w:pPr>
      <w:r>
        <w:rPr>
          <w:rFonts w:ascii="Times New Roman" w:hAnsi="Times New Roman" w:cs="B Nazanin" w:eastAsia="Times New Roman"/>
          <w:sz w:val="24"/>
          <w:szCs w:val="24"/>
          <w:lang w:val="en-US" w:bidi="fa-IR"/>
        </w:rPr>
        <w:t xml:space="preserve">فومو را مقایسهٔ اجتماعی و پشیمانی پیش‌بینی‌شده تغذیه می‌کنند و فومو و اطلاعات حسابداری در دو سوی ترازوی کیفیت تصمیم قرار دارند. مواجهه با محتوای شبکه‌ها هم از راه افزایش فومو و هم از راه جایگزینی اطلاعاتی به تصمیم آسیب می‌زند. تجربهٔ زیان حساسیت به پشیمانی و پیامد فومو را تقویت می‌کند، اما اثر مفید اطلاعات حسابداری در دو گروه مشابه است.</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دانش‌افزایی و کاربرد</w:t>
      </w:r>
    </w:p>
    <w:p>
      <w:pPr>
        <w:bidi/>
        <w:spacing w:before="0" w:after="80" w:line="240" w:lineRule="auto"/>
        <w:jc w:val="both"/>
      </w:pPr>
      <w:r>
        <w:rPr>
          <w:rFonts w:ascii="Times New Roman" w:hAnsi="Times New Roman" w:cs="B Nazanin" w:eastAsia="Times New Roman"/>
          <w:sz w:val="24"/>
          <w:szCs w:val="24"/>
          <w:lang w:val="en-US" w:bidi="fa-IR"/>
        </w:rPr>
        <w:t xml:space="preserve">ترکیب مدل‌سازی معادلات ساختاری و یادگیری ماشین تفسیرپذیر، آزمون نظریه و کشف اثرهای غیرخطی را هم‌زمان ممکن می‌کند. کاربردها: غربال‌گری رفتاری سرمایه‌گذاران زیان‌دیده، هشدارهای «فرصت از دست‌رفته» همراه با شاخص‌های بنیادی و آموزش تبدیل سواد حسابداری به رفتار استفاده از اطلاعات.</w:t>
      </w:r>
    </w:p>
    <w:p>
      <w:pPr>
        <w:keepNext/>
        <w:bidi/>
        <w:spacing w:before="160" w:after="80" w:line="240" w:lineRule="auto"/>
        <w:jc w:val="left"/>
      </w:pPr>
      <w:r>
        <w:rPr>
          <w:rFonts w:ascii="Times New Roman" w:hAnsi="Times New Roman" w:cs="B Nazanin" w:eastAsia="Times New Roman"/>
          <w:b/>
          <w:bCs/>
          <w:sz w:val="24"/>
          <w:szCs w:val="24"/>
          <w:lang w:val="en-US" w:bidi="fa-IR"/>
        </w:rPr>
        <w:t xml:space="preserve">محدودیت‌ها</w:t>
      </w:r>
    </w:p>
    <w:p>
      <w:pPr>
        <w:bidi/>
        <w:spacing w:before="0" w:after="80" w:line="240" w:lineRule="auto"/>
        <w:jc w:val="both"/>
      </w:pPr>
      <w:r>
        <w:rPr>
          <w:rFonts w:ascii="Times New Roman" w:hAnsi="Times New Roman" w:cs="B Nazanin" w:eastAsia="Times New Roman"/>
          <w:sz w:val="24"/>
          <w:szCs w:val="24"/>
          <w:lang w:val="en-US" w:bidi="fa-IR"/>
        </w:rPr>
        <w:t xml:space="preserve">داده شبیه‌سازی‌شده است؛ مقایسهٔ مسیرها با مدل‌های جداگانه انجام شد؛ ابرپارامترهای یادگیری ماشین از پیش ثابت شدند؛ آزمون هم‌خوانی SHAP با مدل ساختاری تنها بر شش سازه استوار است؛ و گویه‌ها پیش از کاربرد واقعی نیازمند اعتبارسنجی‌اند.</w:t>
      </w:r>
    </w:p>
    <w:p>
      <w:pPr>
        <w:bidi/>
        <w:spacing w:before="100" w:after="8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فومو؛ مقایسهٔ اجتماعی؛ پشیمانی پیش‌بینی‌شده؛ اطلاعات حسابداری؛ ناوردایی اندازه‌گیری؛ یادگیری ماشین؛ SHAP</w:t>
      </w:r>
    </w:p>
    <w:p>
      <w:r>
        <w:br w:type="page"/>
      </w:r>
    </w:p>
    <w:p>
      <w:pPr>
        <w:spacing w:before="0" w:after="120" w:line="240" w:lineRule="auto"/>
        <w:jc w:val="center"/>
      </w:pPr>
      <w:r>
        <w:rPr>
          <w:rFonts w:ascii="Times New Roman" w:hAnsi="Times New Roman" w:cs="Times New Roman" w:eastAsia="Times New Roman"/>
          <w:b/>
          <w:bCs/>
          <w:sz w:val="26"/>
          <w:szCs w:val="26"/>
          <w:lang w:val="en-US" w:bidi="fa-IR"/>
        </w:rPr>
        <w:t xml:space="preserve">Antecedents and Consequences of FOMO in the Competition Between Information Sources Among Individual Investors: Measurement Invariance and Path Differences by Loss Experience in the Stock-Market Crash, with Supplementary Machine Learning</w:t>
      </w:r>
    </w:p>
    <w:p>
      <w:pPr>
        <w:spacing w:before="0" w:after="60" w:line="240" w:lineRule="auto"/>
        <w:jc w:val="center"/>
      </w:pPr>
      <w:r>
        <w:rPr>
          <w:rFonts w:ascii="Times New Roman" w:hAnsi="Times New Roman" w:cs="Times New Roman" w:eastAsia="Times New Roman"/>
          <w:b/>
          <w:bCs/>
          <w:sz w:val="24"/>
          <w:szCs w:val="24"/>
          <w:lang w:val="en-US" w:bidi="fa-IR"/>
        </w:rPr>
        <w:t xml:space="preserve">Extended Abstract</w:t>
      </w:r>
    </w:p>
    <w:p>
      <w:pPr>
        <w:spacing w:before="0" w:after="100" w:line="240" w:lineRule="auto"/>
        <w:jc w:val="left"/>
      </w:pPr>
      <w:r>
        <w:rPr>
          <w:rFonts w:ascii="Times New Roman" w:hAnsi="Times New Roman" w:cs="Times New Roman" w:eastAsia="Times New Roman"/>
          <w:i/>
          <w:iCs/>
          <w:sz w:val="24"/>
          <w:szCs w:val="24"/>
          <w:lang w:val="en-US" w:bidi="fa-IR"/>
        </w:rPr>
        <w:t xml:space="preserve">Transparency note: the data in this study are simulated; the results are illustrative and methodological.</w:t>
      </w:r>
    </w:p>
    <w:p>
      <w:pPr>
        <w:spacing w:before="100" w:after="40" w:line="240" w:lineRule="auto"/>
        <w:jc w:val="left"/>
      </w:pPr>
      <w:r>
        <w:rPr>
          <w:rFonts w:ascii="Times New Roman" w:hAnsi="Times New Roman" w:cs="Times New Roman" w:eastAsia="Times New Roman"/>
          <w:b/>
          <w:bCs/>
          <w:sz w:val="24"/>
          <w:szCs w:val="24"/>
          <w:lang w:val="en-US" w:bidi="fa-IR"/>
        </w:rPr>
        <w:t xml:space="preserve">Introduction and objective</w:t>
      </w:r>
    </w:p>
    <w:p>
      <w:pPr>
        <w:spacing w:before="0" w:after="60" w:line="240" w:lineRule="auto"/>
        <w:jc w:val="both"/>
      </w:pPr>
      <w:r>
        <w:rPr>
          <w:rFonts w:ascii="Times New Roman" w:hAnsi="Times New Roman" w:cs="Times New Roman" w:eastAsia="Times New Roman"/>
          <w:sz w:val="24"/>
          <w:szCs w:val="24"/>
          <w:lang w:val="en-US" w:bidi="fa-IR"/>
        </w:rPr>
        <w:t xml:space="preserve">Individual investors face a competition for attention between the fast, emotional stream of social media and the slower but verifiable stream of financial reports. This study examines the antecedents of fear of missing out (FOMO), the competition between social-media content and accounting information, differences in structure and paths between investors with and without losses in the stock-market crash, and, as a complement, nonlinear machine-learning models.</w:t>
      </w:r>
    </w:p>
    <w:p>
      <w:pPr>
        <w:spacing w:before="100" w:after="40" w:line="240" w:lineRule="auto"/>
        <w:jc w:val="left"/>
      </w:pPr>
      <w:r>
        <w:rPr>
          <w:rFonts w:ascii="Times New Roman" w:hAnsi="Times New Roman" w:cs="Times New Roman" w:eastAsia="Times New Roman"/>
          <w:b/>
          <w:bCs/>
          <w:sz w:val="24"/>
          <w:szCs w:val="24"/>
          <w:lang w:val="en-US" w:bidi="fa-IR"/>
        </w:rPr>
        <w:t xml:space="preserve">Theoretical background and hypotheses</w:t>
      </w:r>
    </w:p>
    <w:p>
      <w:pPr>
        <w:spacing w:before="0" w:after="60" w:line="240" w:lineRule="auto"/>
        <w:jc w:val="both"/>
      </w:pPr>
      <w:r>
        <w:rPr>
          <w:rFonts w:ascii="Times New Roman" w:hAnsi="Times New Roman" w:cs="Times New Roman" w:eastAsia="Times New Roman"/>
          <w:sz w:val="24"/>
          <w:szCs w:val="24"/>
          <w:lang w:val="en-US" w:bidi="fa-IR"/>
        </w:rPr>
        <w:t xml:space="preserve">Social-comparison theory (Festinger, 1954), regret theory (Loomes &amp; Sugden, 1982; Bell, 1982), and limited attention (Barber &amp; Odean, 2008) underpin twelve hypotheses: positive effects of social comparison and anticipated regret on FOMO; a negative effect of content exposure on accounting information use (substitution); a positive effect of accounting literacy on its use; a negative effect of FOMO and a positive effect of accounting information use on decision quality; indirect effects; measurement invariance; a stronger regret → FOMO effect and a more negative FOMO → decision quality effect among investors with losses; superior out-of-sample prediction by nonlinear models; and agreement between SHAP importance and the structural model.</w:t>
      </w:r>
    </w:p>
    <w:p>
      <w:pPr>
        <w:spacing w:before="100" w:after="40" w:line="240" w:lineRule="auto"/>
        <w:jc w:val="left"/>
      </w:pPr>
      <w:r>
        <w:rPr>
          <w:rFonts w:ascii="Times New Roman" w:hAnsi="Times New Roman" w:cs="Times New Roman" w:eastAsia="Times New Roman"/>
          <w:b/>
          <w:bCs/>
          <w:sz w:val="24"/>
          <w:szCs w:val="24"/>
          <w:lang w:val="en-US" w:bidi="fa-IR"/>
        </w:rPr>
        <w:t xml:space="preserve">Methodology</w:t>
      </w:r>
    </w:p>
    <w:p>
      <w:pPr>
        <w:spacing w:before="0" w:after="60" w:line="240" w:lineRule="auto"/>
        <w:jc w:val="both"/>
      </w:pPr>
      <w:r>
        <w:rPr>
          <w:rFonts w:ascii="Times New Roman" w:hAnsi="Times New Roman" w:cs="Times New Roman" w:eastAsia="Times New Roman"/>
          <w:sz w:val="24"/>
          <w:szCs w:val="24"/>
          <w:lang w:val="en-US" w:bidi="fa-IR"/>
        </w:rPr>
        <w:t xml:space="preserve">A 33-item, five-point Likert questionnaire measured seven constructs. Data for 442 individual investors (173 with loss experience) were generated by a realistic simulation independent of the companion article; results are illustrative and methodological. Analyses included a latent structural model with 2000 bootstrap resamples, multi-group CFA (configural, metric, scalar invariance), path comparison with z tests and bootstrap intervals, and a comparison of linear regression with random forest and gradient boosting (5-fold × 10 repeated cross-validation, corrected resampled t test) with SHAP interpretation.</w:t>
      </w:r>
    </w:p>
    <w:p>
      <w:pPr>
        <w:spacing w:before="100" w:after="40" w:line="240" w:lineRule="auto"/>
        <w:jc w:val="left"/>
      </w:pPr>
      <w:r>
        <w:rPr>
          <w:rFonts w:ascii="Times New Roman" w:hAnsi="Times New Roman" w:cs="Times New Roman" w:eastAsia="Times New Roman"/>
          <w:b/>
          <w:bCs/>
          <w:sz w:val="24"/>
          <w:szCs w:val="24"/>
          <w:lang w:val="en-US" w:bidi="fa-IR"/>
        </w:rPr>
        <w:t xml:space="preserve">Findings</w:t>
      </w:r>
    </w:p>
    <w:p>
      <w:pPr>
        <w:spacing w:before="0" w:after="60" w:line="240" w:lineRule="auto"/>
        <w:jc w:val="both"/>
      </w:pPr>
      <w:r>
        <w:rPr>
          <w:rFonts w:ascii="Times New Roman" w:hAnsi="Times New Roman" w:cs="Times New Roman" w:eastAsia="Times New Roman"/>
          <w:sz w:val="24"/>
          <w:szCs w:val="24"/>
          <w:lang w:val="en-US" w:bidi="fa-IR"/>
        </w:rPr>
        <w:t xml:space="preserve">The measurement model fit well (CFI = 0.976, RMSEA = 0.026). Social comparison (β = 0.27, z = 5.17, p &lt; .001) and anticipated regret (β = 0.23, z = 4.45, p &lt; .001) increased FOMO; exposure decreased accounting information use (β = -0.24, z = -4.80, p &lt; .001) and accounting literacy increased it (β = 0.50, z = 9.57, p &lt; .001). FOMO reduced decision quality (β = -0.36, z = -6.59, p &lt; .001), while accounting information use improved it (β = 0.35, z = 5.36, p &lt; .001). Scalar invariance held (ΔCFI = -0.005). The effect of regret on FOMO (Δb = 0.28) and of FOMO on decision quality (Δb = -0.35) were stronger among investors with losses. Out-of-sample R² was 0.157 for linear regression, 0.239 for random forest, and 0.241 for gradient boosting; the two most important SHAP predictors were FOMO and accounting information use.</w:t>
      </w:r>
    </w:p>
    <w:p>
      <w:pPr>
        <w:spacing w:before="100" w:after="40" w:line="240" w:lineRule="auto"/>
        <w:jc w:val="left"/>
      </w:pPr>
      <w:r>
        <w:rPr>
          <w:rFonts w:ascii="Times New Roman" w:hAnsi="Times New Roman" w:cs="Times New Roman" w:eastAsia="Times New Roman"/>
          <w:b/>
          <w:bCs/>
          <w:sz w:val="24"/>
          <w:szCs w:val="24"/>
          <w:lang w:val="en-US" w:bidi="fa-IR"/>
        </w:rPr>
        <w:t xml:space="preserve">Discussion and conclusion</w:t>
      </w:r>
    </w:p>
    <w:p>
      <w:pPr>
        <w:spacing w:before="0" w:after="60" w:line="240" w:lineRule="auto"/>
        <w:jc w:val="both"/>
      </w:pPr>
      <w:r>
        <w:rPr>
          <w:rFonts w:ascii="Times New Roman" w:hAnsi="Times New Roman" w:cs="Times New Roman" w:eastAsia="Times New Roman"/>
          <w:sz w:val="24"/>
          <w:szCs w:val="24"/>
          <w:lang w:val="en-US" w:bidi="fa-IR"/>
        </w:rPr>
        <w:t xml:space="preserve">FOMO is fed by social comparison and anticipated regret, and FOMO and accounting information use sit on opposite sides of decision quality. Content exposure harms decisions both by raising FOMO and by displacing accounting information. Loss experience amplifies sensitivity to regret and to the consequences of FOMO, whereas the benefit of accounting information is similar in both groups.</w:t>
      </w:r>
    </w:p>
    <w:p>
      <w:pPr>
        <w:spacing w:before="100" w:after="40" w:line="240" w:lineRule="auto"/>
        <w:jc w:val="left"/>
      </w:pPr>
      <w:r>
        <w:rPr>
          <w:rFonts w:ascii="Times New Roman" w:hAnsi="Times New Roman" w:cs="Times New Roman" w:eastAsia="Times New Roman"/>
          <w:b/>
          <w:bCs/>
          <w:sz w:val="24"/>
          <w:szCs w:val="24"/>
          <w:lang w:val="en-US" w:bidi="fa-IR"/>
        </w:rPr>
        <w:t xml:space="preserve">Contribution and implications</w:t>
      </w:r>
    </w:p>
    <w:p>
      <w:pPr>
        <w:spacing w:before="0" w:after="60" w:line="240" w:lineRule="auto"/>
        <w:jc w:val="both"/>
      </w:pPr>
      <w:r>
        <w:rPr>
          <w:rFonts w:ascii="Times New Roman" w:hAnsi="Times New Roman" w:cs="Times New Roman" w:eastAsia="Times New Roman"/>
          <w:sz w:val="24"/>
          <w:szCs w:val="24"/>
          <w:lang w:val="en-US" w:bidi="fa-IR"/>
        </w:rPr>
        <w:t xml:space="preserve">Combining structural equation modeling with interpretable machine learning allows theory testing and the detection of nonlinear effects at the same time. Implications include behavioral screening of investors who suffered losses, 'missed-opportunity' alerts paired with fundamental indicators, and training that turns accounting literacy into actual information use.</w:t>
      </w:r>
    </w:p>
    <w:p>
      <w:pPr>
        <w:spacing w:before="100" w:after="40" w:line="240" w:lineRule="auto"/>
        <w:jc w:val="left"/>
      </w:pPr>
      <w:r>
        <w:rPr>
          <w:rFonts w:ascii="Times New Roman" w:hAnsi="Times New Roman" w:cs="Times New Roman" w:eastAsia="Times New Roman"/>
          <w:b/>
          <w:bCs/>
          <w:sz w:val="24"/>
          <w:szCs w:val="24"/>
          <w:lang w:val="en-US" w:bidi="fa-IR"/>
        </w:rPr>
        <w:t xml:space="preserve">Limitations</w:t>
      </w:r>
    </w:p>
    <w:p>
      <w:pPr>
        <w:spacing w:before="0" w:after="60" w:line="240" w:lineRule="auto"/>
        <w:jc w:val="both"/>
      </w:pPr>
      <w:r>
        <w:rPr>
          <w:rFonts w:ascii="Times New Roman" w:hAnsi="Times New Roman" w:cs="Times New Roman" w:eastAsia="Times New Roman"/>
          <w:sz w:val="24"/>
          <w:szCs w:val="24"/>
          <w:lang w:val="en-US" w:bidi="fa-IR"/>
        </w:rPr>
        <w:t xml:space="preserve">The data are simulated; path comparisons used separate-group models; machine-learning hyperparameters were fixed in advance; the SHAP–SEM agreement test rests on only six constructs; and the items require validation before real-data use.</w:t>
      </w:r>
    </w:p>
    <w:p>
      <w:pPr>
        <w:spacing w:before="100" w:after="80" w:line="240" w:lineRule="auto"/>
        <w:jc w:val="left"/>
      </w:pPr>
      <w:r>
        <w:rPr>
          <w:rFonts w:ascii="Times New Roman" w:hAnsi="Times New Roman" w:cs="Times New Roman" w:eastAsia="Times New Roman"/>
          <w:sz w:val="24"/>
          <w:szCs w:val="24"/>
          <w:lang w:val="en-US" w:bidi="fa-IR"/>
        </w:rPr>
        <w:t xml:space="preserve">Keywords: FOMO; Social comparison; Anticipated regret; Accounting information; Measurement invariance; Machine learning; SHAP</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