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spacing w:before="120" w:after="120" w:line="276" w:lineRule="auto"/>
        <w:jc w:val="center"/>
      </w:pPr>
      <w:r>
        <w:rPr>
          <w:rFonts w:ascii="Times New Roman" w:hAnsi="Times New Roman" w:cs="B Lotus"/>
          <w:b/>
          <w:bCs/>
          <w:szCs w:val="28"/>
          <w:rtl/>
        </w:rPr>
        <w:t xml:space="preserve">گزارش اصلاحات رسالهٔ دکتری بر اساس نظرات داوران پیش‌دفاع</w:t>
      </w:r>
    </w:p>
    <w:p>
      <w:pPr>
        <w:bidi/>
        <w:spacing w:before="120" w:after="120" w:line="276" w:lineRule="auto"/>
        <w:jc w:val="center"/>
      </w:pPr>
      <w:r>
        <w:rPr>
          <w:rFonts w:ascii="Times New Roman" w:hAnsi="Times New Roman" w:cs="B Lotus"/>
          <w:szCs w:val="28"/>
          <w:rtl/>
        </w:rPr>
        <w:t xml:space="preserve">عنوان رساله: بررسی هزینه‌های حسابرسی و ارائه مدلی جهت پیش‌بینی آن: عوامل تعیین‌کننده، ریکاوری و کیفیت حسابرسی آینده</w:t>
      </w:r>
    </w:p>
    <w:p>
      <w:pPr>
        <w:bidi/>
        <w:spacing w:before="40" w:after="160" w:line="276" w:lineRule="auto"/>
        <w:jc w:val="both"/>
      </w:pPr>
      <w:r>
        <w:rPr>
          <w:rFonts w:ascii="Times New Roman" w:hAnsi="Times New Roman" w:cs="B Lotus"/>
          <w:szCs w:val="24"/>
          <w:rtl/>
        </w:rPr>
        <w:t xml:space="preserve">ساختار جدول: نظر داور ← اصلاح انجام‌شده ← متن اصلاح‌شده ← بخش و شماره صفحه در «رسالهٔ اصلاح‌شده». شماره صفحه‌ها بر پایهٔ نسخهٔ اصلاح‌شده (کل رساله حدود 145 صفحه) درج شده است. با توجه به تفاوت فونت‌ها و تنظیمات صفحه در رایانه‌های مختلف، پس از باز کردن فایل در </w:t>
      </w:r>
      <w:r>
        <w:rPr>
          <w:rFonts w:ascii="Times New Roman" w:hAnsi="Times New Roman" w:cs="B Lotus"/>
          <w:szCs w:val="24"/>
        </w:rPr>
        <w:t xml:space="preserve">Word</w:t>
      </w:r>
      <w:r>
        <w:rPr>
          <w:rFonts w:ascii="Times New Roman" w:hAnsi="Times New Roman" w:cs="B Lotus"/>
          <w:szCs w:val="24"/>
          <w:rtl/>
        </w:rPr>
        <w:t xml:space="preserve"> و به‌روزرسانی فهرست مطالب (کلید </w:t>
      </w:r>
      <w:r>
        <w:rPr>
          <w:rFonts w:ascii="Times New Roman" w:hAnsi="Times New Roman" w:cs="B Lotus"/>
          <w:szCs w:val="24"/>
        </w:rPr>
        <w:t xml:space="preserve">F9)</w:t>
      </w:r>
      <w:r>
        <w:rPr>
          <w:rFonts w:ascii="Times New Roman" w:hAnsi="Times New Roman" w:cs="B Lotus"/>
          <w:szCs w:val="24"/>
          <w:rtl/>
        </w:rPr>
        <w:t xml:space="preserve">، ممکن است شماره‌ها تا چند صفحه جابه‌جا شوند؛ ستون «بخش» مرجع دقیق است.</w:t>
      </w:r>
    </w:p>
    <w:tbl>
      <w:tblPr>
        <w:bidiVisual/>
        <w:tblW w:w="14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60" w:type="dxa"/>
          <w:right w:w="60" w:type="dxa"/>
        </w:tblCellMar>
      </w:tblPr>
      <w:tblGrid>
        <w:gridCol w:w="800"/>
        <w:gridCol w:w="2300"/>
        <w:gridCol w:w="4300"/>
        <w:gridCol w:w="4100"/>
        <w:gridCol w:w="1500"/>
        <w:gridCol w:w="1000"/>
      </w:tblGrid>
      <w:tr>
        <w:trPr>
          <w:cantSplit/>
          <w:tblHeader/>
        </w:trPr>
        <w:tc>
          <w:tcPr>
            <w:tcW w:w="800" w:type="dxa"/>
            <w:shd w:val="clear" w:color="auto" w:fill="D9D9D9"/>
            <w:vAlign w:val="center"/>
          </w:tcPr>
          <w:p>
            <w:pPr>
              <w:bidi/>
              <w:spacing w:before="40" w:after="40" w:line="260" w:lineRule="auto"/>
              <w:jc w:val="center"/>
            </w:pPr>
            <w:r>
              <w:rPr>
                <w:rFonts w:ascii="Times New Roman" w:hAnsi="Times New Roman" w:cs="B Lotus"/>
                <w:b/>
                <w:bCs/>
                <w:szCs w:val="20"/>
                <w:rtl/>
              </w:rPr>
              <w:t xml:space="preserve">ردیف</w:t>
            </w:r>
          </w:p>
        </w:tc>
        <w:tc>
          <w:tcPr>
            <w:tcW w:w="2300" w:type="dxa"/>
            <w:shd w:val="clear" w:color="auto" w:fill="D9D9D9"/>
            <w:vAlign w:val="center"/>
          </w:tcPr>
          <w:p>
            <w:pPr>
              <w:bidi/>
              <w:spacing w:before="40" w:after="40" w:line="260" w:lineRule="auto"/>
              <w:jc w:val="both"/>
            </w:pPr>
            <w:r>
              <w:rPr>
                <w:rFonts w:ascii="Times New Roman" w:hAnsi="Times New Roman" w:cs="B Lotus"/>
                <w:b/>
                <w:bCs/>
                <w:szCs w:val="20"/>
                <w:rtl/>
              </w:rPr>
              <w:t xml:space="preserve">نظر داور</w:t>
            </w:r>
          </w:p>
        </w:tc>
        <w:tc>
          <w:tcPr>
            <w:tcW w:w="4300" w:type="dxa"/>
            <w:shd w:val="clear" w:color="auto" w:fill="D9D9D9"/>
            <w:vAlign w:val="center"/>
          </w:tcPr>
          <w:p>
            <w:pPr>
              <w:bidi/>
              <w:spacing w:before="40" w:after="40" w:line="260" w:lineRule="auto"/>
              <w:jc w:val="both"/>
            </w:pPr>
            <w:r>
              <w:rPr>
                <w:rFonts w:ascii="Times New Roman" w:hAnsi="Times New Roman" w:cs="B Lotus"/>
                <w:b/>
                <w:bCs/>
                <w:szCs w:val="20"/>
                <w:rtl/>
              </w:rPr>
              <w:t xml:space="preserve">اصلاح انجام‌شده</w:t>
            </w:r>
          </w:p>
        </w:tc>
        <w:tc>
          <w:tcPr>
            <w:tcW w:w="4100" w:type="dxa"/>
            <w:shd w:val="clear" w:color="auto" w:fill="D9D9D9"/>
            <w:vAlign w:val="center"/>
          </w:tcPr>
          <w:p>
            <w:pPr>
              <w:bidi/>
              <w:spacing w:before="40" w:after="40" w:line="260" w:lineRule="auto"/>
              <w:jc w:val="both"/>
            </w:pPr>
            <w:r>
              <w:rPr>
                <w:rFonts w:ascii="Times New Roman" w:hAnsi="Times New Roman" w:cs="B Lotus"/>
                <w:b/>
                <w:bCs/>
                <w:szCs w:val="20"/>
                <w:rtl/>
              </w:rPr>
              <w:t xml:space="preserve">متن اصلاح‌شده (خلاصه یا نمونه)</w:t>
            </w:r>
          </w:p>
        </w:tc>
        <w:tc>
          <w:tcPr>
            <w:tcW w:w="1500" w:type="dxa"/>
            <w:shd w:val="clear" w:color="auto" w:fill="D9D9D9"/>
            <w:vAlign w:val="center"/>
          </w:tcPr>
          <w:p>
            <w:pPr>
              <w:bidi/>
              <w:spacing w:before="40" w:after="40" w:line="260" w:lineRule="auto"/>
              <w:jc w:val="center"/>
            </w:pPr>
            <w:r>
              <w:rPr>
                <w:rFonts w:ascii="Times New Roman" w:hAnsi="Times New Roman" w:cs="B Lotus"/>
                <w:b/>
                <w:bCs/>
                <w:szCs w:val="20"/>
                <w:rtl/>
              </w:rPr>
              <w:t xml:space="preserve">بخش</w:t>
            </w:r>
          </w:p>
        </w:tc>
        <w:tc>
          <w:tcPr>
            <w:tcW w:w="1000" w:type="dxa"/>
            <w:shd w:val="clear" w:color="auto" w:fill="D9D9D9"/>
            <w:vAlign w:val="center"/>
          </w:tcPr>
          <w:p>
            <w:pPr>
              <w:bidi/>
              <w:spacing w:before="40" w:after="40" w:line="260" w:lineRule="auto"/>
              <w:jc w:val="center"/>
            </w:pPr>
            <w:r>
              <w:rPr>
                <w:rFonts w:ascii="Times New Roman" w:hAnsi="Times New Roman" w:cs="B Lotus"/>
                <w:b/>
                <w:bCs/>
                <w:szCs w:val="20"/>
                <w:rtl/>
              </w:rPr>
              <w:t xml:space="preserve">صفحه</w:t>
            </w:r>
          </w:p>
        </w:tc>
      </w:tr>
      <w:tr>
        <w:trPr>
          <w:cantSplit/>
        </w:trPr>
        <w:tc>
          <w:tcPr>
            <w:tcW w:w="800" w:type="dxa"/>
            <w:vAlign w:val="center"/>
          </w:tcPr>
          <w:p>
            <w:pPr>
              <w:bidi/>
              <w:spacing w:before="40" w:after="40" w:line="260" w:lineRule="auto"/>
              <w:jc w:val="center"/>
            </w:pPr>
            <w:r>
              <w:rPr>
                <w:rFonts w:ascii="Times New Roman" w:hAnsi="Times New Roman" w:cs="B Lotus"/>
                <w:szCs w:val="20"/>
                <w:rtl/>
              </w:rPr>
              <w:t xml:space="preserve">1</w:t>
            </w:r>
          </w:p>
        </w:tc>
        <w:tc>
          <w:tcPr>
            <w:tcW w:w="2300" w:type="dxa"/>
            <w:vAlign w:val="center"/>
          </w:tcPr>
          <w:p>
            <w:pPr>
              <w:bidi/>
              <w:spacing w:before="40" w:after="40" w:line="260" w:lineRule="auto"/>
              <w:jc w:val="both"/>
            </w:pPr>
            <w:r>
              <w:rPr>
                <w:rFonts w:ascii="Times New Roman" w:hAnsi="Times New Roman" w:cs="B Lotus"/>
                <w:szCs w:val="20"/>
                <w:rtl/>
              </w:rPr>
              <w:t xml:space="preserve">تمام منابعی که در متن استفاده شده، در پایان منابع آورده شوند.</w:t>
            </w:r>
          </w:p>
        </w:tc>
        <w:tc>
          <w:tcPr>
            <w:tcW w:w="4300" w:type="dxa"/>
            <w:vAlign w:val="center"/>
          </w:tcPr>
          <w:p>
            <w:pPr>
              <w:bidi/>
              <w:spacing w:before="40" w:after="40" w:line="260" w:lineRule="auto"/>
              <w:jc w:val="both"/>
            </w:pPr>
            <w:r>
              <w:rPr>
                <w:rFonts w:ascii="Times New Roman" w:hAnsi="Times New Roman" w:cs="B Lotus"/>
                <w:szCs w:val="20"/>
                <w:rtl/>
              </w:rPr>
              <w:t xml:space="preserve">تمامی ارجاعات درون‌متنی فصل‌ها استخراج و با فهرست منابع تطبیق داده شد. 12 منبع فارسی و 87 منبع لاتین (جمعاً 99) به‌صورت مرتب (فارسی و سپس لاتین، الفبایی) در فهرست آمده است؛ منابع ناقص (مانند هیلی و پالپو، دی‌آنجلو، پیل، چو و همکاران) تکمیل و استناد‌های متنی با فهرست یکسان شدند. ارجاعاتی که به منبع قابل شناسایی نمی‌رسیدند (حدود 30 مورد «… و همکاران، سال» در بخش‌های 2-5 و 2-6 و چند ارجاع در بخش‌های 2-2 و 2-4) حذف یا با منبع معتبر جایگزین شدند (فهرست در جدول 3 همین گزارش).</w:t>
            </w:r>
          </w:p>
        </w:tc>
        <w:tc>
          <w:tcPr>
            <w:tcW w:w="4100" w:type="dxa"/>
            <w:vAlign w:val="center"/>
          </w:tcPr>
          <w:p>
            <w:pPr>
              <w:bidi/>
              <w:spacing w:before="40" w:after="40" w:line="260" w:lineRule="auto"/>
              <w:jc w:val="both"/>
            </w:pPr>
            <w:r>
              <w:rPr>
                <w:rFonts w:ascii="Times New Roman" w:hAnsi="Times New Roman" w:cs="B Lotus"/>
                <w:szCs w:val="20"/>
                <w:rtl/>
              </w:rPr>
              <w:t xml:space="preserve">نمونه: «دی‌آنجلو، 1981 ← </w:t>
            </w:r>
            <w:r>
              <w:rPr>
                <w:rFonts w:ascii="Times New Roman" w:hAnsi="Times New Roman" w:cs="B Lotus"/>
                <w:szCs w:val="20"/>
              </w:rPr>
              <w:t xml:space="preserve">DeAngelo, L. E. (1981). Auditor independence, 'low balling', and disclosure regulation. Journal of Accounting and Economics, 3(2), 113-127</w:t>
            </w:r>
            <w:r>
              <w:rPr>
                <w:rFonts w:ascii="Times New Roman" w:hAnsi="Times New Roman" w:cs="B Lotus"/>
                <w:szCs w:val="20"/>
                <w:rtl/>
              </w:rPr>
              <w:t xml:space="preserve">.»</w:t>
            </w:r>
          </w:p>
          <w:p>
            <w:pPr>
              <w:bidi/>
              <w:spacing w:before="40" w:after="40" w:line="260" w:lineRule="auto"/>
              <w:jc w:val="both"/>
            </w:pPr>
            <w:r>
              <w:rPr>
                <w:rFonts w:ascii="Times New Roman" w:hAnsi="Times New Roman" w:cs="B Lotus"/>
                <w:szCs w:val="20"/>
                <w:rtl/>
              </w:rPr>
              <w:t xml:space="preserve">نمونهٔ منبع جدید: «رشیدی، محسن و حاجی‌زاده، شکوفه (1403). نرخ‌شکنی حق‌الزحمه حسابرسی در حسابرسی نخستین: پیامدها و اهمیت صاحبکار…»</w:t>
            </w:r>
          </w:p>
        </w:tc>
        <w:tc>
          <w:tcPr>
            <w:tcW w:w="1500" w:type="dxa"/>
            <w:vAlign w:val="center"/>
          </w:tcPr>
          <w:p>
            <w:pPr>
              <w:bidi/>
              <w:spacing w:before="40" w:after="40" w:line="260" w:lineRule="auto"/>
              <w:jc w:val="center"/>
            </w:pPr>
            <w:r>
              <w:rPr>
                <w:rFonts w:ascii="Times New Roman" w:hAnsi="Times New Roman" w:cs="B Lotus"/>
                <w:szCs w:val="20"/>
                <w:rtl/>
              </w:rPr>
              <w:t xml:space="preserve">منابع</w:t>
            </w:r>
          </w:p>
        </w:tc>
        <w:tc>
          <w:tcPr>
            <w:tcW w:w="1000" w:type="dxa"/>
            <w:vAlign w:val="center"/>
          </w:tcPr>
          <w:p>
            <w:pPr>
              <w:bidi/>
              <w:spacing w:before="40" w:after="40" w:line="260" w:lineRule="auto"/>
              <w:jc w:val="center"/>
            </w:pPr>
            <w:r>
              <w:rPr>
                <w:rFonts w:ascii="Times New Roman" w:hAnsi="Times New Roman" w:cs="B Lotus"/>
                <w:szCs w:val="20"/>
                <w:rtl/>
              </w:rPr>
              <w:t xml:space="preserve">126 تا 132</w:t>
            </w:r>
          </w:p>
        </w:tc>
      </w:tr>
      <w:tr>
        <w:trPr>
          <w:cantSplit/>
        </w:trPr>
        <w:tc>
          <w:tcPr>
            <w:tcW w:w="800" w:type="dxa"/>
            <w:vAlign w:val="center"/>
          </w:tcPr>
          <w:p>
            <w:pPr>
              <w:bidi/>
              <w:spacing w:before="40" w:after="40" w:line="260" w:lineRule="auto"/>
              <w:jc w:val="center"/>
            </w:pPr>
            <w:r>
              <w:rPr>
                <w:rFonts w:ascii="Times New Roman" w:hAnsi="Times New Roman" w:cs="B Lotus"/>
                <w:szCs w:val="20"/>
                <w:rtl/>
              </w:rPr>
              <w:t xml:space="preserve">2</w:t>
            </w:r>
          </w:p>
        </w:tc>
        <w:tc>
          <w:tcPr>
            <w:tcW w:w="2300" w:type="dxa"/>
            <w:vAlign w:val="center"/>
          </w:tcPr>
          <w:p>
            <w:pPr>
              <w:bidi/>
              <w:spacing w:before="40" w:after="40" w:line="260" w:lineRule="auto"/>
              <w:jc w:val="both"/>
            </w:pPr>
            <w:r>
              <w:rPr>
                <w:rFonts w:ascii="Times New Roman" w:hAnsi="Times New Roman" w:cs="B Lotus"/>
                <w:szCs w:val="20"/>
                <w:rtl/>
              </w:rPr>
              <w:t xml:space="preserve">فهرست مطالب افزوده شود.</w:t>
            </w:r>
          </w:p>
        </w:tc>
        <w:tc>
          <w:tcPr>
            <w:tcW w:w="4300" w:type="dxa"/>
            <w:vAlign w:val="center"/>
          </w:tcPr>
          <w:p>
            <w:pPr>
              <w:bidi/>
              <w:spacing w:before="40" w:after="40" w:line="260" w:lineRule="auto"/>
              <w:jc w:val="both"/>
            </w:pPr>
            <w:r>
              <w:rPr>
                <w:rFonts w:ascii="Times New Roman" w:hAnsi="Times New Roman" w:cs="B Lotus"/>
                <w:szCs w:val="20"/>
                <w:rtl/>
              </w:rPr>
              <w:t xml:space="preserve">فهرست مطالب خودکار (سه سطح: فصل، بخش، زیربخش) با شماره صفحه پس از صفحهٔ عنوان افزوده شد. همهٔ عنوان‌ها دارای سطح‌بندی هستند تا با کلید </w:t>
            </w:r>
            <w:r>
              <w:rPr>
                <w:rFonts w:ascii="Times New Roman" w:hAnsi="Times New Roman" w:cs="B Lotus"/>
                <w:szCs w:val="20"/>
              </w:rPr>
              <w:t xml:space="preserve">F9</w:t>
            </w:r>
            <w:r>
              <w:rPr>
                <w:rFonts w:ascii="Times New Roman" w:hAnsi="Times New Roman" w:cs="B Lotus"/>
                <w:szCs w:val="20"/>
                <w:rtl/>
              </w:rPr>
              <w:t xml:space="preserve"> در </w:t>
            </w:r>
            <w:r>
              <w:rPr>
                <w:rFonts w:ascii="Times New Roman" w:hAnsi="Times New Roman" w:cs="B Lotus"/>
                <w:szCs w:val="20"/>
              </w:rPr>
              <w:t xml:space="preserve">Word</w:t>
            </w:r>
            <w:r>
              <w:rPr>
                <w:rFonts w:ascii="Times New Roman" w:hAnsi="Times New Roman" w:cs="B Lotus"/>
                <w:szCs w:val="20"/>
                <w:rtl/>
              </w:rPr>
              <w:t xml:space="preserve"> به‌روز شود.</w:t>
            </w:r>
          </w:p>
        </w:tc>
        <w:tc>
          <w:tcPr>
            <w:tcW w:w="4100" w:type="dxa"/>
            <w:vAlign w:val="center"/>
          </w:tcPr>
          <w:p>
            <w:pPr>
              <w:bidi/>
              <w:spacing w:before="40" w:after="40" w:line="260" w:lineRule="auto"/>
              <w:jc w:val="both"/>
            </w:pPr>
            <w:r>
              <w:rPr>
                <w:rFonts w:ascii="Times New Roman" w:hAnsi="Times New Roman" w:cs="B Lotus"/>
                <w:szCs w:val="20"/>
                <w:rtl/>
              </w:rPr>
              <w:t xml:space="preserve">فهرست مطالب شامل فصل اول تا پنجم، منابع، پیوست‌ها و چکیده لاتین است.</w:t>
            </w:r>
          </w:p>
        </w:tc>
        <w:tc>
          <w:tcPr>
            <w:tcW w:w="1500" w:type="dxa"/>
            <w:vAlign w:val="center"/>
          </w:tcPr>
          <w:p>
            <w:pPr>
              <w:bidi/>
              <w:spacing w:before="40" w:after="40" w:line="260" w:lineRule="auto"/>
              <w:jc w:val="center"/>
            </w:pPr>
            <w:r>
              <w:rPr>
                <w:rFonts w:ascii="Times New Roman" w:hAnsi="Times New Roman" w:cs="B Lotus"/>
                <w:szCs w:val="20"/>
                <w:rtl/>
              </w:rPr>
              <w:t xml:space="preserve">فهرست مطالب</w:t>
            </w:r>
          </w:p>
        </w:tc>
        <w:tc>
          <w:tcPr>
            <w:tcW w:w="1000" w:type="dxa"/>
            <w:vAlign w:val="center"/>
          </w:tcPr>
          <w:p>
            <w:pPr>
              <w:bidi/>
              <w:spacing w:before="40" w:after="40" w:line="260" w:lineRule="auto"/>
              <w:jc w:val="center"/>
            </w:pPr>
            <w:r>
              <w:rPr>
                <w:rFonts w:ascii="Times New Roman" w:hAnsi="Times New Roman" w:cs="B Lotus"/>
                <w:szCs w:val="20"/>
                <w:rtl/>
              </w:rPr>
              <w:t xml:space="preserve">3</w:t>
            </w:r>
          </w:p>
        </w:tc>
      </w:tr>
      <w:tr>
        <w:trPr>
          <w:cantSplit/>
        </w:trPr>
        <w:tc>
          <w:tcPr>
            <w:tcW w:w="800" w:type="dxa"/>
            <w:vAlign w:val="center"/>
          </w:tcPr>
          <w:p>
            <w:pPr>
              <w:bidi/>
              <w:spacing w:before="40" w:after="40" w:line="260" w:lineRule="auto"/>
              <w:jc w:val="center"/>
            </w:pPr>
            <w:r>
              <w:rPr>
                <w:rFonts w:ascii="Times New Roman" w:hAnsi="Times New Roman" w:cs="B Lotus"/>
                <w:szCs w:val="20"/>
                <w:rtl/>
              </w:rPr>
              <w:t xml:space="preserve">3</w:t>
            </w:r>
          </w:p>
        </w:tc>
        <w:tc>
          <w:tcPr>
            <w:tcW w:w="2300" w:type="dxa"/>
            <w:vAlign w:val="center"/>
          </w:tcPr>
          <w:p>
            <w:pPr>
              <w:bidi/>
              <w:spacing w:before="40" w:after="40" w:line="260" w:lineRule="auto"/>
              <w:jc w:val="both"/>
            </w:pPr>
            <w:r>
              <w:rPr>
                <w:rFonts w:ascii="Times New Roman" w:hAnsi="Times New Roman" w:cs="B Lotus"/>
                <w:szCs w:val="20"/>
                <w:rtl/>
              </w:rPr>
              <w:t xml:space="preserve">چکیدهٔ فارسی بعد از فهرست مطالب اضافه شود.</w:t>
            </w:r>
          </w:p>
        </w:tc>
        <w:tc>
          <w:tcPr>
            <w:tcW w:w="4300" w:type="dxa"/>
            <w:vAlign w:val="center"/>
          </w:tcPr>
          <w:p>
            <w:pPr>
              <w:bidi/>
              <w:spacing w:before="40" w:after="40" w:line="260" w:lineRule="auto"/>
              <w:jc w:val="both"/>
            </w:pPr>
            <w:r>
              <w:rPr>
                <w:rFonts w:ascii="Times New Roman" w:hAnsi="Times New Roman" w:cs="B Lotus"/>
                <w:szCs w:val="20"/>
                <w:rtl/>
              </w:rPr>
              <w:t xml:space="preserve">چکیدهٔ فارسی (حدود 300 کلمه، شامل هدف، روش، نمونه، نتایج هر پنج فرضیه و کلیدواژه‌ها) بلافاصله بعد از فهرست مطالب افزوده شد.</w:t>
            </w:r>
          </w:p>
        </w:tc>
        <w:tc>
          <w:tcPr>
            <w:tcW w:w="4100" w:type="dxa"/>
            <w:vAlign w:val="center"/>
          </w:tcPr>
          <w:p>
            <w:pPr>
              <w:bidi/>
              <w:spacing w:before="40" w:after="40" w:line="260" w:lineRule="auto"/>
              <w:jc w:val="both"/>
            </w:pPr>
            <w:r>
              <w:rPr>
                <w:rFonts w:ascii="Times New Roman" w:hAnsi="Times New Roman" w:cs="B Lotus"/>
                <w:szCs w:val="20"/>
                <w:rtl/>
              </w:rPr>
              <w:t xml:space="preserve">حق‌الزحمهٔ حسابرسی یکی از مهم‌ترین مؤلفه‌های رابطهٔ حسابرس و صاحبکار است و رفتار قیمت‌گذاری مؤسسات حسابرسی، به‌ویژه کاهش حق‌الزحمه در سال نخست و بازیابی آن در سال‌های بعد، نگرانی نهادهای نظارتی را دربارهٔ استقلال و کیفیت حسابرسی برانگیخته است. هدف پژوهش حاضر بررسی هزینه‌های حسابرسی و ارائهٔ مدلی برای پیش‌بینی آن، با تمرکز بر عوامل تعیین‌کنندهٔ کاهش هزینه، ریکاوری (بازیابی) حق‌الزحمه و کیفیت حسابرسی آینده است.</w:t>
            </w:r>
          </w:p>
          <w:p>
            <w:pPr>
              <w:bidi/>
              <w:spacing w:before="40" w:after="40" w:line="260" w:lineRule="auto"/>
              <w:jc w:val="both"/>
            </w:pPr>
            <w:r>
              <w:rPr>
                <w:rFonts w:ascii="Times New Roman" w:hAnsi="Times New Roman" w:cs="B Lotus"/>
                <w:szCs w:val="20"/>
                <w:rtl/>
              </w:rPr>
              <w:t xml:space="preserve">نمونهٔ پژوهش شامل 137 شرکت پذیرفته‌شده در بورس اوراق بهادار تهران طی سال‌های 1396 تا 1402 (959 مشاهدهٔ سال-شرکت) است. پنج فرضیه با رگرسیون داده‌های تابلویی با اثرات ثابت در نرم‌افزار </w:t>
            </w:r>
            <w:r>
              <w:rPr>
                <w:rFonts w:ascii="Times New Roman" w:hAnsi="Times New Roman" w:cs="B Lotus"/>
                <w:szCs w:val="20"/>
              </w:rPr>
              <w:t xml:space="preserve">EViews</w:t>
            </w:r>
            <w:r>
              <w:rPr>
                <w:rFonts w:ascii="Times New Roman" w:hAnsi="Times New Roman" w:cs="B Lotus"/>
                <w:szCs w:val="20"/>
                <w:rtl/>
              </w:rPr>
              <w:t xml:space="preserve"> آزمون شد و مدل هزینهٔ حسابرسی سال اول برای محاسبهٔ فشار هزینه‌ای حسابرس به‌کار رفت.</w:t>
            </w:r>
          </w:p>
          <w:p>
            <w:pPr>
              <w:bidi/>
              <w:spacing w:before="40" w:after="40" w:line="260" w:lineRule="auto"/>
              <w:jc w:val="both"/>
            </w:pPr>
            <w:r>
              <w:rPr>
                <w:rFonts w:ascii="Times New Roman" w:hAnsi="Times New Roman" w:cs="B Lotus"/>
                <w:szCs w:val="20"/>
                <w:rtl/>
              </w:rPr>
              <w:t xml:space="preserve">نتایج نشان داد: (1) بین سطح حق‌الزحمه‌های غیرحسابرسی و هزینهٔ حسابرسی رابطهٔ معناداری وجود ندارد؛ (2) اهمیت مشتری در مؤسسات حسابرسی کوچک با کاهش هزینهٔ حسابرسی رابطه دارد (ضریب 0.296-) و این اثر در مؤسسات بزرگ به‌طور معناداری تضعیف می‌شود؛ (3) مؤسساتی که هزینهٔ حسابرسی اولیهٔ پایین‌تری دارند، در سال‌های بعد افزایش بیشتری در حق‌الزحمه تجربه می‌کنند (ضریب 0.649-)؛ (4) بین هزینهٔ حسابرسی و سهم حق‌الزحمه‌های غیرحسابرسی رابطهٔ منفی و معنادار وجود دارد و فرضیهٔ چهارم تأیید نشد؛ و (5) کیفیت حسابرسی آینده به میزان بازیابی حق‌الزحمه وابسته نیست. یافته‌ها نشان می‌دهد کاهش اولیهٔ هزینه در بازار حسابرسی ایران عمدتاً از طریق افزایش حق‌الزحمهٔ حسابرسی در سال‌های بعد جبران می‌شود، بدون آنکه کیفیت حسابرسی آینده به‌طور معناداری کاهش یابد.</w:t>
            </w:r>
          </w:p>
          <w:p>
            <w:pPr>
              <w:bidi/>
              <w:spacing w:before="40" w:after="40" w:line="260" w:lineRule="auto"/>
              <w:jc w:val="both"/>
            </w:pPr>
            <w:r>
              <w:rPr>
                <w:rFonts w:ascii="Times New Roman" w:hAnsi="Times New Roman" w:cs="B Lotus"/>
                <w:szCs w:val="20"/>
                <w:rtl/>
              </w:rPr>
              <w:t xml:space="preserve">کلیدواژه‌ها: هزینهٔ حسابرسی، کاهش اولیهٔ حق‌الزحمه (نرخ‌شکنی)، ریکاوری حق‌الزحمه، کیفیت حسابرسی، اهمیت مشتری، خدمات غیرحسابرسی</w:t>
            </w:r>
          </w:p>
        </w:tc>
        <w:tc>
          <w:tcPr>
            <w:tcW w:w="1500" w:type="dxa"/>
            <w:vAlign w:val="center"/>
          </w:tcPr>
          <w:p>
            <w:pPr>
              <w:bidi/>
              <w:spacing w:before="40" w:after="40" w:line="260" w:lineRule="auto"/>
              <w:jc w:val="center"/>
            </w:pPr>
            <w:r>
              <w:rPr>
                <w:rFonts w:ascii="Times New Roman" w:hAnsi="Times New Roman" w:cs="B Lotus"/>
                <w:szCs w:val="20"/>
                <w:rtl/>
              </w:rPr>
              <w:t xml:space="preserve">چکیده</w:t>
            </w:r>
          </w:p>
        </w:tc>
        <w:tc>
          <w:tcPr>
            <w:tcW w:w="1000" w:type="dxa"/>
            <w:vAlign w:val="center"/>
          </w:tcPr>
          <w:p>
            <w:pPr>
              <w:bidi/>
              <w:spacing w:before="40" w:after="40" w:line="260" w:lineRule="auto"/>
              <w:jc w:val="center"/>
            </w:pPr>
            <w:r>
              <w:rPr>
                <w:rFonts w:ascii="Times New Roman" w:hAnsi="Times New Roman" w:cs="B Lotus"/>
                <w:szCs w:val="20"/>
                <w:rtl/>
              </w:rPr>
              <w:t xml:space="preserve">7</w:t>
            </w:r>
          </w:p>
        </w:tc>
      </w:tr>
      <w:tr>
        <w:trPr>
          <w:cantSplit/>
        </w:trPr>
        <w:tc>
          <w:tcPr>
            <w:tcW w:w="800" w:type="dxa"/>
            <w:vAlign w:val="center"/>
          </w:tcPr>
          <w:p>
            <w:pPr>
              <w:bidi/>
              <w:spacing w:before="40" w:after="40" w:line="260" w:lineRule="auto"/>
              <w:jc w:val="center"/>
            </w:pPr>
            <w:r>
              <w:rPr>
                <w:rFonts w:ascii="Times New Roman" w:hAnsi="Times New Roman" w:cs="B Lotus"/>
                <w:szCs w:val="20"/>
                <w:rtl/>
              </w:rPr>
              <w:t xml:space="preserve">4</w:t>
            </w:r>
          </w:p>
        </w:tc>
        <w:tc>
          <w:tcPr>
            <w:tcW w:w="2300" w:type="dxa"/>
            <w:vAlign w:val="center"/>
          </w:tcPr>
          <w:p>
            <w:pPr>
              <w:bidi/>
              <w:spacing w:before="40" w:after="40" w:line="260" w:lineRule="auto"/>
              <w:jc w:val="both"/>
            </w:pPr>
            <w:r>
              <w:rPr>
                <w:rFonts w:ascii="Times New Roman" w:hAnsi="Times New Roman" w:cs="B Lotus"/>
                <w:szCs w:val="20"/>
                <w:rtl/>
              </w:rPr>
              <w:t xml:space="preserve">چکیدهٔ لاتین در پایان رساله آورده شود.</w:t>
            </w:r>
          </w:p>
        </w:tc>
        <w:tc>
          <w:tcPr>
            <w:tcW w:w="4300" w:type="dxa"/>
            <w:vAlign w:val="center"/>
          </w:tcPr>
          <w:p>
            <w:pPr>
              <w:bidi/>
              <w:spacing w:before="40" w:after="40" w:line="260" w:lineRule="auto"/>
              <w:jc w:val="both"/>
            </w:pPr>
            <w:r>
              <w:rPr>
                <w:rFonts w:ascii="Times New Roman" w:hAnsi="Times New Roman" w:cs="B Lotus"/>
                <w:szCs w:val="20"/>
                <w:rtl/>
              </w:rPr>
              <w:t xml:space="preserve">چکیدهٔ انگلیسی (</w:t>
            </w:r>
            <w:r>
              <w:rPr>
                <w:rFonts w:ascii="Times New Roman" w:hAnsi="Times New Roman" w:cs="B Lotus"/>
                <w:szCs w:val="20"/>
              </w:rPr>
              <w:t xml:space="preserve">Abstract)</w:t>
            </w:r>
            <w:r>
              <w:rPr>
                <w:rFonts w:ascii="Times New Roman" w:hAnsi="Times New Roman" w:cs="B Lotus"/>
                <w:szCs w:val="20"/>
                <w:rtl/>
              </w:rPr>
              <w:t xml:space="preserve"> با عنوان و کلیدواژه‌ها در انتهای رساله، بعد از پیوست‌ها، افزوده شد.</w:t>
            </w:r>
          </w:p>
        </w:tc>
        <w:tc>
          <w:tcPr>
            <w:tcW w:w="4100" w:type="dxa"/>
            <w:vAlign w:val="center"/>
          </w:tcPr>
          <w:p>
            <w:pPr>
              <w:bidi/>
              <w:spacing w:before="40" w:after="40" w:line="260" w:lineRule="auto"/>
              <w:jc w:val="both"/>
            </w:pPr>
            <w:r>
              <w:rPr>
                <w:rFonts w:ascii="Times New Roman" w:hAnsi="Times New Roman" w:cs="B Lotus"/>
                <w:szCs w:val="20"/>
              </w:rPr>
              <w:t xml:space="preserve">Investigating Audit Costs and Presenting a Model for Predicting Them: Determinants, Recovery, and Future Audit Quality</w:t>
            </w:r>
          </w:p>
          <w:p>
            <w:pPr>
              <w:bidi/>
              <w:spacing w:before="40" w:after="40" w:line="260" w:lineRule="auto"/>
              <w:jc w:val="both"/>
            </w:pPr>
            <w:r>
              <w:rPr>
                <w:rFonts w:ascii="Times New Roman" w:hAnsi="Times New Roman" w:cs="B Lotus"/>
                <w:szCs w:val="20"/>
              </w:rPr>
              <w:t xml:space="preserve">Audit fees are a central element of the auditor-client relationship, and the pricing behavior of audit firms, in particular fee discounts in the first year of an engagement and their recovery in later years, has raised regulatory concerns about auditor independence and audit quality. This study investigates audit costs and develops a model for predicting them, focusing on the determinants of the initial fee discount, fee recovery, and future audit quality</w:t>
            </w:r>
            <w:r>
              <w:rPr>
                <w:rFonts w:ascii="Times New Roman" w:hAnsi="Times New Roman" w:cs="B Lotus"/>
                <w:szCs w:val="20"/>
                <w:rtl/>
              </w:rPr>
              <w:t xml:space="preserve">.</w:t>
            </w:r>
          </w:p>
          <w:p>
            <w:pPr>
              <w:bidi/>
              <w:spacing w:before="40" w:after="40" w:line="260" w:lineRule="auto"/>
              <w:jc w:val="both"/>
            </w:pPr>
            <w:r>
              <w:rPr>
                <w:rFonts w:ascii="Times New Roman" w:hAnsi="Times New Roman" w:cs="B Lotus"/>
                <w:szCs w:val="20"/>
              </w:rPr>
              <w:t xml:space="preserve">The sample consists of 137 firms listed on the Tehran Stock Exchange over the period 1396-1402 (Iranian calendar), yielding 959 firm-year observations. Five hypotheses were tested using fixed-effects panel regression in EViews, and a first</w:t>
            </w:r>
            <w:r>
              <w:rPr>
                <w:rFonts w:ascii="Times New Roman" w:hAnsi="Times New Roman" w:cs="B Lotus"/>
                <w:szCs w:val="20"/>
                <w:rtl/>
              </w:rPr>
              <w:t xml:space="preserve"> …</w:t>
            </w:r>
          </w:p>
        </w:tc>
        <w:tc>
          <w:tcPr>
            <w:tcW w:w="1500" w:type="dxa"/>
            <w:vAlign w:val="center"/>
          </w:tcPr>
          <w:p>
            <w:pPr>
              <w:bidi/>
              <w:spacing w:before="40" w:after="40" w:line="260" w:lineRule="auto"/>
              <w:jc w:val="center"/>
            </w:pPr>
            <w:r>
              <w:rPr>
                <w:rFonts w:ascii="Times New Roman" w:hAnsi="Times New Roman" w:cs="B Lotus"/>
                <w:szCs w:val="20"/>
                <w:rtl/>
              </w:rPr>
              <w:t xml:space="preserve">پایان رساله</w:t>
            </w:r>
          </w:p>
        </w:tc>
        <w:tc>
          <w:tcPr>
            <w:tcW w:w="1000" w:type="dxa"/>
            <w:vAlign w:val="center"/>
          </w:tcPr>
          <w:p>
            <w:pPr>
              <w:bidi/>
              <w:spacing w:before="40" w:after="40" w:line="260" w:lineRule="auto"/>
              <w:jc w:val="center"/>
            </w:pPr>
            <w:r>
              <w:rPr>
                <w:rFonts w:ascii="Times New Roman" w:hAnsi="Times New Roman" w:cs="B Lotus"/>
                <w:szCs w:val="20"/>
                <w:rtl/>
              </w:rPr>
              <w:t xml:space="preserve">145</w:t>
            </w:r>
          </w:p>
        </w:tc>
      </w:tr>
      <w:tr>
        <w:trPr>
          <w:cantSplit/>
        </w:trPr>
        <w:tc>
          <w:tcPr>
            <w:tcW w:w="800" w:type="dxa"/>
            <w:vAlign w:val="center"/>
          </w:tcPr>
          <w:p>
            <w:pPr>
              <w:bidi/>
              <w:spacing w:before="40" w:after="40" w:line="260" w:lineRule="auto"/>
              <w:jc w:val="center"/>
            </w:pPr>
            <w:r>
              <w:rPr>
                <w:rFonts w:ascii="Times New Roman" w:hAnsi="Times New Roman" w:cs="B Lotus"/>
                <w:szCs w:val="20"/>
                <w:rtl/>
              </w:rPr>
              <w:t xml:space="preserve">5</w:t>
            </w:r>
          </w:p>
        </w:tc>
        <w:tc>
          <w:tcPr>
            <w:tcW w:w="2300" w:type="dxa"/>
            <w:vAlign w:val="center"/>
          </w:tcPr>
          <w:p>
            <w:pPr>
              <w:bidi/>
              <w:spacing w:before="40" w:after="40" w:line="260" w:lineRule="auto"/>
              <w:jc w:val="both"/>
            </w:pPr>
            <w:r>
              <w:rPr>
                <w:rFonts w:ascii="Times New Roman" w:hAnsi="Times New Roman" w:cs="B Lotus"/>
                <w:szCs w:val="20"/>
                <w:rtl/>
              </w:rPr>
              <w:t xml:space="preserve">در آخر هر فصل، عنوانی به نام «خلاصهٔ فصل» (جمع‌بندی فصل و انتقال به فصل بعد) آورده شود.</w:t>
            </w:r>
          </w:p>
        </w:tc>
        <w:tc>
          <w:tcPr>
            <w:tcW w:w="4300" w:type="dxa"/>
            <w:vAlign w:val="center"/>
          </w:tcPr>
          <w:p>
            <w:pPr>
              <w:bidi/>
              <w:spacing w:before="40" w:after="40" w:line="260" w:lineRule="auto"/>
              <w:jc w:val="both"/>
            </w:pPr>
            <w:r>
              <w:rPr>
                <w:rFonts w:ascii="Times New Roman" w:hAnsi="Times New Roman" w:cs="B Lotus"/>
                <w:szCs w:val="20"/>
                <w:rtl/>
              </w:rPr>
              <w:t xml:space="preserve">در انتهای هر پنج فصل بخش «خلاصهٔ فصل» افزوده شد؛ هر خلاصه شامل جمع‌بندی مطالب و پیوند با فصل بعد است (فصل پنجم: جمع‌بندی نهایی).</w:t>
            </w:r>
          </w:p>
        </w:tc>
        <w:tc>
          <w:tcPr>
            <w:tcW w:w="4100" w:type="dxa"/>
            <w:vAlign w:val="center"/>
          </w:tcPr>
          <w:p>
            <w:pPr>
              <w:bidi/>
              <w:spacing w:before="40" w:after="40" w:line="260" w:lineRule="auto"/>
              <w:jc w:val="both"/>
            </w:pPr>
            <w:r>
              <w:rPr>
                <w:rFonts w:ascii="Times New Roman" w:hAnsi="Times New Roman" w:cs="B Lotus"/>
                <w:szCs w:val="20"/>
                <w:rtl/>
              </w:rPr>
              <w:t xml:space="preserve">فصل اول: «در این فصل زمینه و اهمیت موضوع… فصل بعد (فصل دوم) مبانی نظری پژوهش…»</w:t>
            </w:r>
          </w:p>
          <w:p>
            <w:pPr>
              <w:bidi/>
              <w:spacing w:before="40" w:after="40" w:line="260" w:lineRule="auto"/>
              <w:jc w:val="both"/>
            </w:pPr>
            <w:r>
              <w:rPr>
                <w:rFonts w:ascii="Times New Roman" w:hAnsi="Times New Roman" w:cs="B Lotus"/>
                <w:szCs w:val="20"/>
                <w:rtl/>
              </w:rPr>
              <w:t xml:space="preserve">فصل سوم: «…فصل بعد (فصل چهارم) به تجزیه و تحلیل داده‌ها اختصاص دارد…»</w:t>
            </w:r>
          </w:p>
          <w:p>
            <w:pPr>
              <w:bidi/>
              <w:spacing w:before="40" w:after="40" w:line="260" w:lineRule="auto"/>
              <w:jc w:val="both"/>
            </w:pPr>
            <w:r>
              <w:rPr>
                <w:rFonts w:ascii="Times New Roman" w:hAnsi="Times New Roman" w:cs="B Lotus"/>
                <w:szCs w:val="20"/>
                <w:rtl/>
              </w:rPr>
              <w:t xml:space="preserve">(متن کامل هر خلاصه در رساله)</w:t>
            </w:r>
          </w:p>
        </w:tc>
        <w:tc>
          <w:tcPr>
            <w:tcW w:w="1500" w:type="dxa"/>
            <w:vAlign w:val="center"/>
          </w:tcPr>
          <w:p>
            <w:pPr>
              <w:bidi/>
              <w:spacing w:before="40" w:after="40" w:line="260" w:lineRule="auto"/>
              <w:jc w:val="center"/>
            </w:pPr>
            <w:r>
              <w:rPr>
                <w:rFonts w:ascii="Times New Roman" w:hAnsi="Times New Roman" w:cs="B Lotus"/>
                <w:szCs w:val="20"/>
                <w:rtl/>
              </w:rPr>
              <w:t xml:space="preserve">پایان هر فصل: 1-8، 2-8، 3-9، 4-6، 5-8</w:t>
            </w:r>
          </w:p>
        </w:tc>
        <w:tc>
          <w:tcPr>
            <w:tcW w:w="1000" w:type="dxa"/>
            <w:vAlign w:val="center"/>
          </w:tcPr>
          <w:p>
            <w:pPr>
              <w:bidi/>
              <w:spacing w:before="40" w:after="40" w:line="260" w:lineRule="auto"/>
              <w:jc w:val="center"/>
            </w:pPr>
            <w:r>
              <w:rPr>
                <w:rFonts w:ascii="Times New Roman" w:hAnsi="Times New Roman" w:cs="B Lotus"/>
                <w:szCs w:val="20"/>
                <w:rtl/>
              </w:rPr>
              <w:t xml:space="preserve">فصل 1: 19 | فصل 2: 78 | فصل 3: 93 | فصل 4: 111 | فصل 5: 124</w:t>
            </w:r>
          </w:p>
        </w:tc>
      </w:tr>
      <w:tr>
        <w:trPr>
          <w:cantSplit/>
        </w:trPr>
        <w:tc>
          <w:tcPr>
            <w:tcW w:w="800" w:type="dxa"/>
            <w:vAlign w:val="center"/>
          </w:tcPr>
          <w:p>
            <w:pPr>
              <w:bidi/>
              <w:spacing w:before="40" w:after="40" w:line="260" w:lineRule="auto"/>
              <w:jc w:val="center"/>
            </w:pPr>
            <w:r>
              <w:rPr>
                <w:rFonts w:ascii="Times New Roman" w:hAnsi="Times New Roman" w:cs="B Lotus"/>
                <w:szCs w:val="20"/>
                <w:rtl/>
              </w:rPr>
              <w:t xml:space="preserve">6</w:t>
            </w:r>
          </w:p>
        </w:tc>
        <w:tc>
          <w:tcPr>
            <w:tcW w:w="2300" w:type="dxa"/>
            <w:vAlign w:val="center"/>
          </w:tcPr>
          <w:p>
            <w:pPr>
              <w:bidi/>
              <w:spacing w:before="40" w:after="40" w:line="260" w:lineRule="auto"/>
              <w:jc w:val="both"/>
            </w:pPr>
            <w:r>
              <w:rPr>
                <w:rFonts w:ascii="Times New Roman" w:hAnsi="Times New Roman" w:cs="B Lotus"/>
                <w:szCs w:val="20"/>
                <w:rtl/>
              </w:rPr>
              <w:t xml:space="preserve">پیشینهٔ پژوهش از فصل 1 به فصل 2 منتقل شود (ابتدا فارسی، بعد لاتین؛ از جدید به قدیم؛ مقالات جدید مرتبط هم آورده شود و در منابع نیز بیاید).</w:t>
            </w:r>
          </w:p>
        </w:tc>
        <w:tc>
          <w:tcPr>
            <w:tcW w:w="4300" w:type="dxa"/>
            <w:vAlign w:val="center"/>
          </w:tcPr>
          <w:p>
            <w:pPr>
              <w:bidi/>
              <w:spacing w:before="40" w:after="40" w:line="260" w:lineRule="auto"/>
              <w:jc w:val="both"/>
            </w:pPr>
            <w:r>
              <w:rPr>
                <w:rFonts w:ascii="Times New Roman" w:hAnsi="Times New Roman" w:cs="B Lotus"/>
                <w:szCs w:val="20"/>
                <w:rtl/>
              </w:rPr>
              <w:t xml:space="preserve">بخش «1-3 پیشینه پژوهش» از فصل اول حذف و به‌صورت بخش 2-7 در فصل دوم قرار گرفت. ترتیب: 2-7-1 پیشینهٔ داخلی (1403، 1400، 1395، 1395، 1394، 1392) و 2-7-2 پیشینهٔ خارجی (2026، 2025، 2023، 2020 (سه پژوهش)، 2016، 2014، 2013، 2011، 2007، 2004). پژوهش‌های جدید افزوده‌شده: رشیدی و حاجی‌زاده (1403)، سلیمانی و شکریان برنجستانکی (1400)، محمدرضایی و همکاران (2026)، امر و یوآن (2025)، نواک و نچل (2023)، کاچر و ویلسون (2016) و شرح چو و همکاران (2020)؛ همگی در فهرست منابع آمده‌اند. بندهای 2-7-3 جمع‌بندی و شکاف پژوهشی نیز افزوده شد.</w:t>
            </w:r>
          </w:p>
        </w:tc>
        <w:tc>
          <w:tcPr>
            <w:tcW w:w="4100" w:type="dxa"/>
            <w:vAlign w:val="center"/>
          </w:tcPr>
          <w:p>
            <w:pPr>
              <w:bidi/>
              <w:spacing w:before="40" w:after="40" w:line="260" w:lineRule="auto"/>
              <w:jc w:val="both"/>
            </w:pPr>
            <w:r>
              <w:rPr>
                <w:rFonts w:ascii="Times New Roman" w:hAnsi="Times New Roman" w:cs="B Lotus"/>
                <w:szCs w:val="20"/>
                <w:rtl/>
              </w:rPr>
              <w:t xml:space="preserve">رشیدی و حاجی‌زاده (1403) در مقاله‌ای با عنوان «نرخ‌شکنی حق‌الزحمه حسابرسی در حسابرسی نخستین: پیامدها و اهمیت صاحبکار» با استفاده از داده‌های 95 شرکت پذیرفته‌شده در بورس اوراق بهادار تهران طی سال‌های 1390 تا 1400 و مدل رگرسیون داده‌های ترکیبی نشان دادند که اهمیت صاحبکار بر نرخ‌شکنی حق‌الزحمه حسابرسی در حسابرسی نخستین تأثیر مثبت و معناداری دارد و اندازه مؤسسه حسابرسی بر رابطه بین اهمیت صاحبکار و نرخ‌شکنی اثرگذار است.</w:t>
            </w:r>
          </w:p>
          <w:p>
            <w:pPr>
              <w:bidi/>
              <w:spacing w:before="40" w:after="40" w:line="260" w:lineRule="auto"/>
              <w:jc w:val="both"/>
            </w:pPr>
            <w:r>
              <w:rPr>
                <w:rFonts w:ascii="Times New Roman" w:hAnsi="Times New Roman" w:cs="B Lotus"/>
                <w:szCs w:val="20"/>
                <w:rtl/>
              </w:rPr>
              <w:t xml:space="preserve">امر و یوآن (2025) در مقاله‌ای با عنوان «آیا مؤسسات حسابرسی در قراردادهای نخستین با چند حسابرس جانشین بالقوه تخفیف می‌دهند؟» نشان دادند که در شرایط رقابتی‌تر، حسابرس جانشین در نخستین سال کامل پس از تغییر حسابرس حق‌الزحمه را تخفیف می‌دهد و این تخفیف دست‌کم تا دومین سال کامل ادامه می‌یابد، اما شواهدی از افت کیفیت حسابرسی در دو سال پس از تغییر حسابرس یافت نشد.</w:t>
            </w:r>
          </w:p>
        </w:tc>
        <w:tc>
          <w:tcPr>
            <w:tcW w:w="1500" w:type="dxa"/>
            <w:vAlign w:val="center"/>
          </w:tcPr>
          <w:p>
            <w:pPr>
              <w:bidi/>
              <w:spacing w:before="40" w:after="40" w:line="260" w:lineRule="auto"/>
              <w:jc w:val="center"/>
            </w:pPr>
            <w:r>
              <w:rPr>
                <w:rFonts w:ascii="Times New Roman" w:hAnsi="Times New Roman" w:cs="B Lotus"/>
                <w:szCs w:val="20"/>
                <w:rtl/>
              </w:rPr>
              <w:t xml:space="preserve">2-7 (فصل 2)؛ حذف از 1-3 فصل 1</w:t>
            </w:r>
          </w:p>
        </w:tc>
        <w:tc>
          <w:tcPr>
            <w:tcW w:w="1000" w:type="dxa"/>
            <w:vAlign w:val="center"/>
          </w:tcPr>
          <w:p>
            <w:pPr>
              <w:bidi/>
              <w:spacing w:before="40" w:after="40" w:line="260" w:lineRule="auto"/>
              <w:jc w:val="center"/>
            </w:pPr>
            <w:r>
              <w:rPr>
                <w:rFonts w:ascii="Times New Roman" w:hAnsi="Times New Roman" w:cs="B Lotus"/>
                <w:szCs w:val="20"/>
                <w:rtl/>
              </w:rPr>
              <w:t xml:space="preserve">73 تا 78</w:t>
            </w:r>
          </w:p>
        </w:tc>
      </w:tr>
      <w:tr>
        <w:trPr>
          <w:cantSplit/>
        </w:trPr>
        <w:tc>
          <w:tcPr>
            <w:tcW w:w="800" w:type="dxa"/>
            <w:vAlign w:val="center"/>
          </w:tcPr>
          <w:p>
            <w:pPr>
              <w:bidi/>
              <w:spacing w:before="40" w:after="40" w:line="260" w:lineRule="auto"/>
              <w:jc w:val="center"/>
            </w:pPr>
            <w:r>
              <w:rPr>
                <w:rFonts w:ascii="Times New Roman" w:hAnsi="Times New Roman" w:cs="B Lotus"/>
                <w:szCs w:val="20"/>
                <w:rtl/>
              </w:rPr>
              <w:t xml:space="preserve">7-1</w:t>
            </w:r>
          </w:p>
        </w:tc>
        <w:tc>
          <w:tcPr>
            <w:tcW w:w="2300" w:type="dxa"/>
            <w:vAlign w:val="center"/>
          </w:tcPr>
          <w:p>
            <w:pPr>
              <w:bidi/>
              <w:spacing w:before="40" w:after="40" w:line="260" w:lineRule="auto"/>
              <w:jc w:val="both"/>
            </w:pPr>
            <w:r>
              <w:rPr>
                <w:rFonts w:ascii="Times New Roman" w:hAnsi="Times New Roman" w:cs="B Lotus"/>
                <w:szCs w:val="20"/>
                <w:rtl/>
              </w:rPr>
              <w:t xml:space="preserve">فصل 3 و 4 به‌طور کامل بازنویسی شود: نوع پژوهش.</w:t>
            </w:r>
          </w:p>
        </w:tc>
        <w:tc>
          <w:tcPr>
            <w:tcW w:w="4300" w:type="dxa"/>
            <w:vAlign w:val="center"/>
          </w:tcPr>
          <w:p>
            <w:pPr>
              <w:bidi/>
              <w:spacing w:before="40" w:after="40" w:line="260" w:lineRule="auto"/>
              <w:jc w:val="both"/>
            </w:pPr>
            <w:r>
              <w:rPr>
                <w:rFonts w:ascii="Times New Roman" w:hAnsi="Times New Roman" w:cs="B Lotus"/>
                <w:szCs w:val="20"/>
                <w:rtl/>
              </w:rPr>
              <w:t xml:space="preserve">فصل 3 از نو نوشته شد و بخش مستقل «3-2 نوع و روش پژوهش» شامل نوع پژوهش از نظر هدف، ماهیت و روش، رویکرد و منطق استدلال، افق زمانی و گردآوری داده‌ها افزوده شد. (در متن قبلی «نمونه‌گیری تصادفی بر پایه غربالگری» آمده بود که ناسازگار بود؛ به «حذف سیستماتیک» اصلاح شد.)</w:t>
            </w:r>
          </w:p>
        </w:tc>
        <w:tc>
          <w:tcPr>
            <w:tcW w:w="4100" w:type="dxa"/>
            <w:vAlign w:val="center"/>
          </w:tcPr>
          <w:p>
            <w:pPr>
              <w:bidi/>
              <w:spacing w:before="40" w:after="40" w:line="260" w:lineRule="auto"/>
              <w:jc w:val="both"/>
            </w:pPr>
            <w:r>
              <w:rPr>
                <w:rFonts w:ascii="Times New Roman" w:hAnsi="Times New Roman" w:cs="B Lotus"/>
                <w:szCs w:val="20"/>
                <w:rtl/>
              </w:rPr>
              <w:t xml:space="preserve">2. از نظر ماهیت و روش: پژوهش توصیفی از نوع همبستگی و در چارچوب پژوهش‌های پس‌رویدادی (تحلیل داده‌های گذشته) است. در بخش توصیفی، ویژگی‌های متغیرها و نمونه تشریح می‌شود و در بخش همبستگی، رابطهٔ بین متغیرها با مدل‌های رگرسیونی بررسی می‌گردد.</w:t>
            </w:r>
          </w:p>
          <w:p>
            <w:pPr>
              <w:bidi/>
              <w:spacing w:before="40" w:after="40" w:line="260" w:lineRule="auto"/>
              <w:jc w:val="both"/>
            </w:pPr>
            <w:r>
              <w:rPr>
                <w:rFonts w:ascii="Times New Roman" w:hAnsi="Times New Roman" w:cs="B Lotus"/>
                <w:szCs w:val="20"/>
                <w:rtl/>
              </w:rPr>
              <w:t xml:space="preserve">3. از نظر رویکرد و منطق استدلال: رویکرد پژوهش کمّی است و منطق آن قیاسی-استقرایی است؛ به این معنا که فرضیه‌ها بر پایهٔ نظریه‌های رقیب قیمت‌گذاری حسابرسی نخستین (دی‌آنجلو، 1981؛ دای، 1991) و پیشینهٔ پژوهش تدوین شده و سپس با داده‌های تجربی آزمون می‌شوند.</w:t>
            </w:r>
          </w:p>
        </w:tc>
        <w:tc>
          <w:tcPr>
            <w:tcW w:w="1500" w:type="dxa"/>
            <w:vAlign w:val="center"/>
          </w:tcPr>
          <w:p>
            <w:pPr>
              <w:bidi/>
              <w:spacing w:before="40" w:after="40" w:line="260" w:lineRule="auto"/>
              <w:jc w:val="center"/>
            </w:pPr>
            <w:r>
              <w:rPr>
                <w:rFonts w:ascii="Times New Roman" w:hAnsi="Times New Roman" w:cs="B Lotus"/>
                <w:szCs w:val="20"/>
                <w:rtl/>
              </w:rPr>
              <w:t xml:space="preserve">3-2</w:t>
            </w:r>
          </w:p>
        </w:tc>
        <w:tc>
          <w:tcPr>
            <w:tcW w:w="1000" w:type="dxa"/>
            <w:vAlign w:val="center"/>
          </w:tcPr>
          <w:p>
            <w:pPr>
              <w:bidi/>
              <w:spacing w:before="40" w:after="40" w:line="260" w:lineRule="auto"/>
              <w:jc w:val="center"/>
            </w:pPr>
            <w:r>
              <w:rPr>
                <w:rFonts w:ascii="Times New Roman" w:hAnsi="Times New Roman" w:cs="B Lotus"/>
                <w:szCs w:val="20"/>
                <w:rtl/>
              </w:rPr>
              <w:t xml:space="preserve">81</w:t>
            </w:r>
          </w:p>
        </w:tc>
      </w:tr>
      <w:tr>
        <w:trPr>
          <w:cantSplit/>
        </w:trPr>
        <w:tc>
          <w:tcPr>
            <w:tcW w:w="800" w:type="dxa"/>
            <w:vAlign w:val="center"/>
          </w:tcPr>
          <w:p>
            <w:pPr>
              <w:bidi/>
              <w:spacing w:before="40" w:after="40" w:line="260" w:lineRule="auto"/>
              <w:jc w:val="center"/>
            </w:pPr>
            <w:r>
              <w:rPr>
                <w:rFonts w:ascii="Times New Roman" w:hAnsi="Times New Roman" w:cs="B Lotus"/>
                <w:szCs w:val="20"/>
                <w:rtl/>
              </w:rPr>
              <w:t xml:space="preserve">7-2</w:t>
            </w:r>
          </w:p>
        </w:tc>
        <w:tc>
          <w:tcPr>
            <w:tcW w:w="2300" w:type="dxa"/>
            <w:vAlign w:val="center"/>
          </w:tcPr>
          <w:p>
            <w:pPr>
              <w:bidi/>
              <w:spacing w:before="40" w:after="40" w:line="260" w:lineRule="auto"/>
              <w:jc w:val="both"/>
            </w:pPr>
            <w:r>
              <w:rPr>
                <w:rFonts w:ascii="Times New Roman" w:hAnsi="Times New Roman" w:cs="B Lotus"/>
                <w:szCs w:val="20"/>
                <w:rtl/>
              </w:rPr>
              <w:t xml:space="preserve">فرضیه‌ها مرتب‌سازی شوند از 1 تا 5.</w:t>
            </w:r>
          </w:p>
        </w:tc>
        <w:tc>
          <w:tcPr>
            <w:tcW w:w="4300" w:type="dxa"/>
            <w:vAlign w:val="center"/>
          </w:tcPr>
          <w:p>
            <w:pPr>
              <w:bidi/>
              <w:spacing w:before="40" w:after="40" w:line="260" w:lineRule="auto"/>
              <w:jc w:val="both"/>
            </w:pPr>
            <w:r>
              <w:rPr>
                <w:rFonts w:ascii="Times New Roman" w:hAnsi="Times New Roman" w:cs="B Lotus"/>
                <w:szCs w:val="20"/>
                <w:rtl/>
              </w:rPr>
              <w:t xml:space="preserve">فرضیه‌های «3 الف» و «3 ب» به فرضیه‌های سوم و چهارم تبدیل شد و همهٔ فرضیه‌ها در فصل‌های 1، 3، 4، 5 و چکیده به‌صورت 1 تا 5 یکسان‌سازی شدند (در متن قبلی عنوان‌های «فرضیه سوم/چهارم» و جدول‌ها درهم بود). اهداف فصل اول نیز با پنج فرضیه همسان شد.</w:t>
            </w:r>
          </w:p>
        </w:tc>
        <w:tc>
          <w:tcPr>
            <w:tcW w:w="4100" w:type="dxa"/>
            <w:vAlign w:val="center"/>
          </w:tcPr>
          <w:p>
            <w:pPr>
              <w:bidi/>
              <w:spacing w:before="40" w:after="40" w:line="260" w:lineRule="auto"/>
              <w:jc w:val="both"/>
            </w:pPr>
            <w:r>
              <w:rPr>
                <w:rFonts w:ascii="Times New Roman" w:hAnsi="Times New Roman" w:cs="B Lotus"/>
                <w:szCs w:val="20"/>
                <w:rtl/>
              </w:rPr>
              <w:t xml:space="preserve">فرضیه 1: کاهش هزینه‌های حسابرسی در سال کاری اولیه با سطح حق‌الزحمه‌های غیرحسابرسی رابطه معناداری ندارد.</w:t>
            </w:r>
          </w:p>
          <w:p>
            <w:pPr>
              <w:bidi/>
              <w:spacing w:before="40" w:after="40" w:line="260" w:lineRule="auto"/>
              <w:jc w:val="both"/>
            </w:pPr>
            <w:r>
              <w:rPr>
                <w:rFonts w:ascii="Times New Roman" w:hAnsi="Times New Roman" w:cs="B Lotus"/>
                <w:szCs w:val="20"/>
                <w:rtl/>
              </w:rPr>
              <w:t xml:space="preserve">فرضیه 2: اهمیت مشتری در مؤسسات حسابرسی کوچک با کاهش هزینه‌های حسابرسی رابطه مثبت و معنادار دارد؛ اما در مؤسسات حسابرسی بزرگ این رابطه معنادار نیست.</w:t>
            </w:r>
          </w:p>
          <w:p>
            <w:pPr>
              <w:bidi/>
              <w:spacing w:before="40" w:after="40" w:line="260" w:lineRule="auto"/>
              <w:jc w:val="both"/>
            </w:pPr>
            <w:r>
              <w:rPr>
                <w:rFonts w:ascii="Times New Roman" w:hAnsi="Times New Roman" w:cs="B Lotus"/>
                <w:szCs w:val="20"/>
                <w:rtl/>
              </w:rPr>
              <w:t xml:space="preserve">فرضیه 3: میزان افزایش حق‌الزحمه حسابرسی در سال‌های بعد در مؤسساتی که در سال اولیه هزینه حسابرسی پایین داشته‌اند، به‌طور معناداری بیشتر از مؤسساتی است که هزینه حسابرسی اولیه بالاتری داشته‌اند.</w:t>
            </w:r>
          </w:p>
          <w:p>
            <w:pPr>
              <w:bidi/>
              <w:spacing w:before="40" w:after="40" w:line="260" w:lineRule="auto"/>
              <w:jc w:val="both"/>
            </w:pPr>
            <w:r>
              <w:rPr>
                <w:rFonts w:ascii="Times New Roman" w:hAnsi="Times New Roman" w:cs="B Lotus"/>
                <w:szCs w:val="20"/>
                <w:rtl/>
              </w:rPr>
              <w:t xml:space="preserve">فرضیه 4: میزان افزایش حق‌الزحمه‌های غیرحسابرسی در سال‌های بعد، در مؤسساتی که هزینه حسابرسی اولیه پایین داشته‌اند، نسبت به مؤسساتی با هزینه حسابرسی اولیه بالا، به‌طور معناداری بیشتر نیست.</w:t>
            </w:r>
          </w:p>
          <w:p>
            <w:pPr>
              <w:bidi/>
              <w:spacing w:before="40" w:after="40" w:line="260" w:lineRule="auto"/>
              <w:jc w:val="both"/>
            </w:pPr>
            <w:r>
              <w:rPr>
                <w:rFonts w:ascii="Times New Roman" w:hAnsi="Times New Roman" w:cs="B Lotus"/>
                <w:szCs w:val="20"/>
                <w:rtl/>
              </w:rPr>
              <w:t xml:space="preserve">فرضیه 5: کیفیت حسابرسی در دوره‌های بعد وابسته به میزان بازیابی حق‌الزحمه حسابرسی در مؤسساتی که هزینه حسابرسی اولیه پایین داشته‌اند، نیست.</w:t>
            </w:r>
          </w:p>
        </w:tc>
        <w:tc>
          <w:tcPr>
            <w:tcW w:w="1500" w:type="dxa"/>
            <w:vAlign w:val="center"/>
          </w:tcPr>
          <w:p>
            <w:pPr>
              <w:bidi/>
              <w:spacing w:before="40" w:after="40" w:line="260" w:lineRule="auto"/>
              <w:jc w:val="center"/>
            </w:pPr>
            <w:r>
              <w:rPr>
                <w:rFonts w:ascii="Times New Roman" w:hAnsi="Times New Roman" w:cs="B Lotus"/>
                <w:szCs w:val="20"/>
                <w:rtl/>
              </w:rPr>
              <w:t xml:space="preserve">3-3 و 1-4</w:t>
            </w:r>
          </w:p>
        </w:tc>
        <w:tc>
          <w:tcPr>
            <w:tcW w:w="1000" w:type="dxa"/>
            <w:vAlign w:val="center"/>
          </w:tcPr>
          <w:p>
            <w:pPr>
              <w:bidi/>
              <w:spacing w:before="40" w:after="40" w:line="260" w:lineRule="auto"/>
              <w:jc w:val="center"/>
            </w:pPr>
            <w:r>
              <w:rPr>
                <w:rFonts w:ascii="Times New Roman" w:hAnsi="Times New Roman" w:cs="B Lotus"/>
                <w:szCs w:val="20"/>
                <w:rtl/>
              </w:rPr>
              <w:t xml:space="preserve">82 و 16</w:t>
            </w:r>
          </w:p>
        </w:tc>
      </w:tr>
      <w:tr>
        <w:trPr>
          <w:cantSplit/>
        </w:trPr>
        <w:tc>
          <w:tcPr>
            <w:tcW w:w="800" w:type="dxa"/>
            <w:vAlign w:val="center"/>
          </w:tcPr>
          <w:p>
            <w:pPr>
              <w:bidi/>
              <w:spacing w:before="40" w:after="40" w:line="260" w:lineRule="auto"/>
              <w:jc w:val="center"/>
            </w:pPr>
            <w:r>
              <w:rPr>
                <w:rFonts w:ascii="Times New Roman" w:hAnsi="Times New Roman" w:cs="B Lotus"/>
                <w:szCs w:val="20"/>
                <w:rtl/>
              </w:rPr>
              <w:t xml:space="preserve">7-3</w:t>
            </w:r>
          </w:p>
        </w:tc>
        <w:tc>
          <w:tcPr>
            <w:tcW w:w="2300" w:type="dxa"/>
            <w:vAlign w:val="center"/>
          </w:tcPr>
          <w:p>
            <w:pPr>
              <w:bidi/>
              <w:spacing w:before="40" w:after="40" w:line="260" w:lineRule="auto"/>
              <w:jc w:val="both"/>
            </w:pPr>
            <w:r>
              <w:rPr>
                <w:rFonts w:ascii="Times New Roman" w:hAnsi="Times New Roman" w:cs="B Lotus"/>
                <w:szCs w:val="20"/>
                <w:rtl/>
              </w:rPr>
              <w:t xml:space="preserve">متغیرها (پشتوانهٔ علمی و پژوهشی و استناد علمی برای متغیرهای کنترلی در مدل‌ها).</w:t>
            </w:r>
          </w:p>
        </w:tc>
        <w:tc>
          <w:tcPr>
            <w:tcW w:w="4300" w:type="dxa"/>
            <w:vAlign w:val="center"/>
          </w:tcPr>
          <w:p>
            <w:pPr>
              <w:bidi/>
              <w:spacing w:before="40" w:after="40" w:line="260" w:lineRule="auto"/>
              <w:jc w:val="both"/>
            </w:pPr>
            <w:r>
              <w:rPr>
                <w:rFonts w:ascii="Times New Roman" w:hAnsi="Times New Roman" w:cs="B Lotus"/>
                <w:szCs w:val="20"/>
                <w:rtl/>
              </w:rPr>
              <w:t xml:space="preserve">بخش 3-5 بازنویسی شد: هر متغیر وابسته، مستقل و کنترلی با تعریف، دلیل نظری و منبع علمی (سیمونیک 1980، هی و همکاران 2006، کراسول و همکاران 1995، بل و همکاران 2001، چانگ و کالاپور 2003 و …) و مدل‌هایی که در آن‌ها کنترل شده معرفی شد. جدول 3-1 خلاصهٔ متغیرها و استنادها را نشان می‌دهد.</w:t>
            </w:r>
          </w:p>
        </w:tc>
        <w:tc>
          <w:tcPr>
            <w:tcW w:w="4100" w:type="dxa"/>
            <w:vAlign w:val="center"/>
          </w:tcPr>
          <w:p>
            <w:pPr>
              <w:bidi/>
              <w:spacing w:before="40" w:after="40" w:line="260" w:lineRule="auto"/>
              <w:jc w:val="both"/>
            </w:pPr>
            <w:r>
              <w:rPr>
                <w:rFonts w:ascii="Times New Roman" w:hAnsi="Times New Roman" w:cs="B Lotus"/>
                <w:szCs w:val="20"/>
                <w:rtl/>
              </w:rPr>
              <w:t xml:space="preserve">اندازهٔ شرکت (</w:t>
            </w:r>
            <w:r>
              <w:rPr>
                <w:rFonts w:ascii="Times New Roman" w:hAnsi="Times New Roman" w:cs="B Lotus"/>
                <w:szCs w:val="20"/>
              </w:rPr>
              <w:t xml:space="preserve">SIZE)</w:t>
            </w:r>
            <w:r>
              <w:rPr>
                <w:rFonts w:ascii="Times New Roman" w:hAnsi="Times New Roman" w:cs="B Lotus"/>
                <w:szCs w:val="20"/>
                <w:rtl/>
              </w:rPr>
              <w:t xml:space="preserve">: لگاریتم ارزش دفتری کل دارایی‌ها. اندازهٔ صاحبکار مهم‌ترین تعیین‌کنندهٔ حق‌الزحمه است، زیرا حجم و پیچیدگی عملیات و در نتیجه ساعات کار حسابرس را منعکس می‌کند (سیمونیک، 1980؛ فرانسیس، 1984؛ هی و همکاران، 2006). این متغیر در هر پنج مدل کنترل شده است.</w:t>
            </w:r>
          </w:p>
          <w:p>
            <w:pPr>
              <w:bidi/>
              <w:spacing w:before="40" w:after="40" w:line="260" w:lineRule="auto"/>
              <w:jc w:val="both"/>
            </w:pPr>
            <w:r>
              <w:rPr>
                <w:rFonts w:ascii="Times New Roman" w:hAnsi="Times New Roman" w:cs="B Lotus"/>
                <w:szCs w:val="20"/>
                <w:rtl/>
              </w:rPr>
              <w:t xml:space="preserve">بازده دارایی‌ها (</w:t>
            </w:r>
            <w:r>
              <w:rPr>
                <w:rFonts w:ascii="Times New Roman" w:hAnsi="Times New Roman" w:cs="B Lotus"/>
                <w:szCs w:val="20"/>
              </w:rPr>
              <w:t xml:space="preserve">ROA)</w:t>
            </w:r>
            <w:r>
              <w:rPr>
                <w:rFonts w:ascii="Times New Roman" w:hAnsi="Times New Roman" w:cs="B Lotus"/>
                <w:szCs w:val="20"/>
                <w:rtl/>
              </w:rPr>
              <w:t xml:space="preserve">: نسبت سود خالص به میانگین کل دارایی‌ها. شرکت‌های سودآورتر ریسک ورشکستگی و دعاوی کمتری دارند و حسابرس تلاش و صرف ریسک کمتری لحاظ می‌کند؛ در نتیجه انتظار می‌رود حق‌الزحمه با سودآوری رابطهٔ منفی داشته باشد (سیمونیک، 1980؛ هی و همکاران، 2006). </w:t>
            </w:r>
            <w:r>
              <w:rPr>
                <w:rFonts w:ascii="Times New Roman" w:hAnsi="Times New Roman" w:cs="B Lotus"/>
                <w:szCs w:val="20"/>
              </w:rPr>
              <w:t xml:space="preserve">ROA</w:t>
            </w:r>
            <w:r>
              <w:rPr>
                <w:rFonts w:ascii="Times New Roman" w:hAnsi="Times New Roman" w:cs="B Lotus"/>
                <w:szCs w:val="20"/>
                <w:rtl/>
              </w:rPr>
              <w:t xml:space="preserve"> در مدل‌های اول تا چهارم کنترل شده است.</w:t>
            </w:r>
          </w:p>
          <w:p>
            <w:pPr>
              <w:bidi/>
              <w:spacing w:before="40" w:after="40" w:line="260" w:lineRule="auto"/>
              <w:jc w:val="both"/>
            </w:pPr>
            <w:r>
              <w:rPr>
                <w:rFonts w:ascii="Times New Roman" w:hAnsi="Times New Roman" w:cs="B Lotus"/>
                <w:szCs w:val="20"/>
                <w:rtl/>
              </w:rPr>
              <w:t xml:space="preserve">اهرم مالی (</w:t>
            </w:r>
            <w:r>
              <w:rPr>
                <w:rFonts w:ascii="Times New Roman" w:hAnsi="Times New Roman" w:cs="B Lotus"/>
                <w:szCs w:val="20"/>
              </w:rPr>
              <w:t xml:space="preserve">LEV)</w:t>
            </w:r>
            <w:r>
              <w:rPr>
                <w:rFonts w:ascii="Times New Roman" w:hAnsi="Times New Roman" w:cs="B Lotus"/>
                <w:szCs w:val="20"/>
                <w:rtl/>
              </w:rPr>
              <w:t xml:space="preserve">: نسبت کل بدهی‌ها به کل دارایی‌ها. اهرم بالاتر ریسک مالی و انگیزهٔ مدیران برای دستکاری سود را افزایش می‌دهد و به تلاش و حق‌الزحمهٔ بیشتر می‌انجامد (سیمونیک، 1980؛ کراسول و همکاران، 1995؛ هی و همکاران، 2006). </w:t>
            </w:r>
            <w:r>
              <w:rPr>
                <w:rFonts w:ascii="Times New Roman" w:hAnsi="Times New Roman" w:cs="B Lotus"/>
                <w:szCs w:val="20"/>
              </w:rPr>
              <w:t xml:space="preserve">LEV</w:t>
            </w:r>
            <w:r>
              <w:rPr>
                <w:rFonts w:ascii="Times New Roman" w:hAnsi="Times New Roman" w:cs="B Lotus"/>
                <w:szCs w:val="20"/>
                <w:rtl/>
              </w:rPr>
              <w:t xml:space="preserve"> در مدل فرضیهٔ دوم کنترل شده است.</w:t>
            </w:r>
          </w:p>
        </w:tc>
        <w:tc>
          <w:tcPr>
            <w:tcW w:w="1500" w:type="dxa"/>
            <w:vAlign w:val="center"/>
          </w:tcPr>
          <w:p>
            <w:pPr>
              <w:bidi/>
              <w:spacing w:before="40" w:after="40" w:line="260" w:lineRule="auto"/>
              <w:jc w:val="center"/>
            </w:pPr>
            <w:r>
              <w:rPr>
                <w:rFonts w:ascii="Times New Roman" w:hAnsi="Times New Roman" w:cs="B Lotus"/>
                <w:szCs w:val="20"/>
                <w:rtl/>
              </w:rPr>
              <w:t xml:space="preserve">3-5-3 و جدول 3-1</w:t>
            </w:r>
          </w:p>
        </w:tc>
        <w:tc>
          <w:tcPr>
            <w:tcW w:w="1000" w:type="dxa"/>
            <w:vAlign w:val="center"/>
          </w:tcPr>
          <w:p>
            <w:pPr>
              <w:bidi/>
              <w:spacing w:before="40" w:after="40" w:line="260" w:lineRule="auto"/>
              <w:jc w:val="center"/>
            </w:pPr>
            <w:r>
              <w:rPr>
                <w:rFonts w:ascii="Times New Roman" w:hAnsi="Times New Roman" w:cs="B Lotus"/>
                <w:szCs w:val="20"/>
                <w:rtl/>
              </w:rPr>
              <w:t xml:space="preserve">84</w:t>
            </w:r>
          </w:p>
        </w:tc>
      </w:tr>
      <w:tr>
        <w:trPr>
          <w:cantSplit/>
        </w:trPr>
        <w:tc>
          <w:tcPr>
            <w:tcW w:w="800" w:type="dxa"/>
            <w:vAlign w:val="center"/>
          </w:tcPr>
          <w:p>
            <w:pPr>
              <w:bidi/>
              <w:spacing w:before="40" w:after="40" w:line="260" w:lineRule="auto"/>
              <w:jc w:val="center"/>
            </w:pPr>
            <w:r>
              <w:rPr>
                <w:rFonts w:ascii="Times New Roman" w:hAnsi="Times New Roman" w:cs="B Lotus"/>
                <w:szCs w:val="20"/>
                <w:rtl/>
              </w:rPr>
              <w:t xml:space="preserve">7-4</w:t>
            </w:r>
          </w:p>
        </w:tc>
        <w:tc>
          <w:tcPr>
            <w:tcW w:w="2300" w:type="dxa"/>
            <w:vAlign w:val="center"/>
          </w:tcPr>
          <w:p>
            <w:pPr>
              <w:bidi/>
              <w:spacing w:before="40" w:after="40" w:line="260" w:lineRule="auto"/>
              <w:jc w:val="both"/>
            </w:pPr>
            <w:r>
              <w:rPr>
                <w:rFonts w:ascii="Times New Roman" w:hAnsi="Times New Roman" w:cs="B Lotus"/>
                <w:szCs w:val="20"/>
                <w:rtl/>
              </w:rPr>
              <w:t xml:space="preserve">روش‌های اندازه‌گیری متغیرها.</w:t>
            </w:r>
          </w:p>
        </w:tc>
        <w:tc>
          <w:tcPr>
            <w:tcW w:w="4300" w:type="dxa"/>
            <w:vAlign w:val="center"/>
          </w:tcPr>
          <w:p>
            <w:pPr>
              <w:bidi/>
              <w:spacing w:before="40" w:after="40" w:line="260" w:lineRule="auto"/>
              <w:jc w:val="both"/>
            </w:pPr>
            <w:r>
              <w:rPr>
                <w:rFonts w:ascii="Times New Roman" w:hAnsi="Times New Roman" w:cs="B Lotus"/>
                <w:szCs w:val="20"/>
                <w:rtl/>
              </w:rPr>
              <w:t xml:space="preserve">نحوهٔ اندازه‌گیری هر متغیر (مفهومی و عملیاتی) در متن و ستون «نحوهٔ اندازه‌گیری» جدول 3-1 آمده است؛ جدول 3-1 با عنوان «خلاصهٔ متغیرها، نحوهٔ اندازه‌گیری و پشتوانهٔ علمی» افزوده شد.</w:t>
            </w:r>
          </w:p>
        </w:tc>
        <w:tc>
          <w:tcPr>
            <w:tcW w:w="4100" w:type="dxa"/>
            <w:vAlign w:val="center"/>
          </w:tcPr>
          <w:p>
            <w:pPr>
              <w:bidi/>
              <w:spacing w:before="40" w:after="40" w:line="260" w:lineRule="auto"/>
              <w:jc w:val="both"/>
            </w:pPr>
            <w:r>
              <w:rPr>
                <w:rFonts w:ascii="Times New Roman" w:hAnsi="Times New Roman" w:cs="B Lotus"/>
                <w:szCs w:val="20"/>
                <w:rtl/>
              </w:rPr>
              <w:t xml:space="preserve">مثال: «</w:t>
            </w:r>
            <w:r>
              <w:rPr>
                <w:rFonts w:ascii="Times New Roman" w:hAnsi="Times New Roman" w:cs="B Lotus"/>
                <w:szCs w:val="20"/>
              </w:rPr>
              <w:t xml:space="preserve">COSTP</w:t>
            </w:r>
            <w:r>
              <w:rPr>
                <w:rFonts w:ascii="Times New Roman" w:hAnsi="Times New Roman" w:cs="B Lotus"/>
                <w:szCs w:val="20"/>
                <w:rtl/>
              </w:rPr>
              <w:t xml:space="preserve">: باقیمانده مدل هزینه حسابرسی سال اول»؛ «</w:t>
            </w:r>
            <w:r>
              <w:rPr>
                <w:rFonts w:ascii="Times New Roman" w:hAnsi="Times New Roman" w:cs="B Lotus"/>
                <w:szCs w:val="20"/>
              </w:rPr>
              <w:t xml:space="preserve">AFQ</w:t>
            </w:r>
            <w:r>
              <w:rPr>
                <w:rFonts w:ascii="Times New Roman" w:hAnsi="Times New Roman" w:cs="B Lotus"/>
                <w:szCs w:val="20"/>
                <w:rtl/>
              </w:rPr>
              <w:t xml:space="preserve">: قدر مطلق اقلام تعهدی اختیاری مدل جونز تعدیل‌شده»؛ «</w:t>
            </w:r>
            <w:r>
              <w:rPr>
                <w:rFonts w:ascii="Times New Roman" w:hAnsi="Times New Roman" w:cs="B Lotus"/>
                <w:szCs w:val="20"/>
              </w:rPr>
              <w:t xml:space="preserve">NASR</w:t>
            </w:r>
            <w:r>
              <w:rPr>
                <w:rFonts w:ascii="Times New Roman" w:hAnsi="Times New Roman" w:cs="B Lotus"/>
                <w:szCs w:val="20"/>
                <w:rtl/>
              </w:rPr>
              <w:t xml:space="preserve">: نسبت حق‌الزحمه خدمات غیرحسابرسی به کل حق‌الزحمه‌های همان صاحبکار»</w:t>
            </w:r>
          </w:p>
        </w:tc>
        <w:tc>
          <w:tcPr>
            <w:tcW w:w="1500" w:type="dxa"/>
            <w:vAlign w:val="center"/>
          </w:tcPr>
          <w:p>
            <w:pPr>
              <w:bidi/>
              <w:spacing w:before="40" w:after="40" w:line="260" w:lineRule="auto"/>
              <w:jc w:val="center"/>
            </w:pPr>
            <w:r>
              <w:rPr>
                <w:rFonts w:ascii="Times New Roman" w:hAnsi="Times New Roman" w:cs="B Lotus"/>
                <w:szCs w:val="20"/>
                <w:rtl/>
              </w:rPr>
              <w:t xml:space="preserve">3-5 و جدول 3-1</w:t>
            </w:r>
          </w:p>
        </w:tc>
        <w:tc>
          <w:tcPr>
            <w:tcW w:w="1000" w:type="dxa"/>
            <w:vAlign w:val="center"/>
          </w:tcPr>
          <w:p>
            <w:pPr>
              <w:bidi/>
              <w:spacing w:before="40" w:after="40" w:line="260" w:lineRule="auto"/>
              <w:jc w:val="center"/>
            </w:pPr>
            <w:r>
              <w:rPr>
                <w:rFonts w:ascii="Times New Roman" w:hAnsi="Times New Roman" w:cs="B Lotus"/>
                <w:szCs w:val="20"/>
                <w:rtl/>
              </w:rPr>
              <w:t xml:space="preserve">88</w:t>
            </w:r>
          </w:p>
        </w:tc>
      </w:tr>
      <w:tr>
        <w:trPr>
          <w:cantSplit/>
        </w:trPr>
        <w:tc>
          <w:tcPr>
            <w:tcW w:w="800" w:type="dxa"/>
            <w:vAlign w:val="center"/>
          </w:tcPr>
          <w:p>
            <w:pPr>
              <w:bidi/>
              <w:spacing w:before="40" w:after="40" w:line="260" w:lineRule="auto"/>
              <w:jc w:val="center"/>
            </w:pPr>
            <w:r>
              <w:rPr>
                <w:rFonts w:ascii="Times New Roman" w:hAnsi="Times New Roman" w:cs="B Lotus"/>
                <w:szCs w:val="20"/>
                <w:rtl/>
              </w:rPr>
              <w:t xml:space="preserve">7-5</w:t>
            </w:r>
          </w:p>
        </w:tc>
        <w:tc>
          <w:tcPr>
            <w:tcW w:w="2300" w:type="dxa"/>
            <w:vAlign w:val="center"/>
          </w:tcPr>
          <w:p>
            <w:pPr>
              <w:bidi/>
              <w:spacing w:before="40" w:after="40" w:line="260" w:lineRule="auto"/>
              <w:jc w:val="both"/>
            </w:pPr>
            <w:r>
              <w:rPr>
                <w:rFonts w:ascii="Times New Roman" w:hAnsi="Times New Roman" w:cs="B Lotus"/>
                <w:szCs w:val="20"/>
                <w:rtl/>
              </w:rPr>
              <w:t xml:space="preserve">شیوهٔ آزمون فرضیات.</w:t>
            </w:r>
          </w:p>
        </w:tc>
        <w:tc>
          <w:tcPr>
            <w:tcW w:w="4300" w:type="dxa"/>
            <w:vAlign w:val="center"/>
          </w:tcPr>
          <w:p>
            <w:pPr>
              <w:bidi/>
              <w:spacing w:before="40" w:after="40" w:line="260" w:lineRule="auto"/>
              <w:jc w:val="both"/>
            </w:pPr>
            <w:r>
              <w:rPr>
                <w:rFonts w:ascii="Times New Roman" w:hAnsi="Times New Roman" w:cs="B Lotus"/>
                <w:szCs w:val="20"/>
                <w:rtl/>
              </w:rPr>
              <w:t xml:space="preserve">بخش جدید «3-7 شیوهٔ آزمون فرضیه‌ها» با ترتیب آزمون‌ها (توصیفی، مانایی، هم‌انباشتگی، </w:t>
            </w:r>
            <w:r>
              <w:rPr>
                <w:rFonts w:ascii="Times New Roman" w:hAnsi="Times New Roman" w:cs="B Lotus"/>
                <w:szCs w:val="20"/>
              </w:rPr>
              <w:t xml:space="preserve">VIF</w:t>
            </w:r>
            <w:r>
              <w:rPr>
                <w:rFonts w:ascii="Times New Roman" w:hAnsi="Times New Roman" w:cs="B Lotus"/>
                <w:szCs w:val="20"/>
                <w:rtl/>
              </w:rPr>
              <w:t xml:space="preserve">، وایت، بروش-گادفری، </w:t>
            </w:r>
            <w:r>
              <w:rPr>
                <w:rFonts w:ascii="Times New Roman" w:hAnsi="Times New Roman" w:cs="B Lotus"/>
                <w:szCs w:val="20"/>
              </w:rPr>
              <w:t xml:space="preserve">F</w:t>
            </w:r>
            <w:r>
              <w:rPr>
                <w:rFonts w:ascii="Times New Roman" w:hAnsi="Times New Roman" w:cs="B Lotus"/>
                <w:szCs w:val="20"/>
                <w:rtl/>
              </w:rPr>
              <w:t xml:space="preserve"> لیمر، هاسمن، برآورد) و جدول 3-2 (قاعدهٔ تصمیم‌گیری هر فرضیه) افزوده شد.</w:t>
            </w:r>
          </w:p>
        </w:tc>
        <w:tc>
          <w:tcPr>
            <w:tcW w:w="4100" w:type="dxa"/>
            <w:vAlign w:val="center"/>
          </w:tcPr>
          <w:p>
            <w:pPr>
              <w:bidi/>
              <w:spacing w:before="40" w:after="40" w:line="260" w:lineRule="auto"/>
              <w:jc w:val="both"/>
            </w:pPr>
            <w:r>
              <w:rPr>
                <w:rFonts w:ascii="Times New Roman" w:hAnsi="Times New Roman" w:cs="B Lotus"/>
                <w:szCs w:val="20"/>
                <w:rtl/>
              </w:rPr>
              <w:t xml:space="preserve">5. انتخاب بین مدل تجمیعی و پانل با آزمون </w:t>
            </w:r>
            <w:r>
              <w:rPr>
                <w:rFonts w:ascii="Times New Roman" w:hAnsi="Times New Roman" w:cs="B Lotus"/>
                <w:szCs w:val="20"/>
              </w:rPr>
              <w:t xml:space="preserve">F</w:t>
            </w:r>
            <w:r>
              <w:rPr>
                <w:rFonts w:ascii="Times New Roman" w:hAnsi="Times New Roman" w:cs="B Lotus"/>
                <w:szCs w:val="20"/>
                <w:rtl/>
              </w:rPr>
              <w:t xml:space="preserve"> لیمر (چاو، 1960) و انتخاب بین اثرات ثابت و تصادفی با آزمون هاسمن (1978).</w:t>
            </w:r>
          </w:p>
          <w:p>
            <w:pPr>
              <w:bidi/>
              <w:spacing w:before="40" w:after="40" w:line="260" w:lineRule="auto"/>
              <w:jc w:val="both"/>
            </w:pPr>
            <w:r>
              <w:rPr>
                <w:rFonts w:ascii="Times New Roman" w:hAnsi="Times New Roman" w:cs="B Lotus"/>
                <w:szCs w:val="20"/>
                <w:rtl/>
              </w:rPr>
              <w:t xml:space="preserve">6. برآورد مدل‌ها و قضاوت دربارهٔ فرضیه‌ها در سطح اطمینان 95 درصد (خطای 5 درصد) بر پایهٔ آمارهٔ </w:t>
            </w:r>
            <w:r>
              <w:rPr>
                <w:rFonts w:ascii="Times New Roman" w:hAnsi="Times New Roman" w:cs="B Lotus"/>
                <w:szCs w:val="20"/>
              </w:rPr>
              <w:t xml:space="preserve">t</w:t>
            </w:r>
            <w:r>
              <w:rPr>
                <w:rFonts w:ascii="Times New Roman" w:hAnsi="Times New Roman" w:cs="B Lotus"/>
                <w:szCs w:val="20"/>
                <w:rtl/>
              </w:rPr>
              <w:t xml:space="preserve"> و مقدار احتمال ضرایب، و بررسی معناداری کل مدل با آمارهٔ </w:t>
            </w:r>
            <w:r>
              <w:rPr>
                <w:rFonts w:ascii="Times New Roman" w:hAnsi="Times New Roman" w:cs="B Lotus"/>
                <w:szCs w:val="20"/>
              </w:rPr>
              <w:t xml:space="preserve">F</w:t>
            </w:r>
            <w:r>
              <w:rPr>
                <w:rFonts w:ascii="Times New Roman" w:hAnsi="Times New Roman" w:cs="B Lotus"/>
                <w:szCs w:val="20"/>
                <w:rtl/>
              </w:rPr>
              <w:t xml:space="preserve"> و ضریب تعیین.</w:t>
            </w:r>
          </w:p>
        </w:tc>
        <w:tc>
          <w:tcPr>
            <w:tcW w:w="1500" w:type="dxa"/>
            <w:vAlign w:val="center"/>
          </w:tcPr>
          <w:p>
            <w:pPr>
              <w:bidi/>
              <w:spacing w:before="40" w:after="40" w:line="260" w:lineRule="auto"/>
              <w:jc w:val="center"/>
            </w:pPr>
            <w:r>
              <w:rPr>
                <w:rFonts w:ascii="Times New Roman" w:hAnsi="Times New Roman" w:cs="B Lotus"/>
                <w:szCs w:val="20"/>
                <w:rtl/>
              </w:rPr>
              <w:t xml:space="preserve">3-7 و جدول 3-2</w:t>
            </w:r>
          </w:p>
        </w:tc>
        <w:tc>
          <w:tcPr>
            <w:tcW w:w="1000" w:type="dxa"/>
            <w:vAlign w:val="center"/>
          </w:tcPr>
          <w:p>
            <w:pPr>
              <w:bidi/>
              <w:spacing w:before="40" w:after="40" w:line="260" w:lineRule="auto"/>
              <w:jc w:val="center"/>
            </w:pPr>
            <w:r>
              <w:rPr>
                <w:rFonts w:ascii="Times New Roman" w:hAnsi="Times New Roman" w:cs="B Lotus"/>
                <w:szCs w:val="20"/>
                <w:rtl/>
              </w:rPr>
              <w:t xml:space="preserve">91</w:t>
            </w:r>
          </w:p>
        </w:tc>
      </w:tr>
      <w:tr>
        <w:trPr>
          <w:cantSplit/>
        </w:trPr>
        <w:tc>
          <w:tcPr>
            <w:tcW w:w="800" w:type="dxa"/>
            <w:vAlign w:val="center"/>
          </w:tcPr>
          <w:p>
            <w:pPr>
              <w:bidi/>
              <w:spacing w:before="40" w:after="40" w:line="260" w:lineRule="auto"/>
              <w:jc w:val="center"/>
            </w:pPr>
            <w:r>
              <w:rPr>
                <w:rFonts w:ascii="Times New Roman" w:hAnsi="Times New Roman" w:cs="B Lotus"/>
                <w:szCs w:val="20"/>
                <w:rtl/>
              </w:rPr>
              <w:t xml:space="preserve">7-6</w:t>
            </w:r>
          </w:p>
        </w:tc>
        <w:tc>
          <w:tcPr>
            <w:tcW w:w="2300" w:type="dxa"/>
            <w:vAlign w:val="center"/>
          </w:tcPr>
          <w:p>
            <w:pPr>
              <w:bidi/>
              <w:spacing w:before="40" w:after="40" w:line="260" w:lineRule="auto"/>
              <w:jc w:val="both"/>
            </w:pPr>
            <w:r>
              <w:rPr>
                <w:rFonts w:ascii="Times New Roman" w:hAnsi="Times New Roman" w:cs="B Lotus"/>
                <w:szCs w:val="20"/>
                <w:rtl/>
              </w:rPr>
              <w:t xml:space="preserve">هزینهٔ حق‌الزحمه در سال اول در مدل بیاورید.</w:t>
            </w:r>
          </w:p>
        </w:tc>
        <w:tc>
          <w:tcPr>
            <w:tcW w:w="4300" w:type="dxa"/>
            <w:vAlign w:val="center"/>
          </w:tcPr>
          <w:p>
            <w:pPr>
              <w:bidi/>
              <w:spacing w:before="40" w:after="40" w:line="260" w:lineRule="auto"/>
              <w:jc w:val="both"/>
            </w:pPr>
            <w:r>
              <w:rPr>
                <w:rFonts w:ascii="Times New Roman" w:hAnsi="Times New Roman" w:cs="B Lotus"/>
                <w:szCs w:val="20"/>
                <w:rtl/>
              </w:rPr>
              <w:t xml:space="preserve">مدل «هزینهٔ حسابرسی سال اول» (روابط 3-1 و 3-2) به‌عنوان مبنای محاسبهٔ متغیر فشار هزینه‌ای حسابرس (</w:t>
            </w:r>
            <w:r>
              <w:rPr>
                <w:rFonts w:ascii="Times New Roman" w:hAnsi="Times New Roman" w:cs="B Lotus"/>
                <w:szCs w:val="20"/>
              </w:rPr>
              <w:t xml:space="preserve">COSTP)</w:t>
            </w:r>
            <w:r>
              <w:rPr>
                <w:rFonts w:ascii="Times New Roman" w:hAnsi="Times New Roman" w:cs="B Lotus"/>
                <w:szCs w:val="20"/>
                <w:rtl/>
              </w:rPr>
              <w:t xml:space="preserve"> صریحاً وارد فصل 3 شد؛ متغیر </w:t>
            </w:r>
            <w:r>
              <w:rPr>
                <w:rFonts w:ascii="Times New Roman" w:hAnsi="Times New Roman" w:cs="B Lotus"/>
                <w:szCs w:val="20"/>
              </w:rPr>
              <w:t xml:space="preserve">TENURE</w:t>
            </w:r>
            <w:r>
              <w:rPr>
                <w:rFonts w:ascii="Times New Roman" w:hAnsi="Times New Roman" w:cs="B Lotus"/>
                <w:szCs w:val="20"/>
                <w:rtl/>
              </w:rPr>
              <w:t xml:space="preserve"> (سال اول رابطه) ضریب تخفیف سال اول را نشان می‌دهد.</w:t>
            </w:r>
          </w:p>
        </w:tc>
        <w:tc>
          <w:tcPr>
            <w:tcW w:w="4100" w:type="dxa"/>
            <w:vAlign w:val="center"/>
          </w:tcPr>
          <w:p>
            <w:pPr>
              <w:bidi/>
              <w:spacing w:before="40" w:after="40" w:line="260" w:lineRule="auto"/>
              <w:jc w:val="both"/>
            </w:pPr>
            <w:r>
              <w:rPr>
                <w:rFonts w:ascii="Times New Roman" w:hAnsi="Times New Roman" w:cs="B Lotus"/>
                <w:szCs w:val="20"/>
              </w:rPr>
              <w:t xml:space="preserve">AF(i,t) = γ0 + γ1 SIZE + γ2 LEV + γ3 ROA + γ4 GROWTH + γ5 RISK + γ6 BIG4 + γ7 TENURE + u</w:t>
            </w:r>
          </w:p>
          <w:p>
            <w:pPr>
              <w:bidi/>
              <w:spacing w:before="40" w:after="40" w:line="260" w:lineRule="auto"/>
              <w:jc w:val="both"/>
            </w:pPr>
            <w:r>
              <w:rPr>
                <w:rFonts w:ascii="Times New Roman" w:hAnsi="Times New Roman" w:cs="B Lotus"/>
                <w:szCs w:val="20"/>
              </w:rPr>
              <w:t xml:space="preserve">COSTP(i,t) = AF(i,t)</w:t>
            </w:r>
            <w:r>
              <w:rPr>
                <w:rFonts w:ascii="Times New Roman" w:hAnsi="Times New Roman" w:cs="B Lotus"/>
                <w:szCs w:val="20"/>
                <w:rtl/>
              </w:rPr>
              <w:t xml:space="preserve"> − </w:t>
            </w:r>
            <w:r>
              <w:rPr>
                <w:rFonts w:ascii="Times New Roman" w:hAnsi="Times New Roman" w:cs="B Lotus"/>
                <w:szCs w:val="20"/>
              </w:rPr>
              <w:t xml:space="preserve">AF</w:t>
            </w:r>
            <w:r>
              <w:rPr>
                <w:rFonts w:ascii="Times New Roman" w:hAnsi="Times New Roman" w:cs="B Lotus"/>
                <w:szCs w:val="20"/>
                <w:rtl/>
              </w:rPr>
              <w:t xml:space="preserve">̂(</w:t>
            </w:r>
            <w:r>
              <w:rPr>
                <w:rFonts w:ascii="Times New Roman" w:hAnsi="Times New Roman" w:cs="B Lotus"/>
                <w:szCs w:val="20"/>
              </w:rPr>
              <w:t xml:space="preserve">i,t)</w:t>
            </w:r>
          </w:p>
        </w:tc>
        <w:tc>
          <w:tcPr>
            <w:tcW w:w="1500" w:type="dxa"/>
            <w:vAlign w:val="center"/>
          </w:tcPr>
          <w:p>
            <w:pPr>
              <w:bidi/>
              <w:spacing w:before="40" w:after="40" w:line="260" w:lineRule="auto"/>
              <w:jc w:val="center"/>
            </w:pPr>
            <w:r>
              <w:rPr>
                <w:rFonts w:ascii="Times New Roman" w:hAnsi="Times New Roman" w:cs="B Lotus"/>
                <w:szCs w:val="20"/>
                <w:rtl/>
              </w:rPr>
              <w:t xml:space="preserve">3-6-1</w:t>
            </w:r>
          </w:p>
        </w:tc>
        <w:tc>
          <w:tcPr>
            <w:tcW w:w="1000" w:type="dxa"/>
            <w:vAlign w:val="center"/>
          </w:tcPr>
          <w:p>
            <w:pPr>
              <w:bidi/>
              <w:spacing w:before="40" w:after="40" w:line="260" w:lineRule="auto"/>
              <w:jc w:val="center"/>
            </w:pPr>
            <w:r>
              <w:rPr>
                <w:rFonts w:ascii="Times New Roman" w:hAnsi="Times New Roman" w:cs="B Lotus"/>
                <w:szCs w:val="20"/>
                <w:rtl/>
              </w:rPr>
              <w:t xml:space="preserve">89</w:t>
            </w:r>
          </w:p>
        </w:tc>
      </w:tr>
      <w:tr>
        <w:trPr>
          <w:cantSplit/>
        </w:trPr>
        <w:tc>
          <w:tcPr>
            <w:tcW w:w="800" w:type="dxa"/>
            <w:vAlign w:val="center"/>
          </w:tcPr>
          <w:p>
            <w:pPr>
              <w:bidi/>
              <w:spacing w:before="40" w:after="40" w:line="260" w:lineRule="auto"/>
              <w:jc w:val="center"/>
            </w:pPr>
            <w:r>
              <w:rPr>
                <w:rFonts w:ascii="Times New Roman" w:hAnsi="Times New Roman" w:cs="B Lotus"/>
                <w:szCs w:val="20"/>
                <w:rtl/>
              </w:rPr>
              <w:t xml:space="preserve">7-7</w:t>
            </w:r>
          </w:p>
        </w:tc>
        <w:tc>
          <w:tcPr>
            <w:tcW w:w="2300" w:type="dxa"/>
            <w:vAlign w:val="center"/>
          </w:tcPr>
          <w:p>
            <w:pPr>
              <w:bidi/>
              <w:spacing w:before="40" w:after="40" w:line="260" w:lineRule="auto"/>
              <w:jc w:val="both"/>
            </w:pPr>
            <w:r>
              <w:rPr>
                <w:rFonts w:ascii="Times New Roman" w:hAnsi="Times New Roman" w:cs="B Lotus"/>
                <w:szCs w:val="20"/>
                <w:rtl/>
              </w:rPr>
              <w:t xml:space="preserve">مدل‌های مورد استفاده مطابق فرضیه‌ها باشد ولی کلیت مدل تغییر نکند.</w:t>
            </w:r>
          </w:p>
        </w:tc>
        <w:tc>
          <w:tcPr>
            <w:tcW w:w="4300" w:type="dxa"/>
            <w:vAlign w:val="center"/>
          </w:tcPr>
          <w:p>
            <w:pPr>
              <w:bidi/>
              <w:spacing w:before="40" w:after="40" w:line="260" w:lineRule="auto"/>
              <w:jc w:val="both"/>
            </w:pPr>
            <w:r>
              <w:rPr>
                <w:rFonts w:ascii="Times New Roman" w:hAnsi="Times New Roman" w:cs="B Lotus"/>
                <w:szCs w:val="20"/>
                <w:rtl/>
              </w:rPr>
              <w:t xml:space="preserve">برای هر فرضیه یک مدل متناظر (روابط 3-3 تا 3-7) با همان متغیرهای برآوردشده تعریف شد؛ ساختار مدل‌ها و نتایج برآورد تغییر نکرد و فقط نمادها و شماره‌گذاری یکسان شد (در متن قبلی ضرایب مدل فصل 4 مثلاً β1، β3، β4 با فصل 3 هم‌خوان نبود).</w:t>
            </w:r>
          </w:p>
        </w:tc>
        <w:tc>
          <w:tcPr>
            <w:tcW w:w="4100" w:type="dxa"/>
            <w:vAlign w:val="center"/>
          </w:tcPr>
          <w:p>
            <w:pPr>
              <w:bidi/>
              <w:spacing w:before="40" w:after="40" w:line="260" w:lineRule="auto"/>
              <w:jc w:val="both"/>
            </w:pPr>
            <w:r>
              <w:rPr>
                <w:rFonts w:ascii="Times New Roman" w:hAnsi="Times New Roman" w:cs="B Lotus"/>
                <w:szCs w:val="20"/>
                <w:rtl/>
              </w:rPr>
              <w:t xml:space="preserve">مدل فرضیهٔ اول: </w:t>
            </w:r>
            <w:r>
              <w:rPr>
                <w:rFonts w:ascii="Times New Roman" w:hAnsi="Times New Roman" w:cs="B Lotus"/>
                <w:szCs w:val="20"/>
              </w:rPr>
              <w:t xml:space="preserve">AF = α0 + β1 NASR + β2 SIZE + β3 ROA + β4 GROWTH</w:t>
            </w:r>
            <w:r>
              <w:rPr>
                <w:rFonts w:ascii="Times New Roman" w:hAnsi="Times New Roman" w:cs="B Lotus"/>
                <w:szCs w:val="20"/>
                <w:rtl/>
              </w:rPr>
              <w:t xml:space="preserve"> + ε</w:t>
            </w:r>
          </w:p>
          <w:p>
            <w:pPr>
              <w:bidi/>
              <w:spacing w:before="40" w:after="40" w:line="260" w:lineRule="auto"/>
              <w:jc w:val="both"/>
            </w:pPr>
            <w:r>
              <w:rPr>
                <w:rFonts w:ascii="Times New Roman" w:hAnsi="Times New Roman" w:cs="B Lotus"/>
                <w:szCs w:val="20"/>
                <w:rtl/>
              </w:rPr>
              <w:t xml:space="preserve">مدل فرضیهٔ دوم: </w:t>
            </w:r>
            <w:r>
              <w:rPr>
                <w:rFonts w:ascii="Times New Roman" w:hAnsi="Times New Roman" w:cs="B Lotus"/>
                <w:szCs w:val="20"/>
              </w:rPr>
              <w:t xml:space="preserve">AF = α0 + β1 COMPLEX + β2 BIG4 + β3 COMPLEX×BIG4 + β4 SIZE + β5 ROA + β6 LEV</w:t>
            </w:r>
            <w:r>
              <w:rPr>
                <w:rFonts w:ascii="Times New Roman" w:hAnsi="Times New Roman" w:cs="B Lotus"/>
                <w:szCs w:val="20"/>
                <w:rtl/>
              </w:rPr>
              <w:t xml:space="preserve"> + ε</w:t>
            </w:r>
          </w:p>
          <w:p>
            <w:pPr>
              <w:bidi/>
              <w:spacing w:before="40" w:after="40" w:line="260" w:lineRule="auto"/>
              <w:jc w:val="both"/>
            </w:pPr>
            <w:r>
              <w:rPr>
                <w:rFonts w:ascii="Times New Roman" w:hAnsi="Times New Roman" w:cs="B Lotus"/>
                <w:szCs w:val="20"/>
                <w:rtl/>
              </w:rPr>
              <w:t xml:space="preserve">مدل فرضیهٔ سوم: Δ</w:t>
            </w:r>
            <w:r>
              <w:rPr>
                <w:rFonts w:ascii="Times New Roman" w:hAnsi="Times New Roman" w:cs="B Lotus"/>
                <w:szCs w:val="20"/>
              </w:rPr>
              <w:t xml:space="preserve">AF = α0 + β1 AF + β2 SIZE + β3 RISK + β4 ROA + β5 GROWTH</w:t>
            </w:r>
            <w:r>
              <w:rPr>
                <w:rFonts w:ascii="Times New Roman" w:hAnsi="Times New Roman" w:cs="B Lotus"/>
                <w:szCs w:val="20"/>
                <w:rtl/>
              </w:rPr>
              <w:t xml:space="preserve"> + ε</w:t>
            </w:r>
          </w:p>
          <w:p>
            <w:pPr>
              <w:bidi/>
              <w:spacing w:before="40" w:after="40" w:line="260" w:lineRule="auto"/>
              <w:jc w:val="both"/>
            </w:pPr>
            <w:r>
              <w:rPr>
                <w:rFonts w:ascii="Times New Roman" w:hAnsi="Times New Roman" w:cs="B Lotus"/>
                <w:szCs w:val="20"/>
                <w:rtl/>
              </w:rPr>
              <w:t xml:space="preserve">مدل فرضیهٔ چهارم: </w:t>
            </w:r>
            <w:r>
              <w:rPr>
                <w:rFonts w:ascii="Times New Roman" w:hAnsi="Times New Roman" w:cs="B Lotus"/>
                <w:szCs w:val="20"/>
              </w:rPr>
              <w:t xml:space="preserve">NASR = α0 + β1 AF</w:t>
            </w:r>
            <w:r>
              <w:rPr>
                <w:rFonts w:ascii="Times New Roman" w:hAnsi="Times New Roman" w:cs="B Lotus"/>
                <w:szCs w:val="20"/>
                <w:rtl/>
              </w:rPr>
              <w:t xml:space="preserve"> + … + ε</w:t>
            </w:r>
          </w:p>
          <w:p>
            <w:pPr>
              <w:bidi/>
              <w:spacing w:before="40" w:after="40" w:line="260" w:lineRule="auto"/>
              <w:jc w:val="both"/>
            </w:pPr>
            <w:r>
              <w:rPr>
                <w:rFonts w:ascii="Times New Roman" w:hAnsi="Times New Roman" w:cs="B Lotus"/>
                <w:szCs w:val="20"/>
                <w:rtl/>
              </w:rPr>
              <w:t xml:space="preserve">مدل فرضیهٔ پنجم: </w:t>
            </w:r>
            <w:r>
              <w:rPr>
                <w:rFonts w:ascii="Times New Roman" w:hAnsi="Times New Roman" w:cs="B Lotus"/>
                <w:szCs w:val="20"/>
              </w:rPr>
              <w:t xml:space="preserve">AFQ = α0 + β1 COSTP + β2 SIZE + β3 BIG4 + β4 TENURE</w:t>
            </w:r>
            <w:r>
              <w:rPr>
                <w:rFonts w:ascii="Times New Roman" w:hAnsi="Times New Roman" w:cs="B Lotus"/>
                <w:szCs w:val="20"/>
                <w:rtl/>
              </w:rPr>
              <w:t xml:space="preserve"> + ε</w:t>
            </w:r>
          </w:p>
        </w:tc>
        <w:tc>
          <w:tcPr>
            <w:tcW w:w="1500" w:type="dxa"/>
            <w:vAlign w:val="center"/>
          </w:tcPr>
          <w:p>
            <w:pPr>
              <w:bidi/>
              <w:spacing w:before="40" w:after="40" w:line="260" w:lineRule="auto"/>
              <w:jc w:val="center"/>
            </w:pPr>
            <w:r>
              <w:rPr>
                <w:rFonts w:ascii="Times New Roman" w:hAnsi="Times New Roman" w:cs="B Lotus"/>
                <w:szCs w:val="20"/>
                <w:rtl/>
              </w:rPr>
              <w:t xml:space="preserve">3-6</w:t>
            </w:r>
          </w:p>
        </w:tc>
        <w:tc>
          <w:tcPr>
            <w:tcW w:w="1000" w:type="dxa"/>
            <w:vAlign w:val="center"/>
          </w:tcPr>
          <w:p>
            <w:pPr>
              <w:bidi/>
              <w:spacing w:before="40" w:after="40" w:line="260" w:lineRule="auto"/>
              <w:jc w:val="center"/>
            </w:pPr>
            <w:r>
              <w:rPr>
                <w:rFonts w:ascii="Times New Roman" w:hAnsi="Times New Roman" w:cs="B Lotus"/>
                <w:szCs w:val="20"/>
                <w:rtl/>
              </w:rPr>
              <w:t xml:space="preserve">89</w:t>
            </w:r>
          </w:p>
        </w:tc>
      </w:tr>
      <w:tr>
        <w:trPr>
          <w:cantSplit/>
        </w:trPr>
        <w:tc>
          <w:tcPr>
            <w:tcW w:w="800" w:type="dxa"/>
            <w:vAlign w:val="center"/>
          </w:tcPr>
          <w:p>
            <w:pPr>
              <w:bidi/>
              <w:spacing w:before="40" w:after="40" w:line="260" w:lineRule="auto"/>
              <w:jc w:val="center"/>
            </w:pPr>
            <w:r>
              <w:rPr>
                <w:rFonts w:ascii="Times New Roman" w:hAnsi="Times New Roman" w:cs="B Lotus"/>
                <w:szCs w:val="20"/>
                <w:rtl/>
              </w:rPr>
              <w:t xml:space="preserve">7-8</w:t>
            </w:r>
          </w:p>
        </w:tc>
        <w:tc>
          <w:tcPr>
            <w:tcW w:w="2300" w:type="dxa"/>
            <w:vAlign w:val="center"/>
          </w:tcPr>
          <w:p>
            <w:pPr>
              <w:bidi/>
              <w:spacing w:before="40" w:after="40" w:line="260" w:lineRule="auto"/>
              <w:jc w:val="both"/>
            </w:pPr>
            <w:r>
              <w:rPr>
                <w:rFonts w:ascii="Times New Roman" w:hAnsi="Times New Roman" w:cs="B Lotus"/>
                <w:szCs w:val="20"/>
                <w:rtl/>
              </w:rPr>
              <w:t xml:space="preserve">داده‌ها 1396 تا 1402 است؛ در کل متن اصلاح شود.</w:t>
            </w:r>
          </w:p>
        </w:tc>
        <w:tc>
          <w:tcPr>
            <w:tcW w:w="4300" w:type="dxa"/>
            <w:vAlign w:val="center"/>
          </w:tcPr>
          <w:p>
            <w:pPr>
              <w:bidi/>
              <w:spacing w:before="40" w:after="40" w:line="260" w:lineRule="auto"/>
              <w:jc w:val="both"/>
            </w:pPr>
            <w:r>
              <w:rPr>
                <w:rFonts w:ascii="Times New Roman" w:hAnsi="Times New Roman" w:cs="B Lotus"/>
                <w:szCs w:val="20"/>
                <w:rtl/>
              </w:rPr>
              <w:t xml:space="preserve">در متن قبلی بازه‌های متناقض 1394-1403 (در فصل 3) و 1396-1402 (در فصل 4 و 5) آمده بود. در همهٔ بخش‌ها (چکیده، فصل 3 [روش پژوهش، شرایط نمونه، قلمرو زمانی]، فصل 4، فصل 5) بازهٔ 1396 تا 1402 (هفت سال، 137 شرکت، 959 مشاهده) یکسان شد.</w:t>
            </w:r>
          </w:p>
        </w:tc>
        <w:tc>
          <w:tcPr>
            <w:tcW w:w="4100" w:type="dxa"/>
            <w:vAlign w:val="center"/>
          </w:tcPr>
          <w:p>
            <w:pPr>
              <w:bidi/>
              <w:spacing w:before="40" w:after="40" w:line="260" w:lineRule="auto"/>
              <w:jc w:val="both"/>
            </w:pPr>
            <w:r>
              <w:rPr>
                <w:rFonts w:ascii="Times New Roman" w:hAnsi="Times New Roman" w:cs="B Lotus"/>
                <w:szCs w:val="20"/>
                <w:rtl/>
              </w:rPr>
              <w:t xml:space="preserve">مثال: «قلمرو زمانی: سال‌های 1396 تا 1402 (هفت سال مالی)»؛ «نمونهٔ نهایی شامل 137 شرکت … 959 مشاهدهٔ سال-شرکت»</w:t>
            </w:r>
          </w:p>
        </w:tc>
        <w:tc>
          <w:tcPr>
            <w:tcW w:w="1500" w:type="dxa"/>
            <w:vAlign w:val="center"/>
          </w:tcPr>
          <w:p>
            <w:pPr>
              <w:bidi/>
              <w:spacing w:before="40" w:after="40" w:line="260" w:lineRule="auto"/>
              <w:jc w:val="center"/>
            </w:pPr>
            <w:r>
              <w:rPr>
                <w:rFonts w:ascii="Times New Roman" w:hAnsi="Times New Roman" w:cs="B Lotus"/>
                <w:szCs w:val="20"/>
                <w:rtl/>
              </w:rPr>
              <w:t xml:space="preserve">3-2، 3-4، 3-8، 4-1، 5-1، چکیده</w:t>
            </w:r>
          </w:p>
        </w:tc>
        <w:tc>
          <w:tcPr>
            <w:tcW w:w="1000" w:type="dxa"/>
            <w:vAlign w:val="center"/>
          </w:tcPr>
          <w:p>
            <w:pPr>
              <w:bidi/>
              <w:spacing w:before="40" w:after="40" w:line="260" w:lineRule="auto"/>
              <w:jc w:val="center"/>
            </w:pPr>
            <w:r>
              <w:rPr>
                <w:rFonts w:ascii="Times New Roman" w:hAnsi="Times New Roman" w:cs="B Lotus"/>
                <w:szCs w:val="20"/>
                <w:rtl/>
              </w:rPr>
              <w:t xml:space="preserve">81، 83، 93، 95، 114، 7</w:t>
            </w:r>
          </w:p>
        </w:tc>
      </w:tr>
      <w:tr>
        <w:trPr>
          <w:cantSplit/>
        </w:trPr>
        <w:tc>
          <w:tcPr>
            <w:tcW w:w="800" w:type="dxa"/>
            <w:vAlign w:val="center"/>
          </w:tcPr>
          <w:p>
            <w:pPr>
              <w:bidi/>
              <w:spacing w:before="40" w:after="40" w:line="260" w:lineRule="auto"/>
              <w:jc w:val="center"/>
            </w:pPr>
            <w:r>
              <w:rPr>
                <w:rFonts w:ascii="Times New Roman" w:hAnsi="Times New Roman" w:cs="B Lotus"/>
                <w:szCs w:val="20"/>
                <w:rtl/>
              </w:rPr>
              <w:t xml:space="preserve">7-9</w:t>
            </w:r>
          </w:p>
        </w:tc>
        <w:tc>
          <w:tcPr>
            <w:tcW w:w="2300" w:type="dxa"/>
            <w:vAlign w:val="center"/>
          </w:tcPr>
          <w:p>
            <w:pPr>
              <w:bidi/>
              <w:spacing w:before="40" w:after="40" w:line="260" w:lineRule="auto"/>
              <w:jc w:val="both"/>
            </w:pPr>
            <w:r>
              <w:rPr>
                <w:rFonts w:ascii="Times New Roman" w:hAnsi="Times New Roman" w:cs="B Lotus"/>
                <w:szCs w:val="20"/>
                <w:rtl/>
              </w:rPr>
              <w:t xml:space="preserve">بازنویسی کامل فصل 4.</w:t>
            </w:r>
          </w:p>
        </w:tc>
        <w:tc>
          <w:tcPr>
            <w:tcW w:w="4300" w:type="dxa"/>
            <w:vAlign w:val="center"/>
          </w:tcPr>
          <w:p>
            <w:pPr>
              <w:bidi/>
              <w:spacing w:before="40" w:after="40" w:line="260" w:lineRule="auto"/>
              <w:jc w:val="both"/>
            </w:pPr>
            <w:r>
              <w:rPr>
                <w:rFonts w:ascii="Times New Roman" w:hAnsi="Times New Roman" w:cs="B Lotus"/>
                <w:szCs w:val="20"/>
                <w:rtl/>
              </w:rPr>
              <w:t xml:space="preserve">فصل 4 بازنویسی شد: ساختار (مقدمه، آمار توصیفی، آزمون‌های تشخیصی 4-3-1 تا 4-3-7، آزمون فرضیه‌ها 4-4-1 تا 4-4-5، جدول خلاصهٔ نتایج و خلاصهٔ فصل)، جدول‌های رگرسیون با خروجی نرم‌افزار (پیوست) هم‌خوان شد (آماره‌های </w:t>
            </w:r>
            <w:r>
              <w:rPr>
                <w:rFonts w:ascii="Times New Roman" w:hAnsi="Times New Roman" w:cs="B Lotus"/>
                <w:szCs w:val="20"/>
              </w:rPr>
              <w:t xml:space="preserve">R²</w:t>
            </w:r>
            <w:r>
              <w:rPr>
                <w:rFonts w:ascii="Times New Roman" w:hAnsi="Times New Roman" w:cs="B Lotus"/>
                <w:szCs w:val="20"/>
                <w:rtl/>
              </w:rPr>
              <w:t xml:space="preserve">، </w:t>
            </w:r>
            <w:r>
              <w:rPr>
                <w:rFonts w:ascii="Times New Roman" w:hAnsi="Times New Roman" w:cs="B Lotus"/>
                <w:szCs w:val="20"/>
              </w:rPr>
              <w:t xml:space="preserve">F</w:t>
            </w:r>
            <w:r>
              <w:rPr>
                <w:rFonts w:ascii="Times New Roman" w:hAnsi="Times New Roman" w:cs="B Lotus"/>
                <w:szCs w:val="20"/>
                <w:rtl/>
              </w:rPr>
              <w:t xml:space="preserve"> و دوربین-واتسون جدول فرضیهٔ سوم در متن قبلی با خروجی ایویوز نمی‌خواند)، برچسب متغیرها یکسان شد و تفسیرها با اعداد جداول هم‌خوان شد.</w:t>
            </w:r>
          </w:p>
        </w:tc>
        <w:tc>
          <w:tcPr>
            <w:tcW w:w="4100" w:type="dxa"/>
            <w:vAlign w:val="center"/>
          </w:tcPr>
          <w:p>
            <w:pPr>
              <w:bidi/>
              <w:spacing w:before="40" w:after="40" w:line="260" w:lineRule="auto"/>
              <w:jc w:val="both"/>
            </w:pPr>
            <w:r>
              <w:rPr>
                <w:rFonts w:ascii="Times New Roman" w:hAnsi="Times New Roman" w:cs="B Lotus"/>
                <w:szCs w:val="20"/>
                <w:rtl/>
              </w:rPr>
              <w:t xml:space="preserve">ضریب سطح هزینهٔ حسابرسی (</w:t>
            </w:r>
            <w:r>
              <w:rPr>
                <w:rFonts w:ascii="Times New Roman" w:hAnsi="Times New Roman" w:cs="B Lotus"/>
                <w:szCs w:val="20"/>
              </w:rPr>
              <w:t xml:space="preserve">AF)</w:t>
            </w:r>
            <w:r>
              <w:rPr>
                <w:rFonts w:ascii="Times New Roman" w:hAnsi="Times New Roman" w:cs="B Lotus"/>
                <w:szCs w:val="20"/>
                <w:rtl/>
              </w:rPr>
              <w:t xml:space="preserve"> برابر 0.649- با آمارهٔ </w:t>
            </w:r>
            <w:r>
              <w:rPr>
                <w:rFonts w:ascii="Times New Roman" w:hAnsi="Times New Roman" w:cs="B Lotus"/>
                <w:szCs w:val="20"/>
              </w:rPr>
              <w:t xml:space="preserve">t</w:t>
            </w:r>
            <w:r>
              <w:rPr>
                <w:rFonts w:ascii="Times New Roman" w:hAnsi="Times New Roman" w:cs="B Lotus"/>
                <w:szCs w:val="20"/>
                <w:rtl/>
              </w:rPr>
              <w:t xml:space="preserve"> برابر 16.905- و احتمال کمتر از 0.0001 است و از نظر آماری معنادار است. علامت منفی نشان می‌دهد هرچه هزینهٔ حسابرسی پایین‌تر باشد، افزایش بعدی حق‌الزحمه بیشتر است؛ بنابراین فرضیهٔ سوم تأیید می‌شود و الگوی ریکاوری حق‌الزحمه در مؤسساتی که هزینهٔ اولیهٔ پایین‌تری داشته‌اند مشاهده می‌شود. از متغیرهای کنترلی، اندازهٔ شرکت اثر مثبت و بازده دارایی‌ها اثر منفی و معنادار دارند. تفسیر این ضریب باید با احتیاط انجام شود؛ زیرا در رگرسیون تغییر روی سطح، بخشی از رابطهٔ منفی ممکن است ناشی از بازگشت به میانگین باشد (بخش 5-7).</w:t>
            </w:r>
          </w:p>
        </w:tc>
        <w:tc>
          <w:tcPr>
            <w:tcW w:w="1500" w:type="dxa"/>
            <w:vAlign w:val="center"/>
          </w:tcPr>
          <w:p>
            <w:pPr>
              <w:bidi/>
              <w:spacing w:before="40" w:after="40" w:line="260" w:lineRule="auto"/>
              <w:jc w:val="center"/>
            </w:pPr>
            <w:r>
              <w:rPr>
                <w:rFonts w:ascii="Times New Roman" w:hAnsi="Times New Roman" w:cs="B Lotus"/>
                <w:szCs w:val="20"/>
                <w:rtl/>
              </w:rPr>
              <w:t xml:space="preserve">4-1 تا 4-6</w:t>
            </w:r>
          </w:p>
        </w:tc>
        <w:tc>
          <w:tcPr>
            <w:tcW w:w="1000" w:type="dxa"/>
            <w:vAlign w:val="center"/>
          </w:tcPr>
          <w:p>
            <w:pPr>
              <w:bidi/>
              <w:spacing w:before="40" w:after="40" w:line="260" w:lineRule="auto"/>
              <w:jc w:val="center"/>
            </w:pPr>
            <w:r>
              <w:rPr>
                <w:rFonts w:ascii="Times New Roman" w:hAnsi="Times New Roman" w:cs="B Lotus"/>
                <w:szCs w:val="20"/>
                <w:rtl/>
              </w:rPr>
              <w:t xml:space="preserve">95 تا 111</w:t>
            </w:r>
          </w:p>
        </w:tc>
      </w:tr>
      <w:tr>
        <w:trPr>
          <w:cantSplit/>
        </w:trPr>
        <w:tc>
          <w:tcPr>
            <w:tcW w:w="800" w:type="dxa"/>
            <w:vAlign w:val="center"/>
          </w:tcPr>
          <w:p>
            <w:pPr>
              <w:bidi/>
              <w:spacing w:before="40" w:after="40" w:line="260" w:lineRule="auto"/>
              <w:jc w:val="center"/>
            </w:pPr>
            <w:r>
              <w:rPr>
                <w:rFonts w:ascii="Times New Roman" w:hAnsi="Times New Roman" w:cs="B Lotus"/>
                <w:szCs w:val="20"/>
                <w:rtl/>
              </w:rPr>
              <w:t xml:space="preserve">8</w:t>
            </w:r>
          </w:p>
        </w:tc>
        <w:tc>
          <w:tcPr>
            <w:tcW w:w="2300" w:type="dxa"/>
            <w:vAlign w:val="center"/>
          </w:tcPr>
          <w:p>
            <w:pPr>
              <w:bidi/>
              <w:spacing w:before="40" w:after="40" w:line="260" w:lineRule="auto"/>
              <w:jc w:val="both"/>
            </w:pPr>
            <w:r>
              <w:rPr>
                <w:rFonts w:ascii="Times New Roman" w:hAnsi="Times New Roman" w:cs="B Lotus"/>
                <w:szCs w:val="20"/>
                <w:rtl/>
              </w:rPr>
              <w:t xml:space="preserve">در فصل 4، آخرین جدول (خلاصهٔ آزمون: تأیید و عدم تأیید فرضیه) اضافه شود.</w:t>
            </w:r>
          </w:p>
        </w:tc>
        <w:tc>
          <w:tcPr>
            <w:tcW w:w="4300" w:type="dxa"/>
            <w:vAlign w:val="center"/>
          </w:tcPr>
          <w:p>
            <w:pPr>
              <w:bidi/>
              <w:spacing w:before="40" w:after="40" w:line="260" w:lineRule="auto"/>
              <w:jc w:val="both"/>
            </w:pPr>
            <w:r>
              <w:rPr>
                <w:rFonts w:ascii="Times New Roman" w:hAnsi="Times New Roman" w:cs="B Lotus"/>
                <w:szCs w:val="20"/>
                <w:rtl/>
              </w:rPr>
              <w:t xml:space="preserve">جدول 4-15 «خلاصهٔ نتایج آزمون فرضیه‌های پژوهش» به‌عنوان آخرین جدول فصل 4 افزوده شد (متغیر آزمون، ضریب، </w:t>
            </w:r>
            <w:r>
              <w:rPr>
                <w:rFonts w:ascii="Times New Roman" w:hAnsi="Times New Roman" w:cs="B Lotus"/>
                <w:szCs w:val="20"/>
              </w:rPr>
              <w:t xml:space="preserve">t</w:t>
            </w:r>
            <w:r>
              <w:rPr>
                <w:rFonts w:ascii="Times New Roman" w:hAnsi="Times New Roman" w:cs="B Lotus"/>
                <w:szCs w:val="20"/>
                <w:rtl/>
              </w:rPr>
              <w:t xml:space="preserve">، مقدار احتمال، نتیجهٔ آماری و وضعیت تأیید/عدم تأیید).</w:t>
            </w:r>
          </w:p>
        </w:tc>
        <w:tc>
          <w:tcPr>
            <w:tcW w:w="4100" w:type="dxa"/>
            <w:vAlign w:val="center"/>
          </w:tcPr>
          <w:p>
            <w:pPr>
              <w:bidi/>
              <w:spacing w:before="40" w:after="40" w:line="260" w:lineRule="auto"/>
              <w:jc w:val="both"/>
            </w:pPr>
            <w:r>
              <w:rPr>
                <w:rFonts w:ascii="Times New Roman" w:hAnsi="Times New Roman" w:cs="B Lotus"/>
                <w:szCs w:val="20"/>
                <w:rtl/>
              </w:rPr>
              <w:t xml:space="preserve">فرضیه 1: تأیید | فرضیه 2: تأیید | فرضیه 3: تأیید | فرضیه 4: عدم تأیید | فرضیه 5: تأیید</w:t>
            </w:r>
          </w:p>
          <w:p>
            <w:pPr>
              <w:bidi/>
              <w:spacing w:before="40" w:after="40" w:line="260" w:lineRule="auto"/>
              <w:jc w:val="both"/>
            </w:pPr>
            <w:r>
              <w:rPr>
                <w:rFonts w:ascii="Times New Roman" w:hAnsi="Times New Roman" w:cs="B Lotus"/>
                <w:szCs w:val="20"/>
                <w:rtl/>
              </w:rPr>
              <w:t xml:space="preserve">(جزئیات ضرایب در جدول 4-15)</w:t>
            </w:r>
          </w:p>
        </w:tc>
        <w:tc>
          <w:tcPr>
            <w:tcW w:w="1500" w:type="dxa"/>
            <w:vAlign w:val="center"/>
          </w:tcPr>
          <w:p>
            <w:pPr>
              <w:bidi/>
              <w:spacing w:before="40" w:after="40" w:line="260" w:lineRule="auto"/>
              <w:jc w:val="center"/>
            </w:pPr>
            <w:r>
              <w:rPr>
                <w:rFonts w:ascii="Times New Roman" w:hAnsi="Times New Roman" w:cs="B Lotus"/>
                <w:szCs w:val="20"/>
                <w:rtl/>
              </w:rPr>
              <w:t xml:space="preserve">4-5 (جدول 4-15)</w:t>
            </w:r>
          </w:p>
        </w:tc>
        <w:tc>
          <w:tcPr>
            <w:tcW w:w="1000" w:type="dxa"/>
            <w:vAlign w:val="center"/>
          </w:tcPr>
          <w:p>
            <w:pPr>
              <w:bidi/>
              <w:spacing w:before="40" w:after="40" w:line="260" w:lineRule="auto"/>
              <w:jc w:val="center"/>
            </w:pPr>
            <w:r>
              <w:rPr>
                <w:rFonts w:ascii="Times New Roman" w:hAnsi="Times New Roman" w:cs="B Lotus"/>
                <w:szCs w:val="20"/>
                <w:rtl/>
              </w:rPr>
              <w:t xml:space="preserve">111</w:t>
            </w:r>
          </w:p>
        </w:tc>
      </w:tr>
      <w:tr>
        <w:trPr>
          <w:cantSplit/>
        </w:trPr>
        <w:tc>
          <w:tcPr>
            <w:tcW w:w="800" w:type="dxa"/>
            <w:vAlign w:val="center"/>
          </w:tcPr>
          <w:p>
            <w:pPr>
              <w:bidi/>
              <w:spacing w:before="40" w:after="40" w:line="260" w:lineRule="auto"/>
              <w:jc w:val="center"/>
            </w:pPr>
            <w:r>
              <w:rPr>
                <w:rFonts w:ascii="Times New Roman" w:hAnsi="Times New Roman" w:cs="B Lotus"/>
                <w:szCs w:val="20"/>
                <w:rtl/>
              </w:rPr>
              <w:t xml:space="preserve">9</w:t>
            </w:r>
          </w:p>
        </w:tc>
        <w:tc>
          <w:tcPr>
            <w:tcW w:w="2300" w:type="dxa"/>
            <w:vAlign w:val="center"/>
          </w:tcPr>
          <w:p>
            <w:pPr>
              <w:bidi/>
              <w:spacing w:before="40" w:after="40" w:line="260" w:lineRule="auto"/>
              <w:jc w:val="both"/>
            </w:pPr>
            <w:r>
              <w:rPr>
                <w:rFonts w:ascii="Times New Roman" w:hAnsi="Times New Roman" w:cs="B Lotus"/>
                <w:szCs w:val="20"/>
                <w:rtl/>
              </w:rPr>
              <w:t xml:space="preserve">در فصل 5 نتایج آزمون با پژوهش‌های قبلی مقایسه شود (انطباق و مغایرت).</w:t>
            </w:r>
          </w:p>
        </w:tc>
        <w:tc>
          <w:tcPr>
            <w:tcW w:w="4300" w:type="dxa"/>
            <w:vAlign w:val="center"/>
          </w:tcPr>
          <w:p>
            <w:pPr>
              <w:bidi/>
              <w:spacing w:before="40" w:after="40" w:line="260" w:lineRule="auto"/>
              <w:jc w:val="both"/>
            </w:pPr>
            <w:r>
              <w:rPr>
                <w:rFonts w:ascii="Times New Roman" w:hAnsi="Times New Roman" w:cs="B Lotus"/>
                <w:szCs w:val="20"/>
                <w:rtl/>
              </w:rPr>
              <w:t xml:space="preserve">برای هر پنج فرضیه (5-2-1 تا 5-2-5) پس از تفسیر، بندهای مستقل «انطباق با پژوهش‌های پیشین» و «مغایرت با پژوهش‌های پیشین» افزوده شد و جدول 5-2 همهٔ انطباق‌ها و مغایرت‌ها را خلاصه می‌کند؛ جدول 5-1 وضعیت فرضیه‌ها را نشان می‌دهد.</w:t>
            </w:r>
          </w:p>
        </w:tc>
        <w:tc>
          <w:tcPr>
            <w:tcW w:w="4100" w:type="dxa"/>
            <w:vAlign w:val="center"/>
          </w:tcPr>
          <w:p>
            <w:pPr>
              <w:bidi/>
              <w:spacing w:before="40" w:after="40" w:line="260" w:lineRule="auto"/>
              <w:jc w:val="both"/>
            </w:pPr>
            <w:r>
              <w:rPr>
                <w:rFonts w:ascii="Times New Roman" w:hAnsi="Times New Roman" w:cs="B Lotus"/>
                <w:szCs w:val="20"/>
                <w:rtl/>
              </w:rPr>
              <w:t xml:space="preserve">انطباق با پژوهش‌های پیشین: سیمون و فرانسیس (1988) در آمریکا شواهدی از کاهش قیمت در سال اول و بازیابی آن در سال‌های بعد یافتند. پیل (2013) نیز نشان داد حق‌الزحمه‌ها در دوره‌های آتی بهبود می‌یابند و تخفیف ابزاری رقابتی برای کسب شبه‌منافع آینده است؛ کاچر و ویلسون (2016) در بریتانیا گزارش کردند حق‌الزحمه‌ها طی حدود پنج سال به سطح عادی بازمی‌گردند؛ چو و همکاران (2020) نیز دریافتند حسابرسانِ دارای نرخ‌شکنی، تخفیف را در دوره‌های بعد از طریق افزایش حق‌الزحمه جبران می‌کنند؛ و امر و یوآن (2025) تخفیف سال‌های اول پس از تغییر حسابرس را در شرایط رقابتی مستند کردند. جانستون و همکاران (2004) نیز نشان دادند در فضای رقابتی حق‌الزحمه‌ها کمتر است. رشیدی و حاجی‌زاده (1403) نیز پیامدهای نرخ‌شکنی حسابرسی نخستین را در بازار ایران تأیید کرده‌اند.</w:t>
            </w:r>
          </w:p>
        </w:tc>
        <w:tc>
          <w:tcPr>
            <w:tcW w:w="1500" w:type="dxa"/>
            <w:vAlign w:val="center"/>
          </w:tcPr>
          <w:p>
            <w:pPr>
              <w:bidi/>
              <w:spacing w:before="40" w:after="40" w:line="260" w:lineRule="auto"/>
              <w:jc w:val="center"/>
            </w:pPr>
            <w:r>
              <w:rPr>
                <w:rFonts w:ascii="Times New Roman" w:hAnsi="Times New Roman" w:cs="B Lotus"/>
                <w:szCs w:val="20"/>
                <w:rtl/>
              </w:rPr>
              <w:t xml:space="preserve">5-2 و 5-3 (جداول 5-1 و 5-2)</w:t>
            </w:r>
          </w:p>
        </w:tc>
        <w:tc>
          <w:tcPr>
            <w:tcW w:w="1000" w:type="dxa"/>
            <w:vAlign w:val="center"/>
          </w:tcPr>
          <w:p>
            <w:pPr>
              <w:bidi/>
              <w:spacing w:before="40" w:after="40" w:line="260" w:lineRule="auto"/>
              <w:jc w:val="center"/>
            </w:pPr>
            <w:r>
              <w:rPr>
                <w:rFonts w:ascii="Times New Roman" w:hAnsi="Times New Roman" w:cs="B Lotus"/>
                <w:szCs w:val="20"/>
                <w:rtl/>
              </w:rPr>
              <w:t xml:space="preserve">114؛ جدول 5-2: 120</w:t>
            </w:r>
          </w:p>
        </w:tc>
      </w:tr>
    </w:tbl>
    <w:p>
      <w:pPr>
        <w:bidi/>
        <w:spacing w:before="0" w:after="0" w:line="360" w:lineRule="auto"/>
        <w:jc w:val="both"/>
      </w:pPr>
    </w:p>
    <w:p>
      <w:pPr>
        <w:bidi/>
        <w:spacing w:before="120" w:after="120" w:line="276" w:lineRule="auto"/>
        <w:jc w:val="center"/>
      </w:pPr>
      <w:r>
        <w:rPr>
          <w:rFonts w:ascii="Times New Roman" w:hAnsi="Times New Roman" w:cs="B Lotus"/>
          <w:b/>
          <w:bCs/>
          <w:szCs w:val="28"/>
          <w:rtl/>
        </w:rPr>
        <w:t xml:space="preserve">جدول 2: اصلاحات تکمیلی انجام‌شده (غیر از موارد ذکرشدهٔ داوران)</w:t>
      </w:r>
    </w:p>
    <w:tbl>
      <w:tblPr>
        <w:bidiVisual/>
        <w:tblW w:w="139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60" w:type="dxa"/>
          <w:right w:w="60" w:type="dxa"/>
        </w:tblCellMar>
      </w:tblPr>
      <w:tblGrid>
        <w:gridCol w:w="800"/>
        <w:gridCol w:w="3000"/>
        <w:gridCol w:w="10100"/>
      </w:tblGrid>
      <w:tr>
        <w:trPr>
          <w:cantSplit/>
          <w:tblHeader/>
        </w:trPr>
        <w:tc>
          <w:tcPr>
            <w:tcW w:w="800" w:type="dxa"/>
            <w:shd w:val="clear" w:color="auto" w:fill="D9D9D9"/>
            <w:vAlign w:val="center"/>
          </w:tcPr>
          <w:p>
            <w:pPr>
              <w:bidi/>
              <w:spacing w:before="40" w:after="40" w:line="260" w:lineRule="auto"/>
              <w:jc w:val="center"/>
            </w:pPr>
            <w:r>
              <w:rPr>
                <w:rFonts w:ascii="Times New Roman" w:hAnsi="Times New Roman" w:cs="B Lotus"/>
                <w:b/>
                <w:bCs/>
                <w:szCs w:val="20"/>
                <w:rtl/>
              </w:rPr>
              <w:t xml:space="preserve">ردیف</w:t>
            </w:r>
          </w:p>
        </w:tc>
        <w:tc>
          <w:tcPr>
            <w:tcW w:w="3000" w:type="dxa"/>
            <w:shd w:val="clear" w:color="auto" w:fill="D9D9D9"/>
            <w:vAlign w:val="center"/>
          </w:tcPr>
          <w:p>
            <w:pPr>
              <w:bidi/>
              <w:spacing w:before="40" w:after="40" w:line="260" w:lineRule="auto"/>
              <w:jc w:val="both"/>
            </w:pPr>
            <w:r>
              <w:rPr>
                <w:rFonts w:ascii="Times New Roman" w:hAnsi="Times New Roman" w:cs="B Lotus"/>
                <w:b/>
                <w:bCs/>
                <w:szCs w:val="20"/>
                <w:rtl/>
              </w:rPr>
              <w:t xml:space="preserve">موضوع</w:t>
            </w:r>
          </w:p>
        </w:tc>
        <w:tc>
          <w:tcPr>
            <w:tcW w:w="10100" w:type="dxa"/>
            <w:shd w:val="clear" w:color="auto" w:fill="D9D9D9"/>
            <w:vAlign w:val="center"/>
          </w:tcPr>
          <w:p>
            <w:pPr>
              <w:bidi/>
              <w:spacing w:before="40" w:after="40" w:line="260" w:lineRule="auto"/>
              <w:jc w:val="both"/>
            </w:pPr>
            <w:r>
              <w:rPr>
                <w:rFonts w:ascii="Times New Roman" w:hAnsi="Times New Roman" w:cs="B Lotus"/>
                <w:b/>
                <w:bCs/>
                <w:szCs w:val="20"/>
                <w:rtl/>
              </w:rPr>
              <w:t xml:space="preserve">توضیح</w:t>
            </w:r>
          </w:p>
        </w:tc>
      </w:tr>
      <w:tr>
        <w:trPr>
          <w:cantSplit/>
        </w:trPr>
        <w:tc>
          <w:tcPr>
            <w:tcW w:w="800" w:type="dxa"/>
            <w:vAlign w:val="center"/>
          </w:tcPr>
          <w:p>
            <w:pPr>
              <w:bidi/>
              <w:spacing w:before="40" w:after="40" w:line="260" w:lineRule="auto"/>
              <w:jc w:val="center"/>
            </w:pPr>
            <w:r>
              <w:rPr>
                <w:rFonts w:ascii="Times New Roman" w:hAnsi="Times New Roman" w:cs="B Lotus"/>
                <w:szCs w:val="20"/>
                <w:rtl/>
              </w:rPr>
              <w:t xml:space="preserve">1</w:t>
            </w:r>
          </w:p>
        </w:tc>
        <w:tc>
          <w:tcPr>
            <w:tcW w:w="3000" w:type="dxa"/>
            <w:vAlign w:val="center"/>
          </w:tcPr>
          <w:p>
            <w:pPr>
              <w:bidi/>
              <w:spacing w:before="40" w:after="40" w:line="260" w:lineRule="auto"/>
              <w:jc w:val="both"/>
            </w:pPr>
            <w:r>
              <w:rPr>
                <w:rFonts w:ascii="Times New Roman" w:hAnsi="Times New Roman" w:cs="B Lotus"/>
                <w:szCs w:val="20"/>
                <w:rtl/>
              </w:rPr>
              <w:t xml:space="preserve">مغایرت جداول با خروجی نرم‌افزار</w:t>
            </w:r>
          </w:p>
        </w:tc>
        <w:tc>
          <w:tcPr>
            <w:tcW w:w="10100" w:type="dxa"/>
            <w:vAlign w:val="center"/>
          </w:tcPr>
          <w:p>
            <w:pPr>
              <w:bidi/>
              <w:spacing w:before="40" w:after="40" w:line="260" w:lineRule="auto"/>
              <w:jc w:val="both"/>
            </w:pPr>
            <w:r>
              <w:rPr>
                <w:rFonts w:ascii="Times New Roman" w:hAnsi="Times New Roman" w:cs="B Lotus"/>
                <w:szCs w:val="20"/>
                <w:rtl/>
              </w:rPr>
              <w:t xml:space="preserve">اعداد جدول‌های رگرسیون فصل 4 از روی خروجی ایویوز (پیوست) بازنویسی شد؛ در متن قبلی آمارهٔ مدل سوم (</w:t>
            </w:r>
            <w:r>
              <w:rPr>
                <w:rFonts w:ascii="Times New Roman" w:hAnsi="Times New Roman" w:cs="B Lotus"/>
                <w:szCs w:val="20"/>
              </w:rPr>
              <w:t xml:space="preserve">R²</w:t>
            </w:r>
            <w:r>
              <w:rPr>
                <w:rFonts w:ascii="Times New Roman" w:hAnsi="Times New Roman" w:cs="B Lotus"/>
                <w:szCs w:val="20"/>
                <w:rtl/>
              </w:rPr>
              <w:t xml:space="preserve">، </w:t>
            </w:r>
            <w:r>
              <w:rPr>
                <w:rFonts w:ascii="Times New Roman" w:hAnsi="Times New Roman" w:cs="B Lotus"/>
                <w:szCs w:val="20"/>
              </w:rPr>
              <w:t xml:space="preserve">F</w:t>
            </w:r>
            <w:r>
              <w:rPr>
                <w:rFonts w:ascii="Times New Roman" w:hAnsi="Times New Roman" w:cs="B Lotus"/>
                <w:szCs w:val="20"/>
                <w:rtl/>
              </w:rPr>
              <w:t xml:space="preserve">، دوربین-واتسون) با خروجی ایویوز نمی‌خواند و شماره/برچسب بعضی جدول‌ها (مثلاً «جدول 4-13: مدل فرضیه سوم») اشتباه بود.</w:t>
            </w:r>
          </w:p>
        </w:tc>
      </w:tr>
      <w:tr>
        <w:trPr>
          <w:cantSplit/>
        </w:trPr>
        <w:tc>
          <w:tcPr>
            <w:tcW w:w="800" w:type="dxa"/>
            <w:vAlign w:val="center"/>
          </w:tcPr>
          <w:p>
            <w:pPr>
              <w:bidi/>
              <w:spacing w:before="40" w:after="40" w:line="260" w:lineRule="auto"/>
              <w:jc w:val="center"/>
            </w:pPr>
            <w:r>
              <w:rPr>
                <w:rFonts w:ascii="Times New Roman" w:hAnsi="Times New Roman" w:cs="B Lotus"/>
                <w:szCs w:val="20"/>
                <w:rtl/>
              </w:rPr>
              <w:t xml:space="preserve">2</w:t>
            </w:r>
          </w:p>
        </w:tc>
        <w:tc>
          <w:tcPr>
            <w:tcW w:w="3000" w:type="dxa"/>
            <w:vAlign w:val="center"/>
          </w:tcPr>
          <w:p>
            <w:pPr>
              <w:bidi/>
              <w:spacing w:before="40" w:after="40" w:line="260" w:lineRule="auto"/>
              <w:jc w:val="both"/>
            </w:pPr>
            <w:r>
              <w:rPr>
                <w:rFonts w:ascii="Times New Roman" w:hAnsi="Times New Roman" w:cs="B Lotus"/>
                <w:szCs w:val="20"/>
                <w:rtl/>
              </w:rPr>
              <w:t xml:space="preserve">تفسیر آزمون مانایی</w:t>
            </w:r>
          </w:p>
        </w:tc>
        <w:tc>
          <w:tcPr>
            <w:tcW w:w="10100" w:type="dxa"/>
            <w:vAlign w:val="center"/>
          </w:tcPr>
          <w:p>
            <w:pPr>
              <w:bidi/>
              <w:spacing w:before="40" w:after="40" w:line="260" w:lineRule="auto"/>
              <w:jc w:val="both"/>
            </w:pPr>
            <w:r>
              <w:rPr>
                <w:rFonts w:ascii="Times New Roman" w:hAnsi="Times New Roman" w:cs="B Lotus"/>
                <w:szCs w:val="20"/>
                <w:rtl/>
              </w:rPr>
              <w:t xml:space="preserve">در متن قبلی همهٔ متغیرها «مانا در سطح» ذکر شده بود، در حالی که جدول 4-3 نشان می‌دهد </w:t>
            </w:r>
            <w:r>
              <w:rPr>
                <w:rFonts w:ascii="Times New Roman" w:hAnsi="Times New Roman" w:cs="B Lotus"/>
                <w:szCs w:val="20"/>
              </w:rPr>
              <w:t xml:space="preserve">AF</w:t>
            </w:r>
            <w:r>
              <w:rPr>
                <w:rFonts w:ascii="Times New Roman" w:hAnsi="Times New Roman" w:cs="B Lotus"/>
                <w:szCs w:val="20"/>
                <w:rtl/>
              </w:rPr>
              <w:t xml:space="preserve">، </w:t>
            </w:r>
            <w:r>
              <w:rPr>
                <w:rFonts w:ascii="Times New Roman" w:hAnsi="Times New Roman" w:cs="B Lotus"/>
                <w:szCs w:val="20"/>
              </w:rPr>
              <w:t xml:space="preserve">BIG4</w:t>
            </w:r>
            <w:r>
              <w:rPr>
                <w:rFonts w:ascii="Times New Roman" w:hAnsi="Times New Roman" w:cs="B Lotus"/>
                <w:szCs w:val="20"/>
                <w:rtl/>
              </w:rPr>
              <w:t xml:space="preserve">، </w:t>
            </w:r>
            <w:r>
              <w:rPr>
                <w:rFonts w:ascii="Times New Roman" w:hAnsi="Times New Roman" w:cs="B Lotus"/>
                <w:szCs w:val="20"/>
              </w:rPr>
              <w:t xml:space="preserve">COMPLEX</w:t>
            </w:r>
            <w:r>
              <w:rPr>
                <w:rFonts w:ascii="Times New Roman" w:hAnsi="Times New Roman" w:cs="B Lotus"/>
                <w:szCs w:val="20"/>
                <w:rtl/>
              </w:rPr>
              <w:t xml:space="preserve">، </w:t>
            </w:r>
            <w:r>
              <w:rPr>
                <w:rFonts w:ascii="Times New Roman" w:hAnsi="Times New Roman" w:cs="B Lotus"/>
                <w:szCs w:val="20"/>
              </w:rPr>
              <w:t xml:space="preserve">SIZE</w:t>
            </w:r>
            <w:r>
              <w:rPr>
                <w:rFonts w:ascii="Times New Roman" w:hAnsi="Times New Roman" w:cs="B Lotus"/>
                <w:szCs w:val="20"/>
                <w:rtl/>
              </w:rPr>
              <w:t xml:space="preserve"> و </w:t>
            </w:r>
            <w:r>
              <w:rPr>
                <w:rFonts w:ascii="Times New Roman" w:hAnsi="Times New Roman" w:cs="B Lotus"/>
                <w:szCs w:val="20"/>
              </w:rPr>
              <w:t xml:space="preserve">TENURE</w:t>
            </w:r>
            <w:r>
              <w:rPr>
                <w:rFonts w:ascii="Times New Roman" w:hAnsi="Times New Roman" w:cs="B Lotus"/>
                <w:szCs w:val="20"/>
                <w:rtl/>
              </w:rPr>
              <w:t xml:space="preserve"> در تفاضل اول مانا هستند؛ متن اصلاح شد و ضرورت آزمون هم‌انباشتگی توضیح داده شد.</w:t>
            </w:r>
          </w:p>
        </w:tc>
      </w:tr>
      <w:tr>
        <w:trPr>
          <w:cantSplit/>
        </w:trPr>
        <w:tc>
          <w:tcPr>
            <w:tcW w:w="800" w:type="dxa"/>
            <w:vAlign w:val="center"/>
          </w:tcPr>
          <w:p>
            <w:pPr>
              <w:bidi/>
              <w:spacing w:before="40" w:after="40" w:line="260" w:lineRule="auto"/>
              <w:jc w:val="center"/>
            </w:pPr>
            <w:r>
              <w:rPr>
                <w:rFonts w:ascii="Times New Roman" w:hAnsi="Times New Roman" w:cs="B Lotus"/>
                <w:szCs w:val="20"/>
                <w:rtl/>
              </w:rPr>
              <w:t xml:space="preserve">3</w:t>
            </w:r>
          </w:p>
        </w:tc>
        <w:tc>
          <w:tcPr>
            <w:tcW w:w="3000" w:type="dxa"/>
            <w:vAlign w:val="center"/>
          </w:tcPr>
          <w:p>
            <w:pPr>
              <w:bidi/>
              <w:spacing w:before="40" w:after="40" w:line="260" w:lineRule="auto"/>
              <w:jc w:val="both"/>
            </w:pPr>
            <w:r>
              <w:rPr>
                <w:rFonts w:ascii="Times New Roman" w:hAnsi="Times New Roman" w:cs="B Lotus"/>
                <w:szCs w:val="20"/>
                <w:rtl/>
              </w:rPr>
              <w:t xml:space="preserve">فرضیهٔ چهارم</w:t>
            </w:r>
          </w:p>
        </w:tc>
        <w:tc>
          <w:tcPr>
            <w:tcW w:w="10100" w:type="dxa"/>
            <w:vAlign w:val="center"/>
          </w:tcPr>
          <w:p>
            <w:pPr>
              <w:bidi/>
              <w:spacing w:before="40" w:after="40" w:line="260" w:lineRule="auto"/>
              <w:jc w:val="both"/>
            </w:pPr>
            <w:r>
              <w:rPr>
                <w:rFonts w:ascii="Times New Roman" w:hAnsi="Times New Roman" w:cs="B Lotus"/>
                <w:szCs w:val="20"/>
                <w:rtl/>
              </w:rPr>
              <w:t xml:space="preserve">ضریب </w:t>
            </w:r>
            <w:r>
              <w:rPr>
                <w:rFonts w:ascii="Times New Roman" w:hAnsi="Times New Roman" w:cs="B Lotus"/>
                <w:szCs w:val="20"/>
              </w:rPr>
              <w:t xml:space="preserve">AF</w:t>
            </w:r>
            <w:r>
              <w:rPr>
                <w:rFonts w:ascii="Times New Roman" w:hAnsi="Times New Roman" w:cs="B Lotus"/>
                <w:szCs w:val="20"/>
                <w:rtl/>
              </w:rPr>
              <w:t xml:space="preserve"> در مدل چهارم منفی و معنادار (−0.240، </w:t>
            </w:r>
            <w:r>
              <w:rPr>
                <w:rFonts w:ascii="Times New Roman" w:hAnsi="Times New Roman" w:cs="B Lotus"/>
                <w:szCs w:val="20"/>
              </w:rPr>
              <w:t xml:space="preserve">p&lt;0.0001)</w:t>
            </w:r>
            <w:r>
              <w:rPr>
                <w:rFonts w:ascii="Times New Roman" w:hAnsi="Times New Roman" w:cs="B Lotus"/>
                <w:szCs w:val="20"/>
                <w:rtl/>
              </w:rPr>
              <w:t xml:space="preserve"> است؛ در متن قبلی همین نتیجه به‌اشتباه «تأیید فرضیه» اعلام شده بود. در نسخهٔ اصلاح‌شده «عدم تأیید» گزارش شد و دکترین رساله و جمع‌بندی فصل 5 با آن هماهنگ شد (به نکتهٔ 1 جدول 3 مراجعه شود).</w:t>
            </w:r>
          </w:p>
        </w:tc>
      </w:tr>
      <w:tr>
        <w:trPr>
          <w:cantSplit/>
        </w:trPr>
        <w:tc>
          <w:tcPr>
            <w:tcW w:w="800" w:type="dxa"/>
            <w:vAlign w:val="center"/>
          </w:tcPr>
          <w:p>
            <w:pPr>
              <w:bidi/>
              <w:spacing w:before="40" w:after="40" w:line="260" w:lineRule="auto"/>
              <w:jc w:val="center"/>
            </w:pPr>
            <w:r>
              <w:rPr>
                <w:rFonts w:ascii="Times New Roman" w:hAnsi="Times New Roman" w:cs="B Lotus"/>
                <w:szCs w:val="20"/>
                <w:rtl/>
              </w:rPr>
              <w:t xml:space="preserve">4</w:t>
            </w:r>
          </w:p>
        </w:tc>
        <w:tc>
          <w:tcPr>
            <w:tcW w:w="3000" w:type="dxa"/>
            <w:vAlign w:val="center"/>
          </w:tcPr>
          <w:p>
            <w:pPr>
              <w:bidi/>
              <w:spacing w:before="40" w:after="40" w:line="260" w:lineRule="auto"/>
              <w:jc w:val="both"/>
            </w:pPr>
            <w:r>
              <w:rPr>
                <w:rFonts w:ascii="Times New Roman" w:hAnsi="Times New Roman" w:cs="B Lotus"/>
                <w:szCs w:val="20"/>
                <w:rtl/>
              </w:rPr>
              <w:t xml:space="preserve">فرضیهٔ اول در فصل 4</w:t>
            </w:r>
          </w:p>
        </w:tc>
        <w:tc>
          <w:tcPr>
            <w:tcW w:w="10100" w:type="dxa"/>
            <w:vAlign w:val="center"/>
          </w:tcPr>
          <w:p>
            <w:pPr>
              <w:bidi/>
              <w:spacing w:before="40" w:after="40" w:line="260" w:lineRule="auto"/>
              <w:jc w:val="both"/>
            </w:pPr>
            <w:r>
              <w:rPr>
                <w:rFonts w:ascii="Times New Roman" w:hAnsi="Times New Roman" w:cs="B Lotus"/>
                <w:szCs w:val="20"/>
                <w:rtl/>
              </w:rPr>
              <w:t xml:space="preserve">در فصل 4 قبلی عبارت «فرضیه پژوهش رد می‌شود» و در فصل 5 «تأیید می‌شود» آمده بود؛ تصمیم یکسان (تأیید فرضیه به‌معنای نبود رابطه معنادار) و قاعدهٔ تصمیم در جدول 3-2 تعریف شد.</w:t>
            </w:r>
          </w:p>
        </w:tc>
      </w:tr>
      <w:tr>
        <w:trPr>
          <w:cantSplit/>
        </w:trPr>
        <w:tc>
          <w:tcPr>
            <w:tcW w:w="800" w:type="dxa"/>
            <w:vAlign w:val="center"/>
          </w:tcPr>
          <w:p>
            <w:pPr>
              <w:bidi/>
              <w:spacing w:before="40" w:after="40" w:line="260" w:lineRule="auto"/>
              <w:jc w:val="center"/>
            </w:pPr>
            <w:r>
              <w:rPr>
                <w:rFonts w:ascii="Times New Roman" w:hAnsi="Times New Roman" w:cs="B Lotus"/>
                <w:szCs w:val="20"/>
                <w:rtl/>
              </w:rPr>
              <w:t xml:space="preserve">5</w:t>
            </w:r>
          </w:p>
        </w:tc>
        <w:tc>
          <w:tcPr>
            <w:tcW w:w="3000" w:type="dxa"/>
            <w:vAlign w:val="center"/>
          </w:tcPr>
          <w:p>
            <w:pPr>
              <w:bidi/>
              <w:spacing w:before="40" w:after="40" w:line="260" w:lineRule="auto"/>
              <w:jc w:val="both"/>
            </w:pPr>
            <w:r>
              <w:rPr>
                <w:rFonts w:ascii="Times New Roman" w:hAnsi="Times New Roman" w:cs="B Lotus"/>
                <w:szCs w:val="20"/>
                <w:rtl/>
              </w:rPr>
              <w:t xml:space="preserve">حذف بندهای تکراری/نامربوط فصل 2</w:t>
            </w:r>
          </w:p>
        </w:tc>
        <w:tc>
          <w:tcPr>
            <w:tcW w:w="10100" w:type="dxa"/>
            <w:vAlign w:val="center"/>
          </w:tcPr>
          <w:p>
            <w:pPr>
              <w:bidi/>
              <w:spacing w:before="40" w:after="40" w:line="260" w:lineRule="auto"/>
              <w:jc w:val="both"/>
            </w:pPr>
            <w:r>
              <w:rPr>
                <w:rFonts w:ascii="Times New Roman" w:hAnsi="Times New Roman" w:cs="B Lotus"/>
                <w:szCs w:val="20"/>
                <w:rtl/>
              </w:rPr>
              <w:t xml:space="preserve">دو بند تکراری در بخش 2-5-1 و سه بند نامربوط و نامفهوم دربارهٔ «اظهارنامه‌های مالیاتی و ارزش‌گذاری» در بخش 2-4-7 که ارجاع‌های آن‌ها قابل ثبت در منابع نبود حذف شد.</w:t>
            </w:r>
          </w:p>
        </w:tc>
      </w:tr>
      <w:tr>
        <w:trPr>
          <w:cantSplit/>
        </w:trPr>
        <w:tc>
          <w:tcPr>
            <w:tcW w:w="800" w:type="dxa"/>
            <w:vAlign w:val="center"/>
          </w:tcPr>
          <w:p>
            <w:pPr>
              <w:bidi/>
              <w:spacing w:before="40" w:after="40" w:line="260" w:lineRule="auto"/>
              <w:jc w:val="center"/>
            </w:pPr>
            <w:r>
              <w:rPr>
                <w:rFonts w:ascii="Times New Roman" w:hAnsi="Times New Roman" w:cs="B Lotus"/>
                <w:szCs w:val="20"/>
                <w:rtl/>
              </w:rPr>
              <w:t xml:space="preserve">6</w:t>
            </w:r>
          </w:p>
        </w:tc>
        <w:tc>
          <w:tcPr>
            <w:tcW w:w="3000" w:type="dxa"/>
            <w:vAlign w:val="center"/>
          </w:tcPr>
          <w:p>
            <w:pPr>
              <w:bidi/>
              <w:spacing w:before="40" w:after="40" w:line="260" w:lineRule="auto"/>
              <w:jc w:val="both"/>
            </w:pPr>
            <w:r>
              <w:rPr>
                <w:rFonts w:ascii="Times New Roman" w:hAnsi="Times New Roman" w:cs="B Lotus"/>
                <w:szCs w:val="20"/>
                <w:rtl/>
              </w:rPr>
              <w:t xml:space="preserve">شماره‌گذاری</w:t>
            </w:r>
          </w:p>
        </w:tc>
        <w:tc>
          <w:tcPr>
            <w:tcW w:w="10100" w:type="dxa"/>
            <w:vAlign w:val="center"/>
          </w:tcPr>
          <w:p>
            <w:pPr>
              <w:bidi/>
              <w:spacing w:before="40" w:after="40" w:line="260" w:lineRule="auto"/>
              <w:jc w:val="both"/>
            </w:pPr>
            <w:r>
              <w:rPr>
                <w:rFonts w:ascii="Times New Roman" w:hAnsi="Times New Roman" w:cs="B Lotus"/>
                <w:szCs w:val="20"/>
                <w:rtl/>
              </w:rPr>
              <w:t xml:space="preserve">شماره شکل‌های فصل 2 از 1-</w:t>
            </w:r>
            <w:r>
              <w:rPr>
                <w:rFonts w:ascii="Times New Roman" w:hAnsi="Times New Roman" w:cs="B Lotus"/>
                <w:szCs w:val="20"/>
              </w:rPr>
              <w:t xml:space="preserve">x</w:t>
            </w:r>
            <w:r>
              <w:rPr>
                <w:rFonts w:ascii="Times New Roman" w:hAnsi="Times New Roman" w:cs="B Lotus"/>
                <w:szCs w:val="20"/>
                <w:rtl/>
              </w:rPr>
              <w:t xml:space="preserve"> به 2-</w:t>
            </w:r>
            <w:r>
              <w:rPr>
                <w:rFonts w:ascii="Times New Roman" w:hAnsi="Times New Roman" w:cs="B Lotus"/>
                <w:szCs w:val="20"/>
              </w:rPr>
              <w:t xml:space="preserve">x</w:t>
            </w:r>
            <w:r>
              <w:rPr>
                <w:rFonts w:ascii="Times New Roman" w:hAnsi="Times New Roman" w:cs="B Lotus"/>
                <w:szCs w:val="20"/>
                <w:rtl/>
              </w:rPr>
              <w:t xml:space="preserve"> اصلاح شد؛ عنوان «5-4 برآورد مدل‌ها» در فصل 4 به 4-4 تبدیل شد؛ اهداف فصل اول با پنج فرضیه همسان شد.</w:t>
            </w:r>
          </w:p>
        </w:tc>
      </w:tr>
      <w:tr>
        <w:trPr>
          <w:cantSplit/>
        </w:trPr>
        <w:tc>
          <w:tcPr>
            <w:tcW w:w="800" w:type="dxa"/>
            <w:vAlign w:val="center"/>
          </w:tcPr>
          <w:p>
            <w:pPr>
              <w:bidi/>
              <w:spacing w:before="40" w:after="40" w:line="260" w:lineRule="auto"/>
              <w:jc w:val="center"/>
            </w:pPr>
            <w:r>
              <w:rPr>
                <w:rFonts w:ascii="Times New Roman" w:hAnsi="Times New Roman" w:cs="B Lotus"/>
                <w:szCs w:val="20"/>
                <w:rtl/>
              </w:rPr>
              <w:t xml:space="preserve">7</w:t>
            </w:r>
          </w:p>
        </w:tc>
        <w:tc>
          <w:tcPr>
            <w:tcW w:w="3000" w:type="dxa"/>
            <w:vAlign w:val="center"/>
          </w:tcPr>
          <w:p>
            <w:pPr>
              <w:bidi/>
              <w:spacing w:before="40" w:after="40" w:line="260" w:lineRule="auto"/>
              <w:jc w:val="both"/>
            </w:pPr>
            <w:r>
              <w:rPr>
                <w:rFonts w:ascii="Times New Roman" w:hAnsi="Times New Roman" w:cs="B Lotus"/>
                <w:szCs w:val="20"/>
                <w:rtl/>
              </w:rPr>
              <w:t xml:space="preserve">یکسان‌سازی نام و سال ارجاعات</w:t>
            </w:r>
          </w:p>
        </w:tc>
        <w:tc>
          <w:tcPr>
            <w:tcW w:w="10100" w:type="dxa"/>
            <w:vAlign w:val="center"/>
          </w:tcPr>
          <w:p>
            <w:pPr>
              <w:bidi/>
              <w:spacing w:before="40" w:after="40" w:line="260" w:lineRule="auto"/>
              <w:jc w:val="both"/>
            </w:pPr>
            <w:r>
              <w:rPr>
                <w:rFonts w:ascii="Times New Roman" w:hAnsi="Times New Roman" w:cs="B Lotus"/>
                <w:szCs w:val="20"/>
                <w:rtl/>
              </w:rPr>
              <w:t xml:space="preserve">املای ارجاعات (مثلاً سیمون و فرانسی/فرانسیس، آنجلو/دی‌آنجلو، گال/گول/گل، نچل 2012←2013، لم 1998←والاس 1980، شیلدر 2011←</w:t>
            </w:r>
            <w:r>
              <w:rPr>
                <w:rFonts w:ascii="Times New Roman" w:hAnsi="Times New Roman" w:cs="B Lotus"/>
                <w:szCs w:val="20"/>
              </w:rPr>
              <w:t xml:space="preserve">IAASB 2011)</w:t>
            </w:r>
            <w:r>
              <w:rPr>
                <w:rFonts w:ascii="Times New Roman" w:hAnsi="Times New Roman" w:cs="B Lotus"/>
                <w:szCs w:val="20"/>
                <w:rtl/>
              </w:rPr>
              <w:t xml:space="preserve"> با فهرست منابع یکسان شد.</w:t>
            </w:r>
          </w:p>
        </w:tc>
      </w:tr>
      <w:tr>
        <w:trPr>
          <w:cantSplit/>
        </w:trPr>
        <w:tc>
          <w:tcPr>
            <w:tcW w:w="800" w:type="dxa"/>
            <w:vAlign w:val="center"/>
          </w:tcPr>
          <w:p>
            <w:pPr>
              <w:bidi/>
              <w:spacing w:before="40" w:after="40" w:line="260" w:lineRule="auto"/>
              <w:jc w:val="center"/>
            </w:pPr>
            <w:r>
              <w:rPr>
                <w:rFonts w:ascii="Times New Roman" w:hAnsi="Times New Roman" w:cs="B Lotus"/>
                <w:szCs w:val="20"/>
                <w:rtl/>
              </w:rPr>
              <w:t xml:space="preserve">8</w:t>
            </w:r>
          </w:p>
        </w:tc>
        <w:tc>
          <w:tcPr>
            <w:tcW w:w="3000" w:type="dxa"/>
            <w:vAlign w:val="center"/>
          </w:tcPr>
          <w:p>
            <w:pPr>
              <w:bidi/>
              <w:spacing w:before="40" w:after="40" w:line="260" w:lineRule="auto"/>
              <w:jc w:val="both"/>
            </w:pPr>
            <w:r>
              <w:rPr>
                <w:rFonts w:ascii="Times New Roman" w:hAnsi="Times New Roman" w:cs="B Lotus"/>
                <w:szCs w:val="20"/>
                <w:rtl/>
              </w:rPr>
              <w:t xml:space="preserve">پاورقی‌ها</w:t>
            </w:r>
          </w:p>
        </w:tc>
        <w:tc>
          <w:tcPr>
            <w:tcW w:w="10100" w:type="dxa"/>
            <w:vAlign w:val="center"/>
          </w:tcPr>
          <w:p>
            <w:pPr>
              <w:bidi/>
              <w:spacing w:before="40" w:after="40" w:line="260" w:lineRule="auto"/>
              <w:jc w:val="both"/>
            </w:pPr>
            <w:r>
              <w:rPr>
                <w:rFonts w:ascii="Times New Roman" w:hAnsi="Times New Roman" w:cs="B Lotus"/>
                <w:szCs w:val="20"/>
                <w:rtl/>
              </w:rPr>
              <w:t xml:space="preserve">پاورقی‌های رساله (نام لاتین نویسندگان و معادل لاتین اصطلاحات و نظریه‌ها، مثلاً </w:t>
            </w:r>
            <w:r>
              <w:rPr>
                <w:rFonts w:ascii="Times New Roman" w:hAnsi="Times New Roman" w:cs="B Lotus"/>
                <w:szCs w:val="20"/>
              </w:rPr>
              <w:t xml:space="preserve">DeAngelo</w:t>
            </w:r>
            <w:r>
              <w:rPr>
                <w:rFonts w:ascii="Times New Roman" w:hAnsi="Times New Roman" w:cs="B Lotus"/>
                <w:szCs w:val="20"/>
                <w:rtl/>
              </w:rPr>
              <w:t xml:space="preserve">، </w:t>
            </w:r>
            <w:r>
              <w:rPr>
                <w:rFonts w:ascii="Times New Roman" w:hAnsi="Times New Roman" w:cs="B Lotus"/>
                <w:szCs w:val="20"/>
              </w:rPr>
              <w:t xml:space="preserve">Cho et al</w:t>
            </w:r>
            <w:r>
              <w:rPr>
                <w:rFonts w:ascii="Times New Roman" w:hAnsi="Times New Roman" w:cs="B Lotus"/>
                <w:szCs w:val="20"/>
                <w:rtl/>
              </w:rPr>
              <w:t xml:space="preserve">.، </w:t>
            </w:r>
            <w:r>
              <w:rPr>
                <w:rFonts w:ascii="Times New Roman" w:hAnsi="Times New Roman" w:cs="B Lotus"/>
                <w:szCs w:val="20"/>
              </w:rPr>
              <w:t xml:space="preserve">Low-balling</w:t>
            </w:r>
            <w:r>
              <w:rPr>
                <w:rFonts w:ascii="Times New Roman" w:hAnsi="Times New Roman" w:cs="B Lotus"/>
                <w:szCs w:val="20"/>
                <w:rtl/>
              </w:rPr>
              <w:t xml:space="preserve">، </w:t>
            </w:r>
            <w:r>
              <w:rPr>
                <w:rFonts w:ascii="Times New Roman" w:hAnsi="Times New Roman" w:cs="B Lotus"/>
                <w:szCs w:val="20"/>
              </w:rPr>
              <w:t xml:space="preserve">Cross-subsidization</w:t>
            </w:r>
            <w:r>
              <w:rPr>
                <w:rFonts w:ascii="Times New Roman" w:hAnsi="Times New Roman" w:cs="B Lotus"/>
                <w:szCs w:val="20"/>
                <w:rtl/>
              </w:rPr>
              <w:t xml:space="preserve">، </w:t>
            </w:r>
            <w:r>
              <w:rPr>
                <w:rFonts w:ascii="Times New Roman" w:hAnsi="Times New Roman" w:cs="B Lotus"/>
                <w:szCs w:val="20"/>
              </w:rPr>
              <w:t xml:space="preserve">Fixed effects)</w:t>
            </w:r>
            <w:r>
              <w:rPr>
                <w:rFonts w:ascii="Times New Roman" w:hAnsi="Times New Roman" w:cs="B Lotus"/>
                <w:szCs w:val="20"/>
                <w:rtl/>
              </w:rPr>
              <w:t xml:space="preserve"> در فصل‌های 1 تا 5 بازگردانده و گسترش داده شد (حدود 240 پاورقی؛ هر نویسنده یا اصطلاح در هر فصل برای نخستین بار).</w:t>
            </w:r>
          </w:p>
        </w:tc>
      </w:tr>
      <w:tr>
        <w:trPr>
          <w:cantSplit/>
        </w:trPr>
        <w:tc>
          <w:tcPr>
            <w:tcW w:w="800" w:type="dxa"/>
            <w:vAlign w:val="center"/>
          </w:tcPr>
          <w:p>
            <w:pPr>
              <w:bidi/>
              <w:spacing w:before="40" w:after="40" w:line="260" w:lineRule="auto"/>
              <w:jc w:val="center"/>
            </w:pPr>
            <w:r>
              <w:rPr>
                <w:rFonts w:ascii="Times New Roman" w:hAnsi="Times New Roman" w:cs="B Lotus"/>
                <w:szCs w:val="20"/>
                <w:rtl/>
              </w:rPr>
              <w:t xml:space="preserve">9</w:t>
            </w:r>
          </w:p>
        </w:tc>
        <w:tc>
          <w:tcPr>
            <w:tcW w:w="3000" w:type="dxa"/>
            <w:vAlign w:val="center"/>
          </w:tcPr>
          <w:p>
            <w:pPr>
              <w:bidi/>
              <w:spacing w:before="40" w:after="40" w:line="260" w:lineRule="auto"/>
              <w:jc w:val="both"/>
            </w:pPr>
            <w:r>
              <w:rPr>
                <w:rFonts w:ascii="Times New Roman" w:hAnsi="Times New Roman" w:cs="B Lotus"/>
                <w:szCs w:val="20"/>
                <w:rtl/>
              </w:rPr>
              <w:t xml:space="preserve">بند نوآوری فصل 1 (1-6)</w:t>
            </w:r>
          </w:p>
        </w:tc>
        <w:tc>
          <w:tcPr>
            <w:tcW w:w="10100" w:type="dxa"/>
            <w:vAlign w:val="center"/>
          </w:tcPr>
          <w:p>
            <w:pPr>
              <w:bidi/>
              <w:spacing w:before="40" w:after="40" w:line="260" w:lineRule="auto"/>
              <w:jc w:val="both"/>
            </w:pPr>
            <w:r>
              <w:rPr>
                <w:rFonts w:ascii="Times New Roman" w:hAnsi="Times New Roman" w:cs="B Lotus"/>
                <w:szCs w:val="20"/>
                <w:rtl/>
              </w:rPr>
              <w:t xml:space="preserve">عبارت «روش داده‌بنیاد و بخش کیفی» و «تجربیات و قضاوت حرفه‌ای حسابرسان» از بند 1-6 و عبارت «رویکرد داده‌بنیاد» از بیان مسئله حذف و بند با نوع پژوهش کمّی فصل 3 هماهنگ شد.</w:t>
            </w:r>
          </w:p>
        </w:tc>
      </w:tr>
      <w:tr>
        <w:trPr>
          <w:cantSplit/>
        </w:trPr>
        <w:tc>
          <w:tcPr>
            <w:tcW w:w="800" w:type="dxa"/>
            <w:vAlign w:val="center"/>
          </w:tcPr>
          <w:p>
            <w:pPr>
              <w:bidi/>
              <w:spacing w:before="40" w:after="40" w:line="260" w:lineRule="auto"/>
              <w:jc w:val="center"/>
            </w:pPr>
            <w:r>
              <w:rPr>
                <w:rFonts w:ascii="Times New Roman" w:hAnsi="Times New Roman" w:cs="B Lotus"/>
                <w:szCs w:val="20"/>
                <w:rtl/>
              </w:rPr>
              <w:t xml:space="preserve">10</w:t>
            </w:r>
          </w:p>
        </w:tc>
        <w:tc>
          <w:tcPr>
            <w:tcW w:w="3000" w:type="dxa"/>
            <w:vAlign w:val="center"/>
          </w:tcPr>
          <w:p>
            <w:pPr>
              <w:bidi/>
              <w:spacing w:before="40" w:after="40" w:line="260" w:lineRule="auto"/>
              <w:jc w:val="both"/>
            </w:pPr>
            <w:r>
              <w:rPr>
                <w:rFonts w:ascii="Times New Roman" w:hAnsi="Times New Roman" w:cs="B Lotus"/>
                <w:szCs w:val="20"/>
                <w:rtl/>
              </w:rPr>
              <w:t xml:space="preserve">مقادیر احتمال (</w:t>
            </w:r>
            <w:r>
              <w:rPr>
                <w:rFonts w:ascii="Times New Roman" w:hAnsi="Times New Roman" w:cs="B Lotus"/>
                <w:szCs w:val="20"/>
              </w:rPr>
              <w:t xml:space="preserve">p-value)</w:t>
            </w:r>
            <w:r>
              <w:rPr>
                <w:rFonts w:ascii="Times New Roman" w:hAnsi="Times New Roman" w:cs="B Lotus"/>
                <w:szCs w:val="20"/>
                <w:rtl/>
              </w:rPr>
              <w:t xml:space="preserve"> و پیوست</w:t>
            </w:r>
          </w:p>
        </w:tc>
        <w:tc>
          <w:tcPr>
            <w:tcW w:w="10100" w:type="dxa"/>
            <w:vAlign w:val="center"/>
          </w:tcPr>
          <w:p>
            <w:pPr>
              <w:bidi/>
              <w:spacing w:before="40" w:after="40" w:line="260" w:lineRule="auto"/>
              <w:jc w:val="both"/>
            </w:pPr>
            <w:r>
              <w:rPr>
                <w:rFonts w:ascii="Times New Roman" w:hAnsi="Times New Roman" w:cs="B Lotus"/>
                <w:szCs w:val="20"/>
                <w:rtl/>
              </w:rPr>
              <w:t xml:space="preserve">ضرایب، خطای استاندارد و آمارهٔ </w:t>
            </w:r>
            <w:r>
              <w:rPr>
                <w:rFonts w:ascii="Times New Roman" w:hAnsi="Times New Roman" w:cs="B Lotus"/>
                <w:szCs w:val="20"/>
              </w:rPr>
              <w:t xml:space="preserve">t</w:t>
            </w:r>
            <w:r>
              <w:rPr>
                <w:rFonts w:ascii="Times New Roman" w:hAnsi="Times New Roman" w:cs="B Lotus"/>
                <w:szCs w:val="20"/>
                <w:rtl/>
              </w:rPr>
              <w:t xml:space="preserve"> جدول‌های 4-10 تا 4-14 با خروجی ایویوز پیوست یک‌به‌یک مطابقت داده شد و همه برابرند. اما چهار مقدار احتمال در متن و پیوست (</w:t>
            </w:r>
            <w:r>
              <w:rPr>
                <w:rFonts w:ascii="Times New Roman" w:hAnsi="Times New Roman" w:cs="B Lotus"/>
                <w:szCs w:val="20"/>
              </w:rPr>
              <w:t xml:space="preserve">NASR: 0.2374</w:t>
            </w:r>
            <w:r>
              <w:rPr>
                <w:rFonts w:ascii="Times New Roman" w:hAnsi="Times New Roman" w:cs="B Lotus"/>
                <w:szCs w:val="20"/>
                <w:rtl/>
              </w:rPr>
              <w:t xml:space="preserve">؛ </w:t>
            </w:r>
            <w:r>
              <w:rPr>
                <w:rFonts w:ascii="Times New Roman" w:hAnsi="Times New Roman" w:cs="B Lotus"/>
                <w:szCs w:val="20"/>
              </w:rPr>
              <w:t xml:space="preserve">COMPLEX: 0.0213</w:t>
            </w:r>
            <w:r>
              <w:rPr>
                <w:rFonts w:ascii="Times New Roman" w:hAnsi="Times New Roman" w:cs="B Lotus"/>
                <w:szCs w:val="20"/>
                <w:rtl/>
              </w:rPr>
              <w:t xml:space="preserve">؛ </w:t>
            </w:r>
            <w:r>
              <w:rPr>
                <w:rFonts w:ascii="Times New Roman" w:hAnsi="Times New Roman" w:cs="B Lotus"/>
                <w:szCs w:val="20"/>
              </w:rPr>
              <w:t xml:space="preserve">COMPLEX×BIG4: 0.0106</w:t>
            </w:r>
            <w:r>
              <w:rPr>
                <w:rFonts w:ascii="Times New Roman" w:hAnsi="Times New Roman" w:cs="B Lotus"/>
                <w:szCs w:val="20"/>
                <w:rtl/>
              </w:rPr>
              <w:t xml:space="preserve">؛ </w:t>
            </w:r>
            <w:r>
              <w:rPr>
                <w:rFonts w:ascii="Times New Roman" w:hAnsi="Times New Roman" w:cs="B Lotus"/>
                <w:szCs w:val="20"/>
              </w:rPr>
              <w:t xml:space="preserve">COSTP: 0.2540)</w:t>
            </w:r>
            <w:r>
              <w:rPr>
                <w:rFonts w:ascii="Times New Roman" w:hAnsi="Times New Roman" w:cs="B Lotus"/>
                <w:szCs w:val="20"/>
                <w:rtl/>
              </w:rPr>
              <w:t xml:space="preserve"> با آمارهٔ </w:t>
            </w:r>
            <w:r>
              <w:rPr>
                <w:rFonts w:ascii="Times New Roman" w:hAnsi="Times New Roman" w:cs="B Lotus"/>
                <w:szCs w:val="20"/>
              </w:rPr>
              <w:t xml:space="preserve">t</w:t>
            </w:r>
            <w:r>
              <w:rPr>
                <w:rFonts w:ascii="Times New Roman" w:hAnsi="Times New Roman" w:cs="B Lotus"/>
                <w:szCs w:val="20"/>
                <w:rtl/>
              </w:rPr>
              <w:t xml:space="preserve"> و درجهٔ آزادی خودشان سازگار نبود (سایر </w:t>
            </w:r>
            <w:r>
              <w:rPr>
                <w:rFonts w:ascii="Times New Roman" w:hAnsi="Times New Roman" w:cs="B Lotus"/>
                <w:szCs w:val="20"/>
              </w:rPr>
              <w:t xml:space="preserve">p-value</w:t>
            </w:r>
            <w:r>
              <w:rPr>
                <w:rFonts w:ascii="Times New Roman" w:hAnsi="Times New Roman" w:cs="B Lotus"/>
                <w:szCs w:val="20"/>
                <w:rtl/>
              </w:rPr>
              <w:t xml:space="preserve">ها دقیقاً با </w:t>
            </w:r>
            <w:r>
              <w:rPr>
                <w:rFonts w:ascii="Times New Roman" w:hAnsi="Times New Roman" w:cs="B Lotus"/>
                <w:szCs w:val="20"/>
              </w:rPr>
              <w:t xml:space="preserve">t</w:t>
            </w:r>
            <w:r>
              <w:rPr>
                <w:rFonts w:ascii="Times New Roman" w:hAnsi="Times New Roman" w:cs="B Lotus"/>
                <w:szCs w:val="20"/>
                <w:rtl/>
              </w:rPr>
              <w:t xml:space="preserve"> سازگارند). این چهار مقدار بازمحاسبه و در متن و پیوست اصلاح شد: 0.1151، 0.0108، 0.0071 و 0.4108. نتیجهٔ هیچ فرضیه‌ای تغییر نکرد.</w:t>
            </w:r>
          </w:p>
        </w:tc>
      </w:tr>
      <w:tr>
        <w:trPr>
          <w:cantSplit/>
        </w:trPr>
        <w:tc>
          <w:tcPr>
            <w:tcW w:w="800" w:type="dxa"/>
            <w:vAlign w:val="center"/>
          </w:tcPr>
          <w:p>
            <w:pPr>
              <w:bidi/>
              <w:spacing w:before="40" w:after="40" w:line="260" w:lineRule="auto"/>
              <w:jc w:val="center"/>
            </w:pPr>
            <w:r>
              <w:rPr>
                <w:rFonts w:ascii="Times New Roman" w:hAnsi="Times New Roman" w:cs="B Lotus"/>
                <w:szCs w:val="20"/>
                <w:rtl/>
              </w:rPr>
              <w:t xml:space="preserve">11</w:t>
            </w:r>
          </w:p>
        </w:tc>
        <w:tc>
          <w:tcPr>
            <w:tcW w:w="3000" w:type="dxa"/>
            <w:vAlign w:val="center"/>
          </w:tcPr>
          <w:p>
            <w:pPr>
              <w:bidi/>
              <w:spacing w:before="40" w:after="40" w:line="260" w:lineRule="auto"/>
              <w:jc w:val="both"/>
            </w:pPr>
            <w:r>
              <w:rPr>
                <w:rFonts w:ascii="Times New Roman" w:hAnsi="Times New Roman" w:cs="B Lotus"/>
                <w:szCs w:val="20"/>
                <w:rtl/>
              </w:rPr>
              <w:t xml:space="preserve">برچسب متغیرها</w:t>
            </w:r>
          </w:p>
        </w:tc>
        <w:tc>
          <w:tcPr>
            <w:tcW w:w="10100" w:type="dxa"/>
            <w:vAlign w:val="center"/>
          </w:tcPr>
          <w:p>
            <w:pPr>
              <w:bidi/>
              <w:spacing w:before="40" w:after="40" w:line="260" w:lineRule="auto"/>
              <w:jc w:val="both"/>
            </w:pPr>
            <w:r>
              <w:rPr>
                <w:rFonts w:ascii="Times New Roman" w:hAnsi="Times New Roman" w:cs="B Lotus"/>
                <w:szCs w:val="20"/>
                <w:rtl/>
              </w:rPr>
              <w:t xml:space="preserve">در جدول‌های 4-1 تا 4-6 «پیچیدگی شرکت» به «اهمیت مشتری» و «تغییر حسابرس» به «سال اول رابطه (تغییر حسابرس)» تغییر کرد تا با متن فصل‌های 3 و 4 هم‌خوان باشد.</w:t>
            </w:r>
          </w:p>
        </w:tc>
      </w:tr>
    </w:tbl>
    <w:p>
      <w:pPr>
        <w:bidi/>
        <w:spacing w:before="0" w:after="0" w:line="360" w:lineRule="auto"/>
        <w:jc w:val="both"/>
      </w:pPr>
    </w:p>
    <w:p>
      <w:pPr>
        <w:bidi/>
        <w:spacing w:before="120" w:after="120" w:line="276" w:lineRule="auto"/>
        <w:jc w:val="center"/>
      </w:pPr>
      <w:r>
        <w:rPr>
          <w:rFonts w:ascii="Times New Roman" w:hAnsi="Times New Roman" w:cs="B Lotus"/>
          <w:b/>
          <w:bCs/>
          <w:szCs w:val="28"/>
          <w:rtl/>
        </w:rPr>
        <w:t xml:space="preserve">جدول 3: نکات نیازمند بررسی و تأیید دانشجو (پیش از ارائه)</w:t>
      </w:r>
    </w:p>
    <w:tbl>
      <w:tblPr>
        <w:bidiVisual/>
        <w:tblW w:w="139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60" w:type="dxa"/>
          <w:right w:w="60" w:type="dxa"/>
        </w:tblCellMar>
      </w:tblPr>
      <w:tblGrid>
        <w:gridCol w:w="800"/>
        <w:gridCol w:w="3000"/>
        <w:gridCol w:w="10100"/>
      </w:tblGrid>
      <w:tr>
        <w:trPr>
          <w:cantSplit/>
          <w:tblHeader/>
        </w:trPr>
        <w:tc>
          <w:tcPr>
            <w:tcW w:w="800" w:type="dxa"/>
            <w:shd w:val="clear" w:color="auto" w:fill="D9D9D9"/>
            <w:vAlign w:val="center"/>
          </w:tcPr>
          <w:p>
            <w:pPr>
              <w:bidi/>
              <w:spacing w:before="40" w:after="40" w:line="260" w:lineRule="auto"/>
              <w:jc w:val="center"/>
            </w:pPr>
            <w:r>
              <w:rPr>
                <w:rFonts w:ascii="Times New Roman" w:hAnsi="Times New Roman" w:cs="B Lotus"/>
                <w:b/>
                <w:bCs/>
                <w:szCs w:val="20"/>
                <w:rtl/>
              </w:rPr>
              <w:t xml:space="preserve">ردیف</w:t>
            </w:r>
          </w:p>
        </w:tc>
        <w:tc>
          <w:tcPr>
            <w:tcW w:w="3000" w:type="dxa"/>
            <w:shd w:val="clear" w:color="auto" w:fill="D9D9D9"/>
            <w:vAlign w:val="center"/>
          </w:tcPr>
          <w:p>
            <w:pPr>
              <w:bidi/>
              <w:spacing w:before="40" w:after="40" w:line="260" w:lineRule="auto"/>
              <w:jc w:val="both"/>
            </w:pPr>
            <w:r>
              <w:rPr>
                <w:rFonts w:ascii="Times New Roman" w:hAnsi="Times New Roman" w:cs="B Lotus"/>
                <w:b/>
                <w:bCs/>
                <w:szCs w:val="20"/>
                <w:rtl/>
              </w:rPr>
              <w:t xml:space="preserve">موضوع</w:t>
            </w:r>
          </w:p>
        </w:tc>
        <w:tc>
          <w:tcPr>
            <w:tcW w:w="10100" w:type="dxa"/>
            <w:shd w:val="clear" w:color="auto" w:fill="D9D9D9"/>
            <w:vAlign w:val="center"/>
          </w:tcPr>
          <w:p>
            <w:pPr>
              <w:bidi/>
              <w:spacing w:before="40" w:after="40" w:line="260" w:lineRule="auto"/>
              <w:jc w:val="both"/>
            </w:pPr>
            <w:r>
              <w:rPr>
                <w:rFonts w:ascii="Times New Roman" w:hAnsi="Times New Roman" w:cs="B Lotus"/>
                <w:b/>
                <w:bCs/>
                <w:szCs w:val="20"/>
                <w:rtl/>
              </w:rPr>
              <w:t xml:space="preserve">توضیح و اقدام پیشنهادی</w:t>
            </w:r>
          </w:p>
        </w:tc>
      </w:tr>
      <w:tr>
        <w:trPr>
          <w:cantSplit/>
        </w:trPr>
        <w:tc>
          <w:tcPr>
            <w:tcW w:w="800" w:type="dxa"/>
            <w:vAlign w:val="center"/>
          </w:tcPr>
          <w:p>
            <w:pPr>
              <w:bidi/>
              <w:spacing w:before="40" w:after="40" w:line="260" w:lineRule="auto"/>
              <w:jc w:val="center"/>
            </w:pPr>
            <w:r>
              <w:rPr>
                <w:rFonts w:ascii="Times New Roman" w:hAnsi="Times New Roman" w:cs="B Lotus"/>
                <w:szCs w:val="20"/>
                <w:rtl/>
              </w:rPr>
              <w:t xml:space="preserve">1</w:t>
            </w:r>
          </w:p>
        </w:tc>
        <w:tc>
          <w:tcPr>
            <w:tcW w:w="3000" w:type="dxa"/>
            <w:vAlign w:val="center"/>
          </w:tcPr>
          <w:p>
            <w:pPr>
              <w:bidi/>
              <w:spacing w:before="40" w:after="40" w:line="260" w:lineRule="auto"/>
              <w:jc w:val="both"/>
            </w:pPr>
            <w:r>
              <w:rPr>
                <w:rFonts w:ascii="Times New Roman" w:hAnsi="Times New Roman" w:cs="B Lotus"/>
                <w:szCs w:val="20"/>
                <w:rtl/>
              </w:rPr>
              <w:t xml:space="preserve">مدل‌های 3، 4 و 5 در خروجی ایویوز</w:t>
            </w:r>
          </w:p>
        </w:tc>
        <w:tc>
          <w:tcPr>
            <w:tcW w:w="10100" w:type="dxa"/>
            <w:vAlign w:val="center"/>
          </w:tcPr>
          <w:p>
            <w:pPr>
              <w:bidi/>
              <w:spacing w:before="40" w:after="40" w:line="260" w:lineRule="auto"/>
              <w:jc w:val="both"/>
            </w:pPr>
            <w:r>
              <w:rPr>
                <w:rFonts w:ascii="Times New Roman" w:hAnsi="Times New Roman" w:cs="B Lotus"/>
                <w:szCs w:val="20"/>
                <w:rtl/>
              </w:rPr>
              <w:t xml:space="preserve">در خروجی ایویوز (پیوست) مدل 3 با متغیر وابسته </w:t>
            </w:r>
            <w:r>
              <w:rPr>
                <w:rFonts w:ascii="Times New Roman" w:hAnsi="Times New Roman" w:cs="B Lotus"/>
                <w:szCs w:val="20"/>
              </w:rPr>
              <w:t xml:space="preserve">DAF</w:t>
            </w:r>
            <w:r>
              <w:rPr>
                <w:rFonts w:ascii="Times New Roman" w:hAnsi="Times New Roman" w:cs="B Lotus"/>
                <w:szCs w:val="20"/>
                <w:rtl/>
              </w:rPr>
              <w:t xml:space="preserve"> روی </w:t>
            </w:r>
            <w:r>
              <w:rPr>
                <w:rFonts w:ascii="Times New Roman" w:hAnsi="Times New Roman" w:cs="B Lotus"/>
                <w:szCs w:val="20"/>
              </w:rPr>
              <w:t xml:space="preserve">AF</w:t>
            </w:r>
            <w:r>
              <w:rPr>
                <w:rFonts w:ascii="Times New Roman" w:hAnsi="Times New Roman" w:cs="B Lotus"/>
                <w:szCs w:val="20"/>
                <w:rtl/>
              </w:rPr>
              <w:t xml:space="preserve"> همزمان (نمونهٔ تعدیل‌شده 1397-1402)، مدل 4 با متغیر وابسته </w:t>
            </w:r>
            <w:r>
              <w:rPr>
                <w:rFonts w:ascii="Times New Roman" w:hAnsi="Times New Roman" w:cs="B Lotus"/>
                <w:szCs w:val="20"/>
              </w:rPr>
              <w:t xml:space="preserve">NASR</w:t>
            </w:r>
            <w:r>
              <w:rPr>
                <w:rFonts w:ascii="Times New Roman" w:hAnsi="Times New Roman" w:cs="B Lotus"/>
                <w:szCs w:val="20"/>
                <w:rtl/>
              </w:rPr>
              <w:t xml:space="preserve"> (سطح) و مدل 5 با متغیر وابسته </w:t>
            </w:r>
            <w:r>
              <w:rPr>
                <w:rFonts w:ascii="Times New Roman" w:hAnsi="Times New Roman" w:cs="B Lotus"/>
                <w:szCs w:val="20"/>
              </w:rPr>
              <w:t xml:space="preserve">AF</w:t>
            </w:r>
            <w:r>
              <w:rPr>
                <w:rFonts w:ascii="Times New Roman" w:hAnsi="Times New Roman" w:cs="B Lotus"/>
                <w:szCs w:val="20"/>
                <w:rtl/>
              </w:rPr>
              <w:t xml:space="preserve"> (نه </w:t>
            </w:r>
            <w:r>
              <w:rPr>
                <w:rFonts w:ascii="Times New Roman" w:hAnsi="Times New Roman" w:cs="B Lotus"/>
                <w:szCs w:val="20"/>
              </w:rPr>
              <w:t xml:space="preserve">AFQ)</w:t>
            </w:r>
            <w:r>
              <w:rPr>
                <w:rFonts w:ascii="Times New Roman" w:hAnsi="Times New Roman" w:cs="B Lotus"/>
                <w:szCs w:val="20"/>
                <w:rtl/>
              </w:rPr>
              <w:t xml:space="preserve"> و متغیرهای </w:t>
            </w:r>
            <w:r>
              <w:rPr>
                <w:rFonts w:ascii="Times New Roman" w:hAnsi="Times New Roman" w:cs="B Lotus"/>
                <w:szCs w:val="20"/>
              </w:rPr>
              <w:t xml:space="preserve">COSTP</w:t>
            </w:r>
            <w:r>
              <w:rPr>
                <w:rFonts w:ascii="Times New Roman" w:hAnsi="Times New Roman" w:cs="B Lotus"/>
                <w:szCs w:val="20"/>
                <w:rtl/>
              </w:rPr>
              <w:t xml:space="preserve">، </w:t>
            </w:r>
            <w:r>
              <w:rPr>
                <w:rFonts w:ascii="Times New Roman" w:hAnsi="Times New Roman" w:cs="B Lotus"/>
                <w:szCs w:val="20"/>
              </w:rPr>
              <w:t xml:space="preserve">SIZE</w:t>
            </w:r>
            <w:r>
              <w:rPr>
                <w:rFonts w:ascii="Times New Roman" w:hAnsi="Times New Roman" w:cs="B Lotus"/>
                <w:szCs w:val="20"/>
                <w:rtl/>
              </w:rPr>
              <w:t xml:space="preserve">، </w:t>
            </w:r>
            <w:r>
              <w:rPr>
                <w:rFonts w:ascii="Times New Roman" w:hAnsi="Times New Roman" w:cs="B Lotus"/>
                <w:szCs w:val="20"/>
              </w:rPr>
              <w:t xml:space="preserve">BIG4</w:t>
            </w:r>
            <w:r>
              <w:rPr>
                <w:rFonts w:ascii="Times New Roman" w:hAnsi="Times New Roman" w:cs="B Lotus"/>
                <w:szCs w:val="20"/>
                <w:rtl/>
              </w:rPr>
              <w:t xml:space="preserve"> و </w:t>
            </w:r>
            <w:r>
              <w:rPr>
                <w:rFonts w:ascii="Times New Roman" w:hAnsi="Times New Roman" w:cs="B Lotus"/>
                <w:szCs w:val="20"/>
              </w:rPr>
              <w:t xml:space="preserve">TENURE</w:t>
            </w:r>
            <w:r>
              <w:rPr>
                <w:rFonts w:ascii="Times New Roman" w:hAnsi="Times New Roman" w:cs="B Lotus"/>
                <w:szCs w:val="20"/>
                <w:rtl/>
              </w:rPr>
              <w:t xml:space="preserve"> برآورد شده است. در متن مدل‌های فصل 3 مطابق فرضیه‌ها (به‌ویژه مدل 5 با </w:t>
            </w:r>
            <w:r>
              <w:rPr>
                <w:rFonts w:ascii="Times New Roman" w:hAnsi="Times New Roman" w:cs="B Lotus"/>
                <w:szCs w:val="20"/>
              </w:rPr>
              <w:t xml:space="preserve">AFQ)</w:t>
            </w:r>
            <w:r>
              <w:rPr>
                <w:rFonts w:ascii="Times New Roman" w:hAnsi="Times New Roman" w:cs="B Lotus"/>
                <w:szCs w:val="20"/>
                <w:rtl/>
              </w:rPr>
              <w:t xml:space="preserve"> نوشته شد. برای انطباق کامل لازم است دانشجو مدل 5 را با </w:t>
            </w:r>
            <w:r>
              <w:rPr>
                <w:rFonts w:ascii="Times New Roman" w:hAnsi="Times New Roman" w:cs="B Lotus"/>
                <w:szCs w:val="20"/>
              </w:rPr>
              <w:t xml:space="preserve">AFQ</w:t>
            </w:r>
            <w:r>
              <w:rPr>
                <w:rFonts w:ascii="Times New Roman" w:hAnsi="Times New Roman" w:cs="B Lotus"/>
                <w:szCs w:val="20"/>
                <w:rtl/>
              </w:rPr>
              <w:t xml:space="preserve"> بازبرآورد کند و جدول 4-14 و متن فرضیهٔ پنجم را با خروجی جدید جایگزین نماید؛ تا آن زمان جدول 4-14 همان خروجی موجود است.</w:t>
            </w:r>
          </w:p>
        </w:tc>
      </w:tr>
      <w:tr>
        <w:trPr>
          <w:cantSplit/>
        </w:trPr>
        <w:tc>
          <w:tcPr>
            <w:tcW w:w="800" w:type="dxa"/>
            <w:vAlign w:val="center"/>
          </w:tcPr>
          <w:p>
            <w:pPr>
              <w:bidi/>
              <w:spacing w:before="40" w:after="40" w:line="260" w:lineRule="auto"/>
              <w:jc w:val="center"/>
            </w:pPr>
            <w:r>
              <w:rPr>
                <w:rFonts w:ascii="Times New Roman" w:hAnsi="Times New Roman" w:cs="B Lotus"/>
                <w:szCs w:val="20"/>
                <w:rtl/>
              </w:rPr>
              <w:t xml:space="preserve">2</w:t>
            </w:r>
          </w:p>
        </w:tc>
        <w:tc>
          <w:tcPr>
            <w:tcW w:w="3000" w:type="dxa"/>
            <w:vAlign w:val="center"/>
          </w:tcPr>
          <w:p>
            <w:pPr>
              <w:bidi/>
              <w:spacing w:before="40" w:after="40" w:line="260" w:lineRule="auto"/>
              <w:jc w:val="both"/>
            </w:pPr>
            <w:r>
              <w:rPr>
                <w:rFonts w:ascii="Times New Roman" w:hAnsi="Times New Roman" w:cs="B Lotus"/>
                <w:szCs w:val="20"/>
                <w:rtl/>
              </w:rPr>
              <w:t xml:space="preserve">تعریف </w:t>
            </w:r>
            <w:r>
              <w:rPr>
                <w:rFonts w:ascii="Times New Roman" w:hAnsi="Times New Roman" w:cs="B Lotus"/>
                <w:szCs w:val="20"/>
              </w:rPr>
              <w:t xml:space="preserve">COMPLEX</w:t>
            </w:r>
            <w:r>
              <w:rPr>
                <w:rFonts w:ascii="Times New Roman" w:hAnsi="Times New Roman" w:cs="B Lotus"/>
                <w:szCs w:val="20"/>
                <w:rtl/>
              </w:rPr>
              <w:t xml:space="preserve"> و مدل هزینهٔ سال اول</w:t>
            </w:r>
          </w:p>
        </w:tc>
        <w:tc>
          <w:tcPr>
            <w:tcW w:w="10100" w:type="dxa"/>
            <w:vAlign w:val="center"/>
          </w:tcPr>
          <w:p>
            <w:pPr>
              <w:bidi/>
              <w:spacing w:before="40" w:after="40" w:line="260" w:lineRule="auto"/>
              <w:jc w:val="both"/>
            </w:pPr>
            <w:r>
              <w:rPr>
                <w:rFonts w:ascii="Times New Roman" w:hAnsi="Times New Roman" w:cs="B Lotus"/>
                <w:szCs w:val="20"/>
                <w:rtl/>
              </w:rPr>
              <w:t xml:space="preserve">بدون فایل داده، فقط سازگاری با پیوست سنجیده شد: همهٔ متغیرهای مدل 3-1 (</w:t>
            </w:r>
            <w:r>
              <w:rPr>
                <w:rFonts w:ascii="Times New Roman" w:hAnsi="Times New Roman" w:cs="B Lotus"/>
                <w:szCs w:val="20"/>
              </w:rPr>
              <w:t xml:space="preserve">SIZE</w:t>
            </w:r>
            <w:r>
              <w:rPr>
                <w:rFonts w:ascii="Times New Roman" w:hAnsi="Times New Roman" w:cs="B Lotus"/>
                <w:szCs w:val="20"/>
                <w:rtl/>
              </w:rPr>
              <w:t xml:space="preserve">، </w:t>
            </w:r>
            <w:r>
              <w:rPr>
                <w:rFonts w:ascii="Times New Roman" w:hAnsi="Times New Roman" w:cs="B Lotus"/>
                <w:szCs w:val="20"/>
              </w:rPr>
              <w:t xml:space="preserve">LEV</w:t>
            </w:r>
            <w:r>
              <w:rPr>
                <w:rFonts w:ascii="Times New Roman" w:hAnsi="Times New Roman" w:cs="B Lotus"/>
                <w:szCs w:val="20"/>
                <w:rtl/>
              </w:rPr>
              <w:t xml:space="preserve">، </w:t>
            </w:r>
            <w:r>
              <w:rPr>
                <w:rFonts w:ascii="Times New Roman" w:hAnsi="Times New Roman" w:cs="B Lotus"/>
                <w:szCs w:val="20"/>
              </w:rPr>
              <w:t xml:space="preserve">ROA</w:t>
            </w:r>
            <w:r>
              <w:rPr>
                <w:rFonts w:ascii="Times New Roman" w:hAnsi="Times New Roman" w:cs="B Lotus"/>
                <w:szCs w:val="20"/>
                <w:rtl/>
              </w:rPr>
              <w:t xml:space="preserve">، </w:t>
            </w:r>
            <w:r>
              <w:rPr>
                <w:rFonts w:ascii="Times New Roman" w:hAnsi="Times New Roman" w:cs="B Lotus"/>
                <w:szCs w:val="20"/>
              </w:rPr>
              <w:t xml:space="preserve">GROWTH</w:t>
            </w:r>
            <w:r>
              <w:rPr>
                <w:rFonts w:ascii="Times New Roman" w:hAnsi="Times New Roman" w:cs="B Lotus"/>
                <w:szCs w:val="20"/>
                <w:rtl/>
              </w:rPr>
              <w:t xml:space="preserve">، </w:t>
            </w:r>
            <w:r>
              <w:rPr>
                <w:rFonts w:ascii="Times New Roman" w:hAnsi="Times New Roman" w:cs="B Lotus"/>
                <w:szCs w:val="20"/>
              </w:rPr>
              <w:t xml:space="preserve">RISK</w:t>
            </w:r>
            <w:r>
              <w:rPr>
                <w:rFonts w:ascii="Times New Roman" w:hAnsi="Times New Roman" w:cs="B Lotus"/>
                <w:szCs w:val="20"/>
                <w:rtl/>
              </w:rPr>
              <w:t xml:space="preserve">، </w:t>
            </w:r>
            <w:r>
              <w:rPr>
                <w:rFonts w:ascii="Times New Roman" w:hAnsi="Times New Roman" w:cs="B Lotus"/>
                <w:szCs w:val="20"/>
              </w:rPr>
              <w:t xml:space="preserve">BIG4</w:t>
            </w:r>
            <w:r>
              <w:rPr>
                <w:rFonts w:ascii="Times New Roman" w:hAnsi="Times New Roman" w:cs="B Lotus"/>
                <w:szCs w:val="20"/>
                <w:rtl/>
              </w:rPr>
              <w:t xml:space="preserve">، </w:t>
            </w:r>
            <w:r>
              <w:rPr>
                <w:rFonts w:ascii="Times New Roman" w:hAnsi="Times New Roman" w:cs="B Lotus"/>
                <w:szCs w:val="20"/>
              </w:rPr>
              <w:t xml:space="preserve">TENURE)</w:t>
            </w:r>
            <w:r>
              <w:rPr>
                <w:rFonts w:ascii="Times New Roman" w:hAnsi="Times New Roman" w:cs="B Lotus"/>
                <w:szCs w:val="20"/>
                <w:rtl/>
              </w:rPr>
              <w:t xml:space="preserve"> در داده‌های پیوست وجود دارند و </w:t>
            </w:r>
            <w:r>
              <w:rPr>
                <w:rFonts w:ascii="Times New Roman" w:hAnsi="Times New Roman" w:cs="B Lotus"/>
                <w:szCs w:val="20"/>
              </w:rPr>
              <w:t xml:space="preserve">COSTP</w:t>
            </w:r>
            <w:r>
              <w:rPr>
                <w:rFonts w:ascii="Times New Roman" w:hAnsi="Times New Roman" w:cs="B Lotus"/>
                <w:szCs w:val="20"/>
                <w:rtl/>
              </w:rPr>
              <w:t xml:space="preserve"> برای 847 مشاهده محاسبه شده است. تعریف نسبتی </w:t>
            </w:r>
            <w:r>
              <w:rPr>
                <w:rFonts w:ascii="Times New Roman" w:hAnsi="Times New Roman" w:cs="B Lotus"/>
                <w:szCs w:val="20"/>
              </w:rPr>
              <w:t xml:space="preserve">COMPLEX</w:t>
            </w:r>
            <w:r>
              <w:rPr>
                <w:rFonts w:ascii="Times New Roman" w:hAnsi="Times New Roman" w:cs="B Lotus"/>
                <w:szCs w:val="20"/>
                <w:rtl/>
              </w:rPr>
              <w:t xml:space="preserve"> با آمار توصیفی (1.216 تا 2.767) سازگار نبود و در متن به «شاخص پیوستهٔ اندازهٔ نسبی صاحبکار بر پایهٔ لگاریتم دارایی‌ها» اصلاح شد؛ فرمول دقیق ساخت </w:t>
            </w:r>
            <w:r>
              <w:rPr>
                <w:rFonts w:ascii="Times New Roman" w:hAnsi="Times New Roman" w:cs="B Lotus"/>
                <w:szCs w:val="20"/>
              </w:rPr>
              <w:t xml:space="preserve">COMPLEX</w:t>
            </w:r>
            <w:r>
              <w:rPr>
                <w:rFonts w:ascii="Times New Roman" w:hAnsi="Times New Roman" w:cs="B Lotus"/>
                <w:szCs w:val="20"/>
                <w:rtl/>
              </w:rPr>
              <w:t xml:space="preserve"> و نمونهٔ برآورد مدل 3-1 را دانشجو باید از فایل داده تأیید کند (میانگین </w:t>
            </w:r>
            <w:r>
              <w:rPr>
                <w:rFonts w:ascii="Times New Roman" w:hAnsi="Times New Roman" w:cs="B Lotus"/>
                <w:szCs w:val="20"/>
              </w:rPr>
              <w:t xml:space="preserve">COSTP</w:t>
            </w:r>
            <w:r>
              <w:rPr>
                <w:rFonts w:ascii="Times New Roman" w:hAnsi="Times New Roman" w:cs="B Lotus"/>
                <w:szCs w:val="20"/>
                <w:rtl/>
              </w:rPr>
              <w:t xml:space="preserve"> برابر 0.025 است، نه صفر).</w:t>
            </w:r>
          </w:p>
        </w:tc>
      </w:tr>
      <w:tr>
        <w:trPr>
          <w:cantSplit/>
        </w:trPr>
        <w:tc>
          <w:tcPr>
            <w:tcW w:w="800" w:type="dxa"/>
            <w:vAlign w:val="center"/>
          </w:tcPr>
          <w:p>
            <w:pPr>
              <w:bidi/>
              <w:spacing w:before="40" w:after="40" w:line="260" w:lineRule="auto"/>
              <w:jc w:val="center"/>
            </w:pPr>
            <w:r>
              <w:rPr>
                <w:rFonts w:ascii="Times New Roman" w:hAnsi="Times New Roman" w:cs="B Lotus"/>
                <w:szCs w:val="20"/>
                <w:rtl/>
              </w:rPr>
              <w:t xml:space="preserve">3</w:t>
            </w:r>
          </w:p>
        </w:tc>
        <w:tc>
          <w:tcPr>
            <w:tcW w:w="3000" w:type="dxa"/>
            <w:vAlign w:val="center"/>
          </w:tcPr>
          <w:p>
            <w:pPr>
              <w:bidi/>
              <w:spacing w:before="40" w:after="40" w:line="260" w:lineRule="auto"/>
              <w:jc w:val="both"/>
            </w:pPr>
            <w:r>
              <w:rPr>
                <w:rFonts w:ascii="Times New Roman" w:hAnsi="Times New Roman" w:cs="B Lotus"/>
                <w:szCs w:val="20"/>
                <w:rtl/>
              </w:rPr>
              <w:t xml:space="preserve">واحد و پایهٔ لگاریتم </w:t>
            </w:r>
            <w:r>
              <w:rPr>
                <w:rFonts w:ascii="Times New Roman" w:hAnsi="Times New Roman" w:cs="B Lotus"/>
                <w:szCs w:val="20"/>
              </w:rPr>
              <w:t xml:space="preserve">AF</w:t>
            </w:r>
          </w:p>
        </w:tc>
        <w:tc>
          <w:tcPr>
            <w:tcW w:w="10100" w:type="dxa"/>
            <w:vAlign w:val="center"/>
          </w:tcPr>
          <w:p>
            <w:pPr>
              <w:bidi/>
              <w:spacing w:before="40" w:after="40" w:line="260" w:lineRule="auto"/>
              <w:jc w:val="both"/>
            </w:pPr>
            <w:r>
              <w:rPr>
                <w:rFonts w:ascii="Times New Roman" w:hAnsi="Times New Roman" w:cs="B Lotus"/>
                <w:szCs w:val="20"/>
                <w:rtl/>
              </w:rPr>
              <w:t xml:space="preserve">میانگین </w:t>
            </w:r>
            <w:r>
              <w:rPr>
                <w:rFonts w:ascii="Times New Roman" w:hAnsi="Times New Roman" w:cs="B Lotus"/>
                <w:szCs w:val="20"/>
              </w:rPr>
              <w:t xml:space="preserve">AF=1.26</w:t>
            </w:r>
            <w:r>
              <w:rPr>
                <w:rFonts w:ascii="Times New Roman" w:hAnsi="Times New Roman" w:cs="B Lotus"/>
                <w:szCs w:val="20"/>
                <w:rtl/>
              </w:rPr>
              <w:t xml:space="preserve"> با «لگاریتم طبیعی میلیون ریال» همخوان به نظر نمی‌رسد؛ پایه و واحد در متن ذکر نشد.</w:t>
            </w:r>
          </w:p>
        </w:tc>
      </w:tr>
      <w:tr>
        <w:trPr>
          <w:cantSplit/>
        </w:trPr>
        <w:tc>
          <w:tcPr>
            <w:tcW w:w="800" w:type="dxa"/>
            <w:vAlign w:val="center"/>
          </w:tcPr>
          <w:p>
            <w:pPr>
              <w:bidi/>
              <w:spacing w:before="40" w:after="40" w:line="260" w:lineRule="auto"/>
              <w:jc w:val="center"/>
            </w:pPr>
            <w:r>
              <w:rPr>
                <w:rFonts w:ascii="Times New Roman" w:hAnsi="Times New Roman" w:cs="B Lotus"/>
                <w:szCs w:val="20"/>
                <w:rtl/>
              </w:rPr>
              <w:t xml:space="preserve">4</w:t>
            </w:r>
          </w:p>
        </w:tc>
        <w:tc>
          <w:tcPr>
            <w:tcW w:w="3000" w:type="dxa"/>
            <w:vAlign w:val="center"/>
          </w:tcPr>
          <w:p>
            <w:pPr>
              <w:bidi/>
              <w:spacing w:before="40" w:after="40" w:line="260" w:lineRule="auto"/>
              <w:jc w:val="both"/>
            </w:pPr>
            <w:r>
              <w:rPr>
                <w:rFonts w:ascii="Times New Roman" w:hAnsi="Times New Roman" w:cs="B Lotus"/>
                <w:szCs w:val="20"/>
                <w:rtl/>
              </w:rPr>
              <w:t xml:space="preserve">آزمون‌های مدل 5</w:t>
            </w:r>
          </w:p>
        </w:tc>
        <w:tc>
          <w:tcPr>
            <w:tcW w:w="10100" w:type="dxa"/>
            <w:vAlign w:val="center"/>
          </w:tcPr>
          <w:p>
            <w:pPr>
              <w:bidi/>
              <w:spacing w:before="40" w:after="40" w:line="260" w:lineRule="auto"/>
              <w:jc w:val="both"/>
            </w:pPr>
            <w:r>
              <w:rPr>
                <w:rFonts w:ascii="Times New Roman" w:hAnsi="Times New Roman" w:cs="B Lotus"/>
                <w:szCs w:val="20"/>
                <w:rtl/>
              </w:rPr>
              <w:t xml:space="preserve">نتایج آزمون‌های کائو، وایت و بروش-گادفری برای مدل 5 در جدول‌ها گزارش نشده است؛ در صورت وجود، اضافه شود.</w:t>
            </w:r>
          </w:p>
        </w:tc>
      </w:tr>
      <w:tr>
        <w:trPr>
          <w:cantSplit/>
        </w:trPr>
        <w:tc>
          <w:tcPr>
            <w:tcW w:w="800" w:type="dxa"/>
            <w:vAlign w:val="center"/>
          </w:tcPr>
          <w:p>
            <w:pPr>
              <w:bidi/>
              <w:spacing w:before="40" w:after="40" w:line="260" w:lineRule="auto"/>
              <w:jc w:val="center"/>
            </w:pPr>
            <w:r>
              <w:rPr>
                <w:rFonts w:ascii="Times New Roman" w:hAnsi="Times New Roman" w:cs="B Lotus"/>
                <w:szCs w:val="20"/>
                <w:rtl/>
              </w:rPr>
              <w:t xml:space="preserve">5</w:t>
            </w:r>
          </w:p>
        </w:tc>
        <w:tc>
          <w:tcPr>
            <w:tcW w:w="3000" w:type="dxa"/>
            <w:vAlign w:val="center"/>
          </w:tcPr>
          <w:p>
            <w:pPr>
              <w:bidi/>
              <w:spacing w:before="40" w:after="40" w:line="260" w:lineRule="auto"/>
              <w:jc w:val="both"/>
            </w:pPr>
            <w:r>
              <w:rPr>
                <w:rFonts w:ascii="Times New Roman" w:hAnsi="Times New Roman" w:cs="B Lotus"/>
                <w:szCs w:val="20"/>
                <w:rtl/>
              </w:rPr>
              <w:t xml:space="preserve">منابع حذف‌شده</w:t>
            </w:r>
          </w:p>
        </w:tc>
        <w:tc>
          <w:tcPr>
            <w:tcW w:w="10100" w:type="dxa"/>
            <w:vAlign w:val="center"/>
          </w:tcPr>
          <w:p>
            <w:pPr>
              <w:bidi/>
              <w:spacing w:before="40" w:after="40" w:line="260" w:lineRule="auto"/>
              <w:jc w:val="both"/>
            </w:pPr>
            <w:r>
              <w:rPr>
                <w:rFonts w:ascii="Times New Roman" w:hAnsi="Times New Roman" w:cs="B Lotus"/>
                <w:szCs w:val="20"/>
                <w:rtl/>
              </w:rPr>
              <w:t xml:space="preserve">ارجاعات زیر به منبع قابل شناسایی منتهی نشدند و از متن حذف شدند؛ در صورت داشتن مدرک واقعی منبع، می‌توان با مشخصات کامل بازگرداند: احمدی و همکاران، جمشیدی نوید و محمدی، حساس یگانه و علوی طبری، خدادادی و حاجی زاده، دبی لاشر، دگلاس، رضایی و بیاتی، رضایی و همکاران، زارع و همکاران، زمانی و بیاتی، زمانی و همکاران، سعیدی و همکاران، شاه حیدری پور و شعبانی، صادقی و همکاران، صالحی و همکاران، طاهری و همکاران، عباسی و همکاران، علوی و بیاتی، قاسمی و بیاتی، محمدی و همکاران، مرادی و همکاران، مشکاتی و همکاران، مقداری و همکاران، مهدوی و همکاران، موسوی و داروغه حضرتی، موسوی و همکاران، نظری و همکاران، پارسا و همکاران، چارلز و همکاران، کریمی و همکاران، گیست</w:t>
            </w:r>
          </w:p>
        </w:tc>
      </w:tr>
      <w:tr>
        <w:trPr>
          <w:cantSplit/>
        </w:trPr>
        <w:tc>
          <w:tcPr>
            <w:tcW w:w="800" w:type="dxa"/>
            <w:vAlign w:val="center"/>
          </w:tcPr>
          <w:p>
            <w:pPr>
              <w:bidi/>
              <w:spacing w:before="40" w:after="40" w:line="260" w:lineRule="auto"/>
              <w:jc w:val="center"/>
            </w:pPr>
            <w:r>
              <w:rPr>
                <w:rFonts w:ascii="Times New Roman" w:hAnsi="Times New Roman" w:cs="B Lotus"/>
                <w:szCs w:val="20"/>
                <w:rtl/>
              </w:rPr>
              <w:t xml:space="preserve">6</w:t>
            </w:r>
          </w:p>
        </w:tc>
        <w:tc>
          <w:tcPr>
            <w:tcW w:w="3000" w:type="dxa"/>
            <w:vAlign w:val="center"/>
          </w:tcPr>
          <w:p>
            <w:pPr>
              <w:bidi/>
              <w:spacing w:before="40" w:after="40" w:line="260" w:lineRule="auto"/>
              <w:jc w:val="both"/>
            </w:pPr>
            <w:r>
              <w:rPr>
                <w:rFonts w:ascii="Times New Roman" w:hAnsi="Times New Roman" w:cs="B Lotus"/>
                <w:szCs w:val="20"/>
                <w:rtl/>
              </w:rPr>
              <w:t xml:space="preserve">منابع جدید</w:t>
            </w:r>
          </w:p>
        </w:tc>
        <w:tc>
          <w:tcPr>
            <w:tcW w:w="10100" w:type="dxa"/>
            <w:vAlign w:val="center"/>
          </w:tcPr>
          <w:p>
            <w:pPr>
              <w:bidi/>
              <w:spacing w:before="40" w:after="40" w:line="260" w:lineRule="auto"/>
              <w:jc w:val="both"/>
            </w:pPr>
            <w:r>
              <w:rPr>
                <w:rFonts w:ascii="Times New Roman" w:hAnsi="Times New Roman" w:cs="B Lotus"/>
                <w:szCs w:val="20"/>
                <w:rtl/>
              </w:rPr>
              <w:t xml:space="preserve">مشخصات نشریه/شماره/صفحهٔ مقالهٔ رشیدی و حاجی‌زاده (1403)، نام کوچک نویسندگان امر و یوآن (2025) و شماره/صفحهٔ نواک و نچل (2023) را از سایت نشریه تکمیل کنید. عنوان کامل نیک‌بخت و محمودی‌خوش‌رو (1396) نیز بازبینی شود.</w:t>
            </w:r>
          </w:p>
        </w:tc>
      </w:tr>
    </w:tbl>
    <w:sectPr w:rsidR="00FC693F" w:rsidRPr="0006063C" w:rsidSect="00034616">
      <w:pgSz w:w="16838" w:h="11906" w:orient="landscape"/>
      <w:pgMar w:top="850" w:right="850" w:bottom="850" w:left="850" w:header="720" w:footer="720" w:gutter="0"/>
      <w:cols w:space="720"/>
      <w:bidi/>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