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bidi/>
        <w:spacing w:before="0" w:after="200" w:line="240" w:lineRule="auto"/>
        <w:jc w:val="center"/>
      </w:pPr>
      <w:r>
        <w:rPr>
          <w:rFonts w:ascii="Times New Roman" w:hAnsi="Times New Roman" w:cs="B Titr" w:eastAsia="Times New Roman"/>
          <w:b/>
          <w:bCs/>
          <w:sz w:val="24"/>
          <w:szCs w:val="24"/>
          <w:lang w:val="en-US" w:bidi="fa-IR"/>
        </w:rPr>
        <w:t xml:space="preserve">چرا حسابرسان سکوت می‌کنند؟ فشار زمانی، رفع تعهد اخلاقی و نقش وجدان حرفه‌ای</w:t>
      </w:r>
    </w:p>
    <w:p>
      <w:pPr>
        <w:bidi/>
        <w:spacing w:before="0" w:after="100" w:line="240" w:lineRule="auto"/>
        <w:jc w:val="center"/>
      </w:pPr>
      <w:r>
        <w:rPr>
          <w:rFonts w:ascii="Times New Roman" w:hAnsi="Times New Roman" w:cs="B Nazanin" w:eastAsia="Times New Roman"/>
          <w:b/>
          <w:bCs/>
          <w:sz w:val="26"/>
          <w:szCs w:val="26"/>
          <w:lang w:val="en-US" w:bidi="fa-IR"/>
        </w:rPr>
        <w:t xml:space="preserve">چکیدهٔ گسترده</w:t>
      </w:r>
    </w:p>
    <w:p>
      <w:pPr>
        <w:keepNext/>
        <w:bidi/>
        <w:spacing w:before="100" w:after="30" w:line="240" w:lineRule="auto"/>
        <w:jc w:val="left"/>
      </w:pPr>
      <w:r>
        <w:rPr>
          <w:rFonts w:ascii="Times New Roman" w:hAnsi="Times New Roman" w:cs="B Nazanin" w:eastAsia="Times New Roman"/>
          <w:b/>
          <w:bCs/>
          <w:sz w:val="26"/>
          <w:szCs w:val="26"/>
          <w:lang w:val="en-US" w:bidi="fa-IR"/>
        </w:rPr>
        <w:t xml:space="preserve">زمینه و مسئله</w:t>
      </w:r>
    </w:p>
    <w:p>
      <w:pPr>
        <w:bidi/>
        <w:spacing w:before="0" w:after="40" w:line="240" w:lineRule="auto"/>
        <w:ind w:firstLine="360"/>
        <w:jc w:val="both"/>
      </w:pPr>
      <w:r>
        <w:rPr>
          <w:rFonts w:ascii="Times New Roman" w:hAnsi="Times New Roman" w:cs="B Nazanin" w:eastAsia="Times New Roman"/>
          <w:sz w:val="24"/>
          <w:szCs w:val="24"/>
          <w:lang w:val="en-US" w:bidi="fa-IR"/>
        </w:rPr>
        <w:t xml:space="preserve">حسابرس هنگام اجرای کار گاه با ناهنجاری‌هایی روبه‌رو می‌شود که اگر مطرح نشود، می‌تواند به بی‌اعتباری گزارش بینجامد. تصمیم او میان طرح موضوع و سکوت پیش از آن‌که فنی باشد اخلاقی است. پژوهش‌های داخلی فشار بودجهٔ زمانی را با رفتارهای کاهندهٔ کیفیت حسابرسی و سکوت حسابرسان را با عوامل سازمانی مرتبط دانسته‌اند، اما سازوکار شناختی که فشار را به سکوت می‌رساند کمتر آزموده شده است.</w:t>
      </w:r>
    </w:p>
    <w:p>
      <w:pPr>
        <w:keepNext/>
        <w:bidi/>
        <w:spacing w:before="100" w:after="30" w:line="240" w:lineRule="auto"/>
        <w:jc w:val="left"/>
      </w:pPr>
      <w:r>
        <w:rPr>
          <w:rFonts w:ascii="Times New Roman" w:hAnsi="Times New Roman" w:cs="B Nazanin" w:eastAsia="Times New Roman"/>
          <w:b/>
          <w:bCs/>
          <w:sz w:val="26"/>
          <w:szCs w:val="26"/>
          <w:lang w:val="en-US" w:bidi="fa-IR"/>
        </w:rPr>
        <w:t xml:space="preserve">هدف و پرسش‌ها</w:t>
      </w:r>
    </w:p>
    <w:p>
      <w:pPr>
        <w:bidi/>
        <w:spacing w:before="0" w:after="40" w:line="240" w:lineRule="auto"/>
        <w:ind w:firstLine="360"/>
        <w:jc w:val="both"/>
      </w:pPr>
      <w:r>
        <w:rPr>
          <w:rFonts w:ascii="Times New Roman" w:hAnsi="Times New Roman" w:cs="B Nazanin" w:eastAsia="Times New Roman"/>
          <w:sz w:val="24"/>
          <w:szCs w:val="24"/>
          <w:lang w:val="en-US" w:bidi="fa-IR"/>
        </w:rPr>
        <w:t xml:space="preserve">هدف آزمون مدلی ساده با پنج متغیر است: فشار بودجهٔ زمانی و جو اخلاقی سازمان ← رفع تعهد اخلاقی ← سکوت دربارهٔ تخلف کشف‌شده، با تعدیل‌گری وجدان حرفه‌ای. پرسش‌ها: آیا رفع تعهد اخلاقی میانجی اثر فشار و جو بر سکوت است؟ و آیا وجدان حرفه‌ای حلقه‌های این زنجیره را تضعیف می‌کند؟</w:t>
      </w:r>
    </w:p>
    <w:p>
      <w:pPr>
        <w:keepNext/>
        <w:bidi/>
        <w:spacing w:before="100" w:after="30" w:line="240" w:lineRule="auto"/>
        <w:jc w:val="left"/>
      </w:pPr>
      <w:r>
        <w:rPr>
          <w:rFonts w:ascii="Times New Roman" w:hAnsi="Times New Roman" w:cs="B Nazanin" w:eastAsia="Times New Roman"/>
          <w:b/>
          <w:bCs/>
          <w:sz w:val="26"/>
          <w:szCs w:val="26"/>
          <w:lang w:val="en-US" w:bidi="fa-IR"/>
        </w:rPr>
        <w:t xml:space="preserve">مبانی نظری</w:t>
      </w:r>
    </w:p>
    <w:p>
      <w:pPr>
        <w:bidi/>
        <w:spacing w:before="0" w:after="40" w:line="240" w:lineRule="auto"/>
        <w:ind w:firstLine="360"/>
        <w:jc w:val="both"/>
      </w:pPr>
      <w:r>
        <w:rPr>
          <w:rFonts w:ascii="Times New Roman" w:hAnsi="Times New Roman" w:cs="B Nazanin" w:eastAsia="Times New Roman"/>
          <w:sz w:val="24"/>
          <w:szCs w:val="24"/>
          <w:lang w:val="en-US" w:bidi="fa-IR"/>
        </w:rPr>
        <w:t xml:space="preserve">اخلاق رفتاری، ریزش اخلاقی (محوشدن بُعد اخلاقی تصمیم در شرایط فشار) و رفع تعهد اخلاقی (توجیه اخلاقی، برچسب‌زنی تلطیف‌شده، مقایسهٔ سودمند، جابه‌جایی و پخش مسئولیت) پایهٔ نظری‌اند. جو اخلاقی سازمان دامنهٔ توجیه‌پذیر را محدود می‌کند و سکوت سازمانی (تسلیم‌شده و دفاعی) پیامد نهایی است. وجدان حرفه‌ای، به‌معنای درونی‌سازی ارزش‌های اخلاقی و حرفه‌ای مانند امانت‌داری و پاسخگویی در برابر وجدان، به‌عنوان نیروی بازدارنده فرض می‌شود. هشت فرضیه صورت‌بندی شد.</w:t>
      </w:r>
    </w:p>
    <w:p>
      <w:pPr>
        <w:keepNext/>
        <w:bidi/>
        <w:spacing w:before="100" w:after="30" w:line="240" w:lineRule="auto"/>
        <w:jc w:val="left"/>
      </w:pPr>
      <w:r>
        <w:rPr>
          <w:rFonts w:ascii="Times New Roman" w:hAnsi="Times New Roman" w:cs="B Nazanin" w:eastAsia="Times New Roman"/>
          <w:b/>
          <w:bCs/>
          <w:sz w:val="26"/>
          <w:szCs w:val="26"/>
          <w:lang w:val="en-US" w:bidi="fa-IR"/>
        </w:rPr>
        <w:t xml:space="preserve">روش‌شناسی</w:t>
      </w:r>
    </w:p>
    <w:p>
      <w:pPr>
        <w:bidi/>
        <w:spacing w:before="0" w:after="40" w:line="240" w:lineRule="auto"/>
        <w:ind w:firstLine="360"/>
        <w:jc w:val="both"/>
      </w:pPr>
      <w:r>
        <w:rPr>
          <w:rFonts w:ascii="Times New Roman" w:hAnsi="Times New Roman" w:cs="B Nazanin" w:eastAsia="Times New Roman"/>
          <w:sz w:val="24"/>
          <w:szCs w:val="24"/>
          <w:lang w:val="en-US" w:bidi="fa-IR"/>
        </w:rPr>
        <w:t xml:space="preserve">پژوهش کاربردی و پیمایشی است. داده‌های ۳۶۴ حسابرس با پرسشنامهٔ ۲۲ گویه‌ای (پنج سازه) گردآوری و با مدل‌سازی معادلات ساختاری مبتنی بر کوواریانس کاملاً پنهان (بدون میانگین یا مجموع گویه‌ها)، دو اثر متقابل پنهان، بوت‌استرپ ۲,۰۰۰ تکراری و مقایسهٔ پنج مدل رقیب تحلیل شد.</w:t>
      </w:r>
    </w:p>
    <w:p>
      <w:pPr>
        <w:keepNext/>
        <w:bidi/>
        <w:spacing w:before="100" w:after="30" w:line="240" w:lineRule="auto"/>
        <w:jc w:val="left"/>
      </w:pPr>
      <w:r>
        <w:rPr>
          <w:rFonts w:ascii="Times New Roman" w:hAnsi="Times New Roman" w:cs="B Nazanin" w:eastAsia="Times New Roman"/>
          <w:b/>
          <w:bCs/>
          <w:sz w:val="26"/>
          <w:szCs w:val="26"/>
          <w:lang w:val="en-US" w:bidi="fa-IR"/>
        </w:rPr>
        <w:t xml:space="preserve">یافته‌ها</w:t>
      </w:r>
    </w:p>
    <w:p>
      <w:pPr>
        <w:bidi/>
        <w:spacing w:before="0" w:after="40" w:line="240" w:lineRule="auto"/>
        <w:ind w:firstLine="360"/>
        <w:jc w:val="both"/>
      </w:pPr>
      <w:r>
        <w:rPr>
          <w:rFonts w:ascii="Times New Roman" w:hAnsi="Times New Roman" w:cs="B Nazanin" w:eastAsia="Times New Roman"/>
          <w:sz w:val="24"/>
          <w:szCs w:val="24"/>
          <w:lang w:val="en-US" w:bidi="fa-IR"/>
        </w:rPr>
        <w:t xml:space="preserve">مدل اندازه‌گیری برازش مطلوب داشت (CFI = ۰٫۹۷۷؛ RMSEA = ۰٫۰۳۳؛ پایایی ترکیبی ۰٫۸۰ تا ۰٫۸۶؛ بیشینهٔ HTMT = ۰٫۶۱). فشار زمانی رفع تعهد را افزایش (β = ۰٫۵۴) و جو اخلاقی آن را کاهش داد (β = −۰٫۲۳). رفع تعهد قوی‌ترین پیش‌بین سکوت بود (β = ۰٫۴۳)؛ جو اخلاقی اثر مستقیم منفی نیز بر سکوت داشت (β = −۰٫۱۴) و اثر مستقیم فشار زمانی معنادار نبود (β = ۰٫۱۳)؛ پس اثر فشار زمانی عمدتاً از راه توجیه‌سازی می‌گذرد. وجدان حرفه‌ای هم اثر فشار بر رفع تعهد (β = −۰٫۲۰) و هم اثر رفع تعهد بر سکوت (β = −۰٫۱۹) را تضعیف کرد و اثر غیرمستقیم فشار زمانی بر سکوت از ۰٫۴۷ در وجدان پایین به ۰٫۱۰ در وجدان بالا رسید. مدل ۴۶ درصد واریانس سکوت را تبیین کرد. نتایج در برآوردهای جایگزین پایدار بود؛ مدل معکوس برازشی تقریباً هم‌ارز داشت، پس جهت علّی بر نظریه استوار است.</w:t>
      </w:r>
    </w:p>
    <w:p>
      <w:pPr>
        <w:keepNext/>
        <w:bidi/>
        <w:spacing w:before="100" w:after="30" w:line="240" w:lineRule="auto"/>
        <w:jc w:val="left"/>
      </w:pPr>
      <w:r>
        <w:rPr>
          <w:rFonts w:ascii="Times New Roman" w:hAnsi="Times New Roman" w:cs="B Nazanin" w:eastAsia="Times New Roman"/>
          <w:b/>
          <w:bCs/>
          <w:sz w:val="26"/>
          <w:szCs w:val="26"/>
          <w:lang w:val="en-US" w:bidi="fa-IR"/>
        </w:rPr>
        <w:t xml:space="preserve">نتیجه‌گیری و پیامدها</w:t>
      </w:r>
    </w:p>
    <w:p>
      <w:pPr>
        <w:bidi/>
        <w:spacing w:before="0" w:after="40" w:line="240" w:lineRule="auto"/>
        <w:ind w:firstLine="360"/>
        <w:jc w:val="both"/>
      </w:pPr>
      <w:r>
        <w:rPr>
          <w:rFonts w:ascii="Times New Roman" w:hAnsi="Times New Roman" w:cs="B Nazanin" w:eastAsia="Times New Roman"/>
          <w:sz w:val="24"/>
          <w:szCs w:val="24"/>
          <w:lang w:val="en-US" w:bidi="fa-IR"/>
        </w:rPr>
        <w:t xml:space="preserve">سکوت حسابرس بیش از آن‌که تصمیمی آگاهانه برای پنهان‌کاری باشد، پایانهٔ زنجیرهٔ فشار، توجیه و سکوت است. زمان حفاظت‌شده برای یافته‌های غیرمعمول، آموزش شناخت سازوکارهای توجیه، رهبری اخلاقی، کانال‌های امن طرح نگرانی و تقویت ارزش‌های حرفه‌ای درونی‌شده از راهکارهای اصلی‌اند.</w:t>
      </w:r>
    </w:p>
    <w:p>
      <w:pPr>
        <w:keepNext/>
        <w:bidi/>
        <w:spacing w:before="100" w:after="30" w:line="240" w:lineRule="auto"/>
        <w:jc w:val="left"/>
      </w:pPr>
      <w:r>
        <w:rPr>
          <w:rFonts w:ascii="Times New Roman" w:hAnsi="Times New Roman" w:cs="B Nazanin" w:eastAsia="Times New Roman"/>
          <w:b/>
          <w:bCs/>
          <w:sz w:val="26"/>
          <w:szCs w:val="26"/>
          <w:lang w:val="en-US" w:bidi="fa-IR"/>
        </w:rPr>
        <w:t xml:space="preserve">محدودیت‌ها</w:t>
      </w:r>
    </w:p>
    <w:p>
      <w:pPr>
        <w:bidi/>
        <w:spacing w:before="0" w:after="40" w:line="240" w:lineRule="auto"/>
        <w:ind w:firstLine="360"/>
        <w:jc w:val="both"/>
      </w:pPr>
      <w:r>
        <w:rPr>
          <w:rFonts w:ascii="Times New Roman" w:hAnsi="Times New Roman" w:cs="B Nazanin" w:eastAsia="Times New Roman"/>
          <w:sz w:val="24"/>
          <w:szCs w:val="24"/>
          <w:lang w:val="en-US" w:bidi="fa-IR"/>
        </w:rPr>
        <w:t xml:space="preserve">طرح مقطعی، خوداظهاری و حساسیت موضوع، تازه‌بودن دو مقیاس و هم‌ارزی مدل معکوس. پیشنهاد می‌شود از سناریوهای آزمایشی، طرح‌های روزنوشتی یا طولی و شاخص‌های عینی استفاده شود.</w:t>
      </w:r>
    </w:p>
    <w:p>
      <w:pPr>
        <w:bidi/>
        <w:spacing w:before="80" w:after="50" w:line="240" w:lineRule="auto"/>
        <w:jc w:val="left"/>
      </w:pPr>
      <w:r>
        <w:rPr>
          <w:rFonts w:ascii="Times New Roman" w:hAnsi="Times New Roman" w:cs="B Nazanin" w:eastAsia="Times New Roman"/>
          <w:b/>
          <w:bCs/>
          <w:sz w:val="22"/>
          <w:szCs w:val="22"/>
          <w:lang w:val="en-US" w:bidi="fa-IR"/>
        </w:rPr>
        <w:t xml:space="preserve">واژه‌های کلیدی:</w:t>
      </w:r>
      <w:r>
        <w:rPr>
          <w:rFonts w:ascii="Times New Roman" w:hAnsi="Times New Roman" w:cs="B Nazanin" w:eastAsia="Times New Roman"/>
          <w:sz w:val="22"/>
          <w:szCs w:val="22"/>
          <w:lang w:val="en-US" w:bidi="fa-IR"/>
        </w:rPr>
        <w:t xml:space="preserve"> جو اخلاقی، حسابرسی، رفع تعهد اخلاقی، سکوت، فشار بودجهٔ زمانی، وجدان حرفه‌ای</w:t>
      </w:r>
    </w:p>
    <w:sectPr>
      <w:footerReference w:type="default" r:id="rIdFooter"/>
      <w:pgSz w:w="11906" w:h="16838"/>
      <w:pgMar w:top="1417" w:right="1417" w:bottom="1417" w:left="1417" w:header="708" w:footer="708" w:gutter="0"/>
      <w:bidi/>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w:p>
    <w:pPr>
      <w:jc w:val="center"/>
    </w:pPr>
    <w:r>
      <w:rPr>
        <w:sz w:val="20"/>
      </w:rPr>
      <w:fldChar w:fldCharType="begin"/>
    </w:r>
    <w:r>
      <w:instrText xml:space="preserve"> PAGE </w:instrTex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settings.xml><?xml version="1.0" encoding="utf-8"?>
<w:settings xmlns:w="http://schemas.openxmlformats.org/wordprocessingml/2006/main">
  <w:zoom w:percent="100"/>
  <w:defaultTabStop w:val="720"/>
  <w:characterSpacingControl w:val="doNotCompress"/>
  <w:footnotePr>
    <w:footnote w:id="-1"/>
    <w:footnote w:id="0"/>
  </w:footnotePr>
  <w:themeFontLang w:val="en-US" w:bidi="fa-IR"/>
</w:settings>
</file>

<file path=word/styles.xml><?xml version="1.0" encoding="utf-8"?>
<w:styles xmlns:w="http://schemas.openxmlformats.org/wordprocessingml/2006/main">
  <w:docDefaults>
    <w:rPrDefault>
      <w:rPr>
        <w:rFonts w:ascii="Times New Roman" w:hAnsi="Times New Roman" w:cs="B Nazanin"/>
        <w:sz w:val="24"/>
        <w:szCs w:val="24"/>
        <w:lang w:val="en-US" w:bidi="fa-IR"/>
      </w:rPr>
    </w:rPrDefault>
    <w:pPrDefault>
      <w:pPr>
        <w:bidi/>
      </w:pPr>
    </w:pPrDefault>
  </w:docDefaults>
  <w:style w:type="paragraph" w:default="1" w:styleId="Normal">
    <w:name w:val="Normal"/>
  </w:style>
  <w:style w:type="character" w:styleId="FootnoteReference">
    <w:name w:val="footnote reference"/>
    <w:rPr>
      <w:vertAlign w:val="superscript"/>
    </w:rPr>
  </w:style>
</w:styles>
</file>

<file path=word/_rels/document.xml.rels><?xml version="1.0" encoding="UTF-8" standalone="yes"?><Relationships xmlns="http://schemas.openxmlformats.org/package/2006/relationships"><Relationship Id="rIdSt" Type="http://schemas.openxmlformats.org/officeDocument/2006/relationships/styles" Target="styles.xml"/><Relationship Id="rIdSe" Type="http://schemas.openxmlformats.org/officeDocument/2006/relationships/settings" Target="settings.xml"/><Relationship Id="rIdFn" Type="http://schemas.openxmlformats.org/officeDocument/2006/relationships/footnotes" Target="footnotes.xml"/><Relationship Id="rIdFooter"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Article</dc:title>
  <dc:language>fa-IR</dc:language>
</cp:coreProperties>
</file>