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4"/>
          <w:szCs w:val="24"/>
          <w:lang w:val="en-US" w:bidi="fa-IR"/>
        </w:rPr>
        <w:t xml:space="preserve">پرسشنامهٔ پژوهش: فشار زمانی، جو اخلاقی، رفع تعهد اخلاقی، وجدان حرفه‌ای و سکوت حسابرسان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راهنما: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پاسخ‌ها محرمانه و تجمیعی گزارش می‌شود و هیچ اطلاعات هویتی صاحبکار خواسته نمی‌شود. لطفاً میزان موافقت خود را با هر عبارت (۱ = کاملاً مخالف … ۵ = کاملاً موافق) مشخص کنید. عبارت‌های سکوت دربارهٔ «گرایش شما در موقعیت فرضی» است، نه اعتراف به رفتار واقعی.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ویژگی‌های جمعیت‌شناختی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۱. پرسش‌های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900"/>
        <w:gridCol w:w="8100"/>
      </w:tblGrid>
      <w:tr>
        <w:trPr>
          <w:tblHeader/>
        </w:trPr>
        <w:tc>
          <w:tcPr>
            <w:tcW w:w="9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8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پرسش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کار حسابرسی (سال)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رتبهٔ سازمانی: حسابرس مقدماتی؛ حسابرس ارشد؛ سرپرست؛ مدیر/شریک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محل کار: سازمان حسابرسی؛ مؤسسهٔ حسابرسی خصوصی؛ سایر</w:t>
            </w:r>
          </w:p>
        </w:tc>
      </w:tr>
      <w:tr>
        <w:trPr>
          <w:cantSplit/>
        </w:trPr>
        <w:tc>
          <w:tcPr>
            <w:tcW w:w="9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D۶</w:t>
            </w:r>
          </w:p>
        </w:tc>
        <w:tc>
          <w:tcPr>
            <w:tcW w:w="8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تحصیلات: کارشناسی؛ کارشناسی ارشد؛ دکتری</w:t>
            </w:r>
          </w:p>
        </w:tc>
      </w:tr>
      <w:tr>
        <w:trPr>
          <w:cantSplit/>
        </w:trPr>
        <w:tc>
          <w:tcPr>
            <w:tcW w:w="9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8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عضویت در جامعهٔ حسابداران رسمی (بله/خیر)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خلاصهٔ منشأ هر مقیاس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۲. نوع منشأ (محقق‌ساخته یا پژوهش‌محور) و منابع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1700"/>
        <w:gridCol w:w="600"/>
        <w:gridCol w:w="20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نماد</w:t>
            </w:r>
          </w:p>
        </w:tc>
        <w:tc>
          <w:tcPr>
            <w:tcW w:w="1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2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منشأ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TBP</w:t>
            </w:r>
          </w:p>
        </w:tc>
        <w:tc>
          <w:tcPr>
            <w:tcW w:w="1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فشار بودجهٔ زمانی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2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محقق‌ساخته (برگرفته از نظریه)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دیزورت و لرد (۱۹۹۷)؛ مالون و رابرتس (۱۹۹۶)؛ مهرانی و نعیمی (۱۳۸۲)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ECL</w:t>
            </w:r>
          </w:p>
        </w:tc>
        <w:tc>
          <w:tcPr>
            <w:tcW w:w="1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جو اخلاقی سازمان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2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پژوهش‌محور (اقتباس‌شده)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ویکتور و کالن (۱۹۸۸)؛ کیش‌گفارت، هریسون و ترونیو (۲۰۱۰)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CON</w:t>
            </w:r>
          </w:p>
        </w:tc>
        <w:tc>
          <w:tcPr>
            <w:tcW w:w="1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وجدان حرفه‌ای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2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محقق‌ساخته (برگرفته از نظریه)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لوئیس (۲۰۰۱)؛ بیدون و ویلت (۲۰۰۰)؛ مهدوی، بهمنی و نمازی (۱۴۰۰)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</w:t>
            </w:r>
          </w:p>
        </w:tc>
        <w:tc>
          <w:tcPr>
            <w:tcW w:w="1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رفع تعهد اخلاقی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2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پژوهش‌محور (اقتباس‌شده)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بندورا (۱۹۹۹)؛ مور و همکاران (۲۰۱۲)؛ دترت، ترونیو و سوایتزر (۲۰۰۸)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</w:t>
            </w:r>
          </w:p>
        </w:tc>
        <w:tc>
          <w:tcPr>
            <w:tcW w:w="1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سکوت دربارهٔ تخلف کشف‌شده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2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پژوهش‌محور (اقتباس‌شده)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موریسون و میلیکن (۲۰۰۰)؛ ون‌داین، آنگ و بوترو (۲۰۰۳)؛ نیر و میسلی (۱۹۸۵)؛ ابراهیمی، صفری گرایلی و ولیان (۱۴۰۱)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فشار بودجهٔ زمانی (TBP)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منشأ: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محقق‌ساخته (برگرفته از نظریه). 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لیکرت ۵‌درجه‌ای: ۱ = کاملاً مخالف … ۵ = کاملاً موافق.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توضیح: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مقیاس منتشرشدهٔ هم‌خوان با بافت مؤسسات حسابرسی ایران یافت نشد؛ گویه‌ها بر پایهٔ مفهوم فشار بودجهٔ زمانی در ادبیات (دیزورت و لرد؛ مالون و رابرتس؛ مهرانی و نعیمی) نوشته شده‌اند.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۳. گویه‌های TBP</w:t>
      </w:r>
    </w:p>
    <w:tbl>
      <w:tblPr>
        <w:bidiVisual/>
        <w:tblW w:w="895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6000"/>
        <w:gridCol w:w="450"/>
        <w:gridCol w:w="450"/>
        <w:gridCol w:w="450"/>
        <w:gridCol w:w="450"/>
        <w:gridCol w:w="45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۲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TBP۱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بودجهٔ زمانی تعیین‌شده برای کارهای حسابرسی من معمولاً کمتر از زمان لازم برای انجام دقیق آن‌هاست.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TBP۲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مهلت‌های تحویل کار در مؤسسهٔ ما به‌گونه‌ای است که فرصت کافی برای بررسی دقیق باقی نمی‌گذارد.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TBP۳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عملکرد من بیش از هر چیز بر پایهٔ رعایت بودجهٔ زمانی ارزیابی می‌شود.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TBP۴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در فصل اوج کار، حجم کار آن‌قدر است که فرصت تأمل در یافته‌های غیرمعمول را ندارم.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3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منابع این متغیر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DeZoort, F. T., &amp; Lord, A. T. (1997). A review and synthesis of pressure effects research in accounting.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Journal of Accounting Literature, 16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, 28–85.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Malone, C. F., &amp; Roberts, R. W. (1996). Factors associated with the incidence of reduced audit quality behaviors.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Auditing: A Journal of Practice &amp; Theory, 15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(2), 49–64.</w:t>
      </w:r>
    </w:p>
    <w:p>
      <w:pPr>
        <w:bidi/>
        <w:spacing w:before="0" w:after="4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مهرانی، ساسان و نعیمی،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[نام کوچک]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(۱۳۸۲). تئوری اخلاقی و تأثیر فشار بودجهٔ زمانی بر رفتار حسابرسان مستقل. بررسی‌های حسابداری و حسابرسی، ۱۰(۲)، ۴۳-۶۱.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جو اخلاقی سازمان (ECL)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منشأ: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پژوهش‌محور (اقتباس‌شده). 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لیکرت ۵‌درجه‌ای: ۱ = کاملاً مخالف … ۵ = کاملاً موافق.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توضیح: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اقتباس از پرسشنامهٔ جو اخلاقی ویکتور و کالن (۱۹۸۸) با سه بُعد توجه به دیگران، قواعد و قانون/آیین‌نامه و پیگیری امن نگرانی‌های اخلاقی؛ گویه‌ها بازنویسی و کوتاه شده‌اند.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۴. گویه‌های ECL</w:t>
      </w:r>
    </w:p>
    <w:tbl>
      <w:tblPr>
        <w:bidiVisual/>
        <w:tblW w:w="895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6000"/>
        <w:gridCol w:w="450"/>
        <w:gridCol w:w="450"/>
        <w:gridCol w:w="450"/>
        <w:gridCol w:w="450"/>
        <w:gridCol w:w="45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۲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ECL۱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در مؤسسهٔ ما همکاران به منافع یکدیگر و ذی‌نفعان توجه واقعی دارند.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ECL۲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در مؤسسهٔ ما از همه انتظار می‌رود پیش از هر چیز قوانین و استانداردهای حرفه‌ای را رعایت کنند.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ECL۳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اخلاقی مدیران ارشد مؤسسهٔ ما الگوی عملی برای دیگران است.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ECL۴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در مؤسسهٔ ما کسی که نگرانی اخلاقی مطرح می‌کند تنبیه نمی‌شود.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3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منابع این متغیر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Victor, B., &amp; Cullen, J. B. (1988). The organizational bases of ethical work climates.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Administrative Science Quarterly, 33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(1), 101–125. https://doi.org/10.2307/2392857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Kish-Gephart, J. J., Harrison, D. A., &amp; Treviño, L. K. (2010). Bad apples, bad cases, and bad barrels: Meta-analytic evidence about sources of unethical decisions at work.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Journal of Applied Psychology, 95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(1), 1–31. https://doi.org/10.1037/a0017103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وجدان حرفه‌ای (CON)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منشأ: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محقق‌ساخته (برگرفته از نظریه). 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لیکرت ۵‌درجه‌ای: ۱ = کاملاً مخالف … ۵ = کاملاً موافق.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توضیح: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سازه به درونی‌سازی ارزش‌های اخلاقی و حرفه‌ای (امانت‌داری، پاسخگویی در برابر وجدان و خداوند، تقدم نفع عمومی) اشاره دارد که در ادبیات اخلاق اسلامی در حسابداری (لوئیس؛ بیدون و ویلت) مطرح شده است؛ مقیاس استانداردی با این تعریف نیست و گویه‌ها محقق‌ساخته‌اند.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۵. گویه‌های CON</w:t>
      </w:r>
    </w:p>
    <w:tbl>
      <w:tblPr>
        <w:bidiVisual/>
        <w:tblW w:w="895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6000"/>
        <w:gridCol w:w="450"/>
        <w:gridCol w:w="450"/>
        <w:gridCol w:w="450"/>
        <w:gridCol w:w="450"/>
        <w:gridCol w:w="45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۲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CON۱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حفظ امانت‌داری در برابر استفاده‌کنندگان از گزارش را وظیفه‌ای وجدانی می‌دانم، حتی اگر کسی بر آن نظارت نکند.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CON۲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خود را در برابر وجدان و باورهای اخلاقی‌ام پاسخگوی نتایج کارم می‌دانم.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CON۳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نفع عمومی را بر آسایش شخصی و سازمانی مقدم می‌دارم.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CON۴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ارزش‌های اخلاقی‌ام در تصمیم‌های حرفه‌ای من نقش تعیین‌کننده دارد.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3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منابع این متغیر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Lewis, M. K. (2001). Islam and accounting.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Accounting Forum, 25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(2), 103–127. https://doi.org/10.1111/1468-5879.00007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Baydoun, N., &amp; Willett, R. (2000). Islamic corporate reports.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Abacus, 36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(1), 71–90. https://doi.org/10.1111/1467-6281.00055</w:t>
      </w:r>
    </w:p>
    <w:p>
      <w:pPr>
        <w:bidi/>
        <w:spacing w:before="0" w:after="4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مهدوی، غلامحسین؛ بهمنی، رضا و نمازی، نویدرضا (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[سال]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). نقش میانجی‌گری رفتار ناکارآمد حسابرس در تبیین رابطهٔ بین دین‌داری و تعهد حرفه‌ای با کیفیت حسابرسی. حسابداری ارزشی و رفتاری،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[دوره]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(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[شماره]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)،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[صفحات]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رفع تعهد اخلاقی (MD)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منشأ: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پژوهش‌محور (اقتباس‌شده). 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لیکرت ۵‌درجه‌ای: ۱ = کاملاً مخالف … ۵ = کاملاً موافق.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توضیح: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اقتباس از مقیاس گرایش به رفع تعهد اخلاقی مور و همکاران (۲۰۱۲) و دترت و همکاران (۲۰۰۸) برای پنج سازوکار توجیه اخلاقی، برچسب‌زنی تلطیف‌شده، مقایسهٔ سودمند، جابه‌جایی و پخش مسئولیت؛ گویه‌ها با بافت حسابرسی بازنویسی شده‌اند.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۶. گویه‌های MD</w:t>
      </w:r>
    </w:p>
    <w:tbl>
      <w:tblPr>
        <w:bidiVisual/>
        <w:tblW w:w="895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6000"/>
        <w:gridCol w:w="450"/>
        <w:gridCol w:w="450"/>
        <w:gridCol w:w="450"/>
        <w:gridCol w:w="450"/>
        <w:gridCol w:w="45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۲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MD۱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اگر هدف خوبی در میان باشد (مثل حفظ صاحبکار یا رعایت زمان‌بندی)، چشم‌پوشی از اشکال‌های کوچک را موجه می‌دانم.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MD۲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به برخی اشتباهات می‌توان نام «تفاوت سلیقه در برآورد» داد و آن‌ها را جدی نگرفت.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MD۳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در مقایسه با تخلف‌های بزرگی که در حرفه دیده می‌شود، بعضی انحرافات کوچک اهمیتی ندارد.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MD۴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اگر مدیر ارشد تصمیم بگیرد، مسئولیت پیامد با او است، نه با من.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MD۵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وقتی همهٔ اعضای تیم یک رویه را می‌پذیرند، مسئولیت فردی من برای مخالفت کمرنگ می‌شود.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3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منابع این متغیر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Bandura, A. (1999). Moral disengagement in the perpetration of inhumanities.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Personality and Social Psychology Review, 3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(3), 193–209. https://doi.org/10.1207/s15327957pspr0303_3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Moore, C., Detert, J. R., Klebe Treviño, L., Baker, V. L., &amp; Mayer, D. M. (2012). Why employees do bad things: Moral disengagement and unethical organizational behavior.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Personnel Psychology, 65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(1), 1–48. https://doi.org/10.1111/j.1744-6570.2011.01237.x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Detert, J. R., Treviño, L. K., &amp; Sweitzer, V. L. (2008). Moral disengagement in ethical decision making: A study of antecedents and outcomes.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Journal of Applied Psychology, 93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(2), 374–391. https://doi.org/10.1037/0021-9010.93.2.374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سکوت دربارهٔ تخلف کشف‌شده (SIL)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منشأ: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پژوهش‌محور (اقتباس‌شده). 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لیکرت ۵‌درجه‌ای: ۱ = کاملاً مخالف … ۵ = کاملاً موافق.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توضیح: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اقتباس از ابعاد سکوت تسلیم‌شده و سکوت دفاعی ون‌داین و همکاران (۲۰۰۳) و مفهوم سکوت سازمانی (موریسون و میلیکن، ۲۰۰۰) با بازنویسی برای وضعیت مشاهدهٔ ناهنجاری در مدارک صاحبکار. نمرهٔ بالاتر یعنی سکوت بیشتر.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Titr" w:eastAsia="Times New Roman"/>
          <w:b/>
          <w:bCs/>
          <w:sz w:val="20"/>
          <w:szCs w:val="20"/>
          <w:lang w:val="en-US" w:bidi="fa-IR"/>
        </w:rPr>
        <w:t xml:space="preserve">جدول ۷. گویه‌های SIL</w:t>
      </w:r>
    </w:p>
    <w:tbl>
      <w:tblPr>
        <w:bidiVisual/>
        <w:tblW w:w="895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6000"/>
        <w:gridCol w:w="450"/>
        <w:gridCol w:w="450"/>
        <w:gridCol w:w="450"/>
        <w:gridCol w:w="450"/>
        <w:gridCol w:w="45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</w:t>
            </w:r>
          </w:p>
        </w:tc>
        <w:tc>
          <w:tcPr>
            <w:tcW w:w="6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۱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۲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۳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۴</w:t>
            </w:r>
          </w:p>
        </w:tc>
        <w:tc>
          <w:tcPr>
            <w:tcW w:w="45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SIL۱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اگر ناهنجاری مشکوکی در مدارک صاحبکار ببینم، ترجیح می‌دهم موضوع را با سرپرست مطرح نکنم.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SIL۲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اگر نگران پیامدهای شخصی باشم، دربارهٔ یافتهٔ مشکوک سکوت می‌کنم.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SIL۳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معمولاً موضوعات حساس را در گزارش‌های کاری نمی‌آورم تا درگیری پیش نیاید.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SIL۴</w:t>
            </w:r>
          </w:p>
        </w:tc>
        <w:tc>
          <w:tcPr>
            <w:tcW w:w="6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فکر می‌کنم طرح مسئله تغییری ایجاد نمی‌کند، بنابراین ساکت می‌مانم.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SIL۵</w:t>
            </w:r>
          </w:p>
        </w:tc>
        <w:tc>
          <w:tcPr>
            <w:tcW w:w="6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برای حفظ موقعیت شغلی‌ام دربارهٔ اشکال‌های مشاهده‌شده سخن نمی‌گویم.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  <w:tc>
          <w:tcPr>
            <w:tcW w:w="45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○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3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منابع این متغیر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Morrison, E. W., &amp; Milliken, F. J. (2000). Organizational silence: A barrier to change and development in a pluralistic world.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Academy of Management Review, 25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(4), 706–725. https://doi.org/10.5465/amr.2000.3707697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Van Dyne, L., Ang, S., &amp; Botero, I. C. (2003). Conceptualizing employee silence and employee voice as multidimensional constructs.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Journal of Management Studies, 40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(6), 1359–1392. https://doi.org/10.1111/1467-6486.00384</w:t>
      </w:r>
    </w:p>
    <w:p>
      <w:pPr>
        <w:spacing w:before="0" w:after="40" w:line="240" w:lineRule="auto"/>
        <w:ind w:left="567" w:hanging="567"/>
        <w:jc w:val="left"/>
      </w:pP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Near, J. P., &amp; Miceli, M. P. (1985). Organizational dissidence: The case of whistle-blowing. </w:t>
      </w:r>
      <w:r>
        <w:rPr>
          <w:rFonts w:ascii="Times New Roman" w:hAnsi="Times New Roman" w:cs="Times New Roman" w:eastAsia="Times New Roman"/>
          <w:i/>
          <w:iCs/>
          <w:sz w:val="22"/>
          <w:szCs w:val="22"/>
          <w:lang w:val="en-US" w:bidi="fa-IR"/>
        </w:rPr>
        <w:t xml:space="preserve">Journal of Business Ethics, 4</w:t>
      </w:r>
      <w:r>
        <w:rPr>
          <w:rFonts w:ascii="Times New Roman" w:hAnsi="Times New Roman" w:cs="Times New Roman" w:eastAsia="Times New Roman"/>
          <w:sz w:val="22"/>
          <w:szCs w:val="22"/>
          <w:lang w:val="en-US" w:bidi="fa-IR"/>
        </w:rPr>
        <w:t xml:space="preserve">(1), 1–16. https://doi.org/10.1007/BF00382668</w:t>
      </w:r>
    </w:p>
    <w:p>
      <w:pPr>
        <w:bidi/>
        <w:spacing w:before="0" w:after="4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ابراهیمی،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[نام]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؛ صفری گرایلی،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[نام]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و ولیان،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[نام]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(۱۴۰۱). طراحی مدل علل تقویت‌کنندهٔ سکوت سازمانی حسابرسان داخلی. پژوهش‌های تجربی حسابداری،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[دوره]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(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[شماره]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)،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[صفحات]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پ) روایی، پایایی و نمره‌گذاری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روایی محتوا: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پنل ۱۰ تا ۱۲ خبره؛ CVR لاوشه (حداقل ۰٫۶۲ برای ۱۰ خبره) و CVI (سطح گویه ≥ ۰٫۷۸، سطح مقیاس ≥ ۰٫۹۰). مقیاس‌های محقق‌ساخته (فشار زمانی، وجدان حرفه‌ای) پیش از اجرای اصلی باید مطالعهٔ مقدماتی (۶۰ تا ۱۰۰ نفر) و تحلیل عاملی اکتشافی را بگذرانند؛ مقیاس‌های اقتباسی باید ترجمهٔ رفت‌وبرگشت شوند.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نمره‌گذاری: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 نمرهٔ ترکیبی ساخته نمی‌شود؛ هر گویه نشانگر متغیر پنهان خود است. در SIL و MD نمرهٔ بالاتر یعنی سکوت و رفع تعهد بیشتر.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اخلاق پژوهش: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رضایت آگاهانه، ناشناس‌بودن، امکان خروج در هر مرحله، و عدم ثبت هویت صاحبکاران.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