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Zar" w:eastAsia="Times New Roman"/>
          <w:b/>
          <w:bCs/>
          <w:sz w:val="24"/>
          <w:szCs w:val="24"/>
          <w:lang w:val="en-US" w:bidi="fa-IR"/>
        </w:rPr>
        <w:t xml:space="preserve">پرسشنامهٔ مقالهٔ سوم: استفاده از هوش مصنوعی مولد، توهم شایستگی و کیفیت تصمیم سرمایه‌گذاری</w:t>
      </w:r>
    </w:p>
    <w:p>
      <w:pPr>
        <w:bidi/>
        <w:spacing w:before="0" w:after="50" w:line="240" w:lineRule="auto"/>
        <w:jc w:val="both"/>
      </w:pPr>
      <w:r>
        <w:rPr>
          <w:rFonts w:ascii="Times New Roman" w:hAnsi="Times New Roman" w:cs="B Nazanin" w:eastAsia="Times New Roman"/>
          <w:b/>
          <w:bCs/>
          <w:sz w:val="24"/>
          <w:szCs w:val="24"/>
          <w:lang w:val="en-US" w:bidi="fa-IR"/>
        </w:rPr>
        <w:t xml:space="preserve">وضعیت.</w:t>
      </w:r>
      <w:r>
        <w:rPr>
          <w:rFonts w:ascii="Times New Roman" w:hAnsi="Times New Roman" w:cs="B Nazanin" w:eastAsia="Times New Roman"/>
          <w:sz w:val="24"/>
          <w:szCs w:val="24"/>
          <w:lang w:val="en-US" w:bidi="fa-IR"/>
        </w:rPr>
        <w:t xml:space="preserve"> پیش‌نویس ابزار برای پیمایش سرمایه‌گذاران حقیقی. هیچ‌یک از مقیاس‌های چندگویه‌ای زیر، به همین شکل، ابزار منتشرشدهٔ اعتبارسنجی‌شده نیست. هر متغیر به یکی از دسته‌های «پژوهش‌محور (اقتباس‌شده)»، «محقق‌ساخته (برگرفته از نظریه)» یا «ترکیبی» تعلق دارد و منابع هر متغیر در کنار آن آمده است. پیش از گردآوری دادهٔ واقعی پروتکل اعتبارسنجی بخش ۳ را اجرا کنید و DOIها را در Crossref بررسی کنید.</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۱) نمای کلی: منشأ هر مقیاس</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۱. متغیرها، نوع منشأ و منابع اصلی</w:t>
      </w:r>
    </w:p>
    <w:tbl>
      <w:tblPr>
        <w:bidiVisual/>
        <w:tblW w:w="9000" w:type="dxa"/>
        <w:jc w:val="center"/>
        <w:tblLayout w:type="fixed"/>
        <w:tblCellMar>
          <w:left w:w="60" w:type="dxa"/>
          <w:right w:w="60" w:type="dxa"/>
        </w:tblCellMar>
      </w:tblPr>
      <w:tblGrid>
        <w:gridCol w:w="700"/>
        <w:gridCol w:w="2300"/>
        <w:gridCol w:w="600"/>
        <w:gridCol w:w="2000"/>
        <w:gridCol w:w="3400"/>
      </w:tblGrid>
      <w:tr>
        <w:trPr>
          <w:tblHeader/>
        </w:trPr>
        <w:tc>
          <w:tcPr>
            <w:tcW w:w="7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کد</w:t>
            </w:r>
          </w:p>
        </w:tc>
        <w:tc>
          <w:tcPr>
            <w:tcW w:w="23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سازه</w:t>
            </w:r>
          </w:p>
        </w:tc>
        <w:tc>
          <w:tcPr>
            <w:tcW w:w="6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گویه</w:t>
            </w:r>
          </w:p>
        </w:tc>
        <w:tc>
          <w:tcPr>
            <w:tcW w:w="20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منشأ</w:t>
            </w:r>
          </w:p>
        </w:tc>
        <w:tc>
          <w:tcPr>
            <w:tcW w:w="34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0"/>
                <w:szCs w:val="20"/>
                <w:lang w:val="en-US" w:bidi="fa-IR"/>
              </w:rPr>
              <w:t xml:space="preserve">منابع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GUI</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استفادهٔ سرمایه‌گذاری از هوش مصنوعی مولد</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Venkatesh (۲۰۱۲)</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FK</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آزمون عینی دانش مالی ـ حسابداری (۸ سؤال)</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۸</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ترکیبی: بخشی اقتباس‌شده، بخشی محقق‌ساخته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Lusardi (۲۰۱۴); Van Rooij (۲۰۱۱)</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CG</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شکاف کالیبراسیون (بیش‌برآورد): نمرهٔ پیش‌بینی‌شده منهای نمرهٔ واقعی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۲</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پژوهش‌محور (اقتباس‌شده)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Kruger (۱۹۹۹); Moore (۲۰۰۸); Ehrlinger (۲۰۰۸)</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PCA</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شایستگی ادراک‌شده با کمک هوش مصنوعی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Moore (۲۰۰۸); Barber (۲۰۰۱); Grinblatt (۲۰۰۹); Glaser (۲۰۰۷)</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UR</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تکیهٔ بی‌چون‌وچرا بر خروجی هوش مصنوعی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Parasuraman (۲۰۱۰); Goddard (۲۰۱۲); Skitka (۱۹۹۹); Lee (۲۰۰۴); Jian (۲۰۰۰); Dietvorst (۲۰۱۵); Logg (۲۰۱۹)</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VER</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رفتار راستی‌آزمایی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Lee (۲۰۰۴); Hoff (۲۰۱۵); Pennycook (۲۰۱۹); Ji (۲۰۲۳)</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AIL</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سواد هوش مصنوعی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۶</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پژوهش‌محور (اقتباس‌شده)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Wang (۲۰۲۳); Ng (۲۰۲۱); Long (۲۰۲۰)</w:t>
            </w:r>
          </w:p>
        </w:tc>
      </w:tr>
      <w:tr>
        <w:trPr>
          <w:cantSplit/>
        </w:trPr>
        <w:tc>
          <w:tcPr>
            <w:tcW w:w="7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IDQ</w:t>
            </w:r>
          </w:p>
        </w:tc>
        <w:tc>
          <w:tcPr>
            <w:tcW w:w="23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کیفیت تصمیم سرمایه‌گذاری</w:t>
            </w:r>
          </w:p>
        </w:tc>
        <w:tc>
          <w:tcPr>
            <w:tcW w:w="6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۵</w:t>
            </w:r>
          </w:p>
        </w:tc>
        <w:tc>
          <w:tcPr>
            <w:tcW w:w="20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ترکیبی: بخشی اقتباس‌شده، بخشی محقق‌ساخته</w:t>
            </w:r>
          </w:p>
        </w:tc>
        <w:tc>
          <w:tcPr>
            <w:tcW w:w="3400" w:type="dxa"/>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Parker (۲۰۰۵); Bruine de Bruin (۲۰۰۷)</w:t>
            </w:r>
          </w:p>
        </w:tc>
      </w:tr>
      <w:tr>
        <w:trPr>
          <w:cantSplit/>
        </w:trPr>
        <w:tc>
          <w:tcPr>
            <w:tcW w:w="7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VIG</w:t>
            </w:r>
          </w:p>
        </w:tc>
        <w:tc>
          <w:tcPr>
            <w:tcW w:w="23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وینیت‌های توصیهٔ نادرست هوش مصنوعی (معیار رفتاری)</w:t>
            </w:r>
          </w:p>
        </w:tc>
        <w:tc>
          <w:tcPr>
            <w:tcW w:w="6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۴</w:t>
            </w:r>
          </w:p>
        </w:tc>
        <w:tc>
          <w:tcPr>
            <w:tcW w:w="20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محقق‌ساخته (برگرفته از نظریه)</w:t>
            </w:r>
          </w:p>
        </w:tc>
        <w:tc>
          <w:tcPr>
            <w:tcW w:w="34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0"/>
                <w:szCs w:val="20"/>
                <w:lang w:val="en-US" w:bidi="fa-IR"/>
              </w:rPr>
              <w:t xml:space="preserve">Dietvorst (۲۰۱۵); Logg (۲۰۱۹); D'Acunto (۲۰۱۹)</w:t>
            </w:r>
          </w:p>
        </w:tc>
      </w:tr>
    </w:tbl>
    <w:p>
      <w:pPr>
        <w:bidi/>
        <w:spacing w:before="0" w:after="100" w:line="240" w:lineRule="auto"/>
        <w:ind w:firstLine="360"/>
        <w:jc w:val="both"/>
      </w:pPr>
    </w:p>
    <w:p>
      <w:pPr>
        <w:bidi/>
        <w:spacing w:before="0" w:after="50" w:line="240" w:lineRule="auto"/>
        <w:jc w:val="both"/>
      </w:pPr>
      <w:r>
        <w:rPr>
          <w:rFonts w:ascii="Times New Roman" w:hAnsi="Times New Roman" w:cs="B Nazanin" w:eastAsia="Times New Roman"/>
          <w:b/>
          <w:bCs/>
          <w:sz w:val="24"/>
          <w:szCs w:val="24"/>
          <w:lang w:val="en-US" w:bidi="fa-IR"/>
        </w:rPr>
        <w:t xml:space="preserve">راهنما.</w:t>
      </w:r>
      <w:r>
        <w:rPr>
          <w:rFonts w:ascii="Times New Roman" w:hAnsi="Times New Roman" w:cs="B Nazanin" w:eastAsia="Times New Roman"/>
          <w:sz w:val="24"/>
          <w:szCs w:val="24"/>
          <w:lang w:val="en-US" w:bidi="fa-IR"/>
        </w:rPr>
        <w:t xml:space="preserve"> «پژوهش‌محور» یعنی سازه و منطق گویه‌ها از ابزار یا روش منتشرشده می‌آید و فقط بازنویسی/ترجمه/اختصار شده است. «محقق‌ساخته» یعنی مقیاس منتشرشدهٔ مناسبی وجود ندارد، گویه‌ها از نظریه نوشته شده‌اند و نیازمند اعتبارسنجی کامل‌اند. تمام گویه‌های لیکرت ۵‌درجه‌ای‌اند و هیچ نمرهٔ ترکیبی/میانگین گویه‌ها ساخته نمی‌شود؛ هر گویه به متغیر پنهان خود وصل است.</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 ابزار به تفکیک متغیر</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۲‑۱) استفادهٔ سرمایه‌گذاری از هوش مصنوعی مولد (GUI)</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۱ = never … ۵ = always.</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۲‑۱. گویه‌های GUI</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GUI۱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برای تحلیل سهام یا گزینه‌های سرمایه‌گذاری از ابزارهای هوش مصنوعی مولد (مانند ChatGPT، Gemini، Copilot، DeepSeek) استفاده می‌کنم.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GUI۲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هوش مصنوعی مولد بخش قابل‌توجهی از اطلاعاتی را که برای تصمیم‌های سرمایه‌گذاری لازم دارم فراهم می‌کند.</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GUI۳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پیش از خرید یا فروش یک سهم معمولاً نظر یک ابزار هوش مصنوعی مولد را می‌پرسم.</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GUI۴</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استفاده از هوش مصنوعی مولد بخشی از روال تحلیل سرمایه‌گذاری من شده است.</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Venkatesh, V., Thong, J. Y. L., &amp; Xu, X. (2012). Consumer acceptance and use of information technology: Extending the unified theory of acceptance and use of technology. MIS Quarterly, 36(1), 157–178. https://doi.org/10.2307/41410412</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۲‑۲) آزمون عینی دانش مالی ـ حسابداری (۸ سؤال) (FK)</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ترکیبی: بخشی اقتباس‌شده، بخشی محقق‌ساخته.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Multiple choice / true–false–don't know; correct = ۱.</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۲‑۲. گویه‌های FK</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سود سپرده ۲۰٪ و تورم ۳۵٪ سالانه است. پس از یک سال قدرت خرید سپرده: الف) بیشتر می‌شود ب) کمتر می‌شود* ج) ثابت می‌ماند د) نمی‌دانم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«خرید سهام یک شرکت معمولاً ریسک کمتری از خرید سبد متنوع دارد.» درست / نادرست* / نمی‌دانم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قیمت سهم ۲٬۰۰۰ و سود هر سهم ۲۰۰ است. P/E برابر است با: الف) ۰٫۱ ب) ۱۰* ج) ۲۰ د) ۴۰۰٬۰۰۰</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FK۴</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سود خالص ۵۰۰ میلیارد و ۵۰۰ میلیون سهم. EPS برابر است با: الف) ۱ ب) ۱۰۰ ج) ۱٬۰۰۰* د) ۱۰٬۰۰۰</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FK۵</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«سود حسابداری همیشه برابر جریان نقد عملیاتی است.» درست / نادرست*</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FK۶</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«اظهارنظر مقبول حسابرس تضمین‌کنندهٔ سودآوری آیندهٔ شرکت است.» درست / نادرست*</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FK۷</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«سرمایه‌گذاری با بازده مورد انتظار بالاتر معمولاً ریسک بیشتری دارد.» درست* / نادرست</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FK۸</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۱۰۰ میلیون با بازده ثابت ۱۰٪ سالانه پس از دو سال می‌شود: الف) ۱۱۰ ب) ۱۲۰ ج) ۱۲۱* د) ۱۰۰</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Lusardi, A., &amp; Mitchell, O. S. (2014). The economic importance of financial literacy: Theory and evidence. Journal of Economic Literature, 52(1), 5–44. https://doi.org/10.1257/jel.52.1.5</w:t>
      </w:r>
    </w:p>
    <w:p>
      <w:pPr>
        <w:spacing w:before="0" w:after="30" w:line="240" w:lineRule="auto"/>
        <w:jc w:val="left"/>
      </w:pPr>
      <w:r>
        <w:rPr>
          <w:rFonts w:ascii="Times New Roman" w:hAnsi="Times New Roman" w:cs="Times New Roman" w:eastAsia="Times New Roman"/>
          <w:sz w:val="24"/>
          <w:szCs w:val="24"/>
          <w:lang w:val="en-US" w:bidi="fa-IR"/>
        </w:rPr>
        <w:t xml:space="preserve">Van Rooij, M., Lusardi, A., &amp; Alessie, R. (2011). Financial literacy and stock market participation. Journal of Financial Economics, 101(2), 449–472. https://doi.org/10.1016/j.jfineco.2011.03.006</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۲‑۳) شکاف کالیبراسیون (بیش‌برآورد): نمرهٔ پیش‌بینی‌شده منهای نمرهٔ واقعی (CG)</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پژوهش‌محور (اقتباس‌شده).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C۱: ۰–۸ integer; C۲: rank ۱–۱۰۰.</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۲‑۳. گویه‌های CG</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C۱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فکر می‌کنید از ۸ سؤال بالا چند سؤال را درست پاسخ داده‌اید؟ (۰ تا ۸)</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C۲</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در مقایسه با ۱۰۰ سرمایه‌گذار فعال دیگر، رتبهٔ خود را از نظر دانش مالی چند می‌دانید؟ (۱ = پایین‌ترین، ۱۰۰ = بالاترین)</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Kruger, J., &amp; Dunning, D. (1999). Unskilled and unaware of it: How difficulties in recognizing one's own incompetence lead to inflated self-assessments. Journal of Personality and Social Psychology, 77(6), 1121–1134. https://doi.org/10.1037/0022-3514.77.6.1121</w:t>
      </w:r>
    </w:p>
    <w:p>
      <w:pPr>
        <w:spacing w:before="0" w:after="30" w:line="240" w:lineRule="auto"/>
        <w:jc w:val="left"/>
      </w:pPr>
      <w:r>
        <w:rPr>
          <w:rFonts w:ascii="Times New Roman" w:hAnsi="Times New Roman" w:cs="Times New Roman" w:eastAsia="Times New Roman"/>
          <w:sz w:val="24"/>
          <w:szCs w:val="24"/>
          <w:lang w:val="en-US" w:bidi="fa-IR"/>
        </w:rPr>
        <w:t xml:space="preserve">Moore, D. A., &amp; Healy, P. J. (2008). The trouble with overconfidence. Psychological Review, 115(2), 502–517. https://doi.org/10.1037/0033-295X.115.2.502</w:t>
      </w:r>
    </w:p>
    <w:p>
      <w:pPr>
        <w:spacing w:before="0" w:after="30" w:line="240" w:lineRule="auto"/>
        <w:jc w:val="left"/>
      </w:pPr>
      <w:r>
        <w:rPr>
          <w:rFonts w:ascii="Times New Roman" w:hAnsi="Times New Roman" w:cs="Times New Roman" w:eastAsia="Times New Roman"/>
          <w:sz w:val="24"/>
          <w:szCs w:val="24"/>
          <w:lang w:val="en-US" w:bidi="fa-IR"/>
        </w:rPr>
        <w:t xml:space="preserve">Ehrlinger, J., Johnson, K., Banner, M., Dunning, D., &amp; Kruger, J. (2008). Why the unskilled are unaware: Further explorations of (absent) self-insight among the incompetent. Organizational Behavior and Human Decision Processes, 105(1), 98–121. https://doi.org/10.1016/j.obhdp.2007.05.002</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۲‑۴) شایستگی ادراک‌شده با کمک هوش مصنوعی (PCA)</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۱ = strongly disagree … ۵ = strongly agree.</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۲‑۴. گویه‌های PCA</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PCA۱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با کمک هوش مصنوعی، تحلیل من از بازار سهام از اغلب سرمایه‌گذاران دیگر بهتر است.</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PCA۲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با هوش مصنوعی مطمئنم پیش‌بینی‌هایم دربارهٔ روند قیمت درست از آب درمی‌آید.</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PCA۳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با هوش مصنوعی احساس می‌کنم صورت‌های مالی را بهتر از قبل می‌فهمم.</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PCA۴</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با هوش مصنوعی دیگر به کمک زیاد متخصص مالی نیاز ندارم.</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Moore, D. A., &amp; Healy, P. J. (2008). The trouble with overconfidence. Psychological Review, 115(2), 502–517. https://doi.org/10.1037/0033-295X.115.2.502</w:t>
      </w:r>
    </w:p>
    <w:p>
      <w:pPr>
        <w:spacing w:before="0" w:after="30" w:line="240" w:lineRule="auto"/>
        <w:jc w:val="left"/>
      </w:pPr>
      <w:r>
        <w:rPr>
          <w:rFonts w:ascii="Times New Roman" w:hAnsi="Times New Roman" w:cs="Times New Roman" w:eastAsia="Times New Roman"/>
          <w:sz w:val="24"/>
          <w:szCs w:val="24"/>
          <w:lang w:val="en-US" w:bidi="fa-IR"/>
        </w:rPr>
        <w:t xml:space="preserve">Barber, B. M., &amp; Odean, T. (2001). Boys will be boys: Gender, overconfidence, and common stock investment. The Quarterly Journal of Economics, 116(1), 261–292. https://doi.org/10.1162/003355301556400</w:t>
      </w:r>
    </w:p>
    <w:p>
      <w:pPr>
        <w:spacing w:before="0" w:after="30" w:line="240" w:lineRule="auto"/>
        <w:jc w:val="left"/>
      </w:pPr>
      <w:r>
        <w:rPr>
          <w:rFonts w:ascii="Times New Roman" w:hAnsi="Times New Roman" w:cs="Times New Roman" w:eastAsia="Times New Roman"/>
          <w:sz w:val="24"/>
          <w:szCs w:val="24"/>
          <w:lang w:val="en-US" w:bidi="fa-IR"/>
        </w:rPr>
        <w:t xml:space="preserve">Grinblatt, M., &amp; Keloharju, M. (2009). Sensation seeking, overconfidence, and trading activity. The Journal of Finance, 64(2), 549–578. https://doi.org/10.1111/j.1540-6261.2009.01443.x</w:t>
      </w:r>
    </w:p>
    <w:p>
      <w:pPr>
        <w:spacing w:before="0" w:after="30" w:line="240" w:lineRule="auto"/>
        <w:jc w:val="left"/>
      </w:pPr>
      <w:r>
        <w:rPr>
          <w:rFonts w:ascii="Times New Roman" w:hAnsi="Times New Roman" w:cs="Times New Roman" w:eastAsia="Times New Roman"/>
          <w:sz w:val="24"/>
          <w:szCs w:val="24"/>
          <w:lang w:val="en-US" w:bidi="fa-IR"/>
        </w:rPr>
        <w:t xml:space="preserve">Glaser, M., &amp; Weber, M. (2007). Overconfidence and trading volume. The Geneva Risk and Insurance Review, 32(1), 1–36. https://doi.org/10.1007/s10713-007-0003-3</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۲‑۵) تکیهٔ بی‌چون‌وچرا بر خروجی هوش مصنوعی (UR)</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۱ = strongly disagree … ۵ = strongly agree.</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۲‑۵. گویه‌های UR</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UR۱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معمولاً پاسخ هوش مصنوعی را بدون بررسی دوباره می‌پذیرم.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UR۲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اگر نظر هوش مصنوعی با تحلیل خودم فرق کند، به هوش مصنوعی اعتماد می‌کنم.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UR۳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چون هوش مصنوعی خلاصه می‌کند، کمتر صورت‌های مالی را مستقیم می‌خوانم.</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UR۴</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پاسخ‌های روان و قاطع هوش مصنوعی را درست‌تر از پاسخ‌های مردد می‌دانم.</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Parasuraman, R., &amp; Manzey, D. H. (2010). Complacency and bias in human use of automation: An attentional integration. Human Factors, 52(3), 381–410. https://doi.org/10.1177/0018720810376055</w:t>
      </w:r>
    </w:p>
    <w:p>
      <w:pPr>
        <w:spacing w:before="0" w:after="30" w:line="240" w:lineRule="auto"/>
        <w:jc w:val="left"/>
      </w:pPr>
      <w:r>
        <w:rPr>
          <w:rFonts w:ascii="Times New Roman" w:hAnsi="Times New Roman" w:cs="Times New Roman" w:eastAsia="Times New Roman"/>
          <w:sz w:val="24"/>
          <w:szCs w:val="24"/>
          <w:lang w:val="en-US" w:bidi="fa-IR"/>
        </w:rPr>
        <w:t xml:space="preserve">Goddard, K., Roudsari, A., &amp; Wyatt, J. C. (2012). Automation bias: A systematic review of frequency, effect mediators, and mitigators. Journal of the American Medical Informatics Association, 19(1), 121–127. https://doi.org/10.1136/amiajnl-2011-000089</w:t>
      </w:r>
    </w:p>
    <w:p>
      <w:pPr>
        <w:spacing w:before="0" w:after="30" w:line="240" w:lineRule="auto"/>
        <w:jc w:val="left"/>
      </w:pPr>
      <w:r>
        <w:rPr>
          <w:rFonts w:ascii="Times New Roman" w:hAnsi="Times New Roman" w:cs="Times New Roman" w:eastAsia="Times New Roman"/>
          <w:sz w:val="24"/>
          <w:szCs w:val="24"/>
          <w:lang w:val="en-US" w:bidi="fa-IR"/>
        </w:rPr>
        <w:t xml:space="preserve">Skitka, L. J., Mosier, K. L., &amp; Burdick, M. (1999). Does automation bias decision-making? International Journal of Human-Computer Studies, 51(5), 991–1006. https://doi.org/10.1006/ijhc.1999.0252</w:t>
      </w:r>
    </w:p>
    <w:p>
      <w:pPr>
        <w:spacing w:before="0" w:after="30" w:line="240" w:lineRule="auto"/>
        <w:jc w:val="left"/>
      </w:pPr>
      <w:r>
        <w:rPr>
          <w:rFonts w:ascii="Times New Roman" w:hAnsi="Times New Roman" w:cs="Times New Roman" w:eastAsia="Times New Roman"/>
          <w:sz w:val="24"/>
          <w:szCs w:val="24"/>
          <w:lang w:val="en-US" w:bidi="fa-IR"/>
        </w:rPr>
        <w:t xml:space="preserve">Lee, J. D., &amp; See, K. A. (2004). Trust in automation: Designing for appropriate reliance. Human Factors, 46(1), 50–80. https://doi.org/10.1518/hfes.46.1.50_30392</w:t>
      </w:r>
    </w:p>
    <w:p>
      <w:pPr>
        <w:spacing w:before="0" w:after="30" w:line="240" w:lineRule="auto"/>
        <w:jc w:val="left"/>
      </w:pPr>
      <w:r>
        <w:rPr>
          <w:rFonts w:ascii="Times New Roman" w:hAnsi="Times New Roman" w:cs="Times New Roman" w:eastAsia="Times New Roman"/>
          <w:sz w:val="24"/>
          <w:szCs w:val="24"/>
          <w:lang w:val="en-US" w:bidi="fa-IR"/>
        </w:rPr>
        <w:t xml:space="preserve">Jian, J.-Y., Bisantz, A. M., &amp; Drury, C. G. (2000). Foundations for an empirically determined scale of trust in automated systems. International Journal of Cognitive Ergonomics, 4(1), 53–71. https://doi.org/10.1207/S15327566IJCE0401_04</w:t>
      </w:r>
    </w:p>
    <w:p>
      <w:pPr>
        <w:spacing w:before="0" w:after="30" w:line="240" w:lineRule="auto"/>
        <w:jc w:val="left"/>
      </w:pPr>
      <w:r>
        <w:rPr>
          <w:rFonts w:ascii="Times New Roman" w:hAnsi="Times New Roman" w:cs="Times New Roman" w:eastAsia="Times New Roman"/>
          <w:sz w:val="24"/>
          <w:szCs w:val="24"/>
          <w:lang w:val="en-US" w:bidi="fa-IR"/>
        </w:rPr>
        <w:t xml:space="preserve">Dietvorst, B. J., Simmons, J. P., &amp; Massey, C. (2015). Algorithm aversion: People erroneously avoid algorithms after seeing them err. Journal of Experimental Psychology: General, 144(1), 114–126. https://doi.org/10.1037/xge0000033</w:t>
      </w:r>
    </w:p>
    <w:p>
      <w:pPr>
        <w:spacing w:before="0" w:after="30" w:line="240" w:lineRule="auto"/>
        <w:jc w:val="left"/>
      </w:pPr>
      <w:r>
        <w:rPr>
          <w:rFonts w:ascii="Times New Roman" w:hAnsi="Times New Roman" w:cs="Times New Roman" w:eastAsia="Times New Roman"/>
          <w:sz w:val="24"/>
          <w:szCs w:val="24"/>
          <w:lang w:val="en-US" w:bidi="fa-IR"/>
        </w:rPr>
        <w:t xml:space="preserve">Logg, J. M., Minson, J. A., &amp; Moore, D. A. (2019). Algorithm appreciation: People prefer algorithmic to human judgment. Organizational Behavior and Human Decision Processes, 151, 90–103. https://doi.org/10.1016/j.obhdp.2018.12.005</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۲‑۶) رفتار راستی‌آزمایی (VER)</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۱ = never … ۵ = always.</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۲‑۶. گویه‌های VER</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VER۱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عددها و ادعاهای هوش مصنوعی را با گزارش‌های رسمی (کدال) یا صورت‌های مالی مقایسه می‌کنم.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VER۲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پاسخ هوش مصنوعی را با دست‌کم یک منبع مستقل دیگر تأیید می‌کنم.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VER۳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از ابزار منبع می‌خواهم و منبع را واقعاً بررسی می‌کنم.</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VER۴</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محاسبات مهم را خودم دوباره انجام می‌دهم.</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Lee, J. D., &amp; See, K. A. (2004). Trust in automation: Designing for appropriate reliance. Human Factors, 46(1), 50–80. https://doi.org/10.1518/hfes.46.1.50_30392</w:t>
      </w:r>
    </w:p>
    <w:p>
      <w:pPr>
        <w:spacing w:before="0" w:after="30" w:line="240" w:lineRule="auto"/>
        <w:jc w:val="left"/>
      </w:pPr>
      <w:r>
        <w:rPr>
          <w:rFonts w:ascii="Times New Roman" w:hAnsi="Times New Roman" w:cs="Times New Roman" w:eastAsia="Times New Roman"/>
          <w:sz w:val="24"/>
          <w:szCs w:val="24"/>
          <w:lang w:val="en-US" w:bidi="fa-IR"/>
        </w:rPr>
        <w:t xml:space="preserve">Hoff, K. A., &amp; Bashir, M. (2015). Trust in automation: Integrating empirical evidence on factors that influence trust. Human Factors, 57(3), 407–434. https://doi.org/10.1177/0018720814547570</w:t>
      </w:r>
    </w:p>
    <w:p>
      <w:pPr>
        <w:spacing w:before="0" w:after="30" w:line="240" w:lineRule="auto"/>
        <w:jc w:val="left"/>
      </w:pPr>
      <w:r>
        <w:rPr>
          <w:rFonts w:ascii="Times New Roman" w:hAnsi="Times New Roman" w:cs="Times New Roman" w:eastAsia="Times New Roman"/>
          <w:sz w:val="24"/>
          <w:szCs w:val="24"/>
          <w:lang w:val="en-US" w:bidi="fa-IR"/>
        </w:rPr>
        <w:t xml:space="preserve">Pennycook, G., &amp; Rand, D. G. (2019). Lazy, not biased: Susceptibility to partisan fake news is better explained by lack of reasoning than by motivated reasoning. Cognition, 188, 39–50. https://doi.org/10.1016/j.cognition.2018.06.011</w:t>
      </w:r>
    </w:p>
    <w:p>
      <w:pPr>
        <w:spacing w:before="0" w:after="30" w:line="240" w:lineRule="auto"/>
        <w:jc w:val="left"/>
      </w:pPr>
      <w:r>
        <w:rPr>
          <w:rFonts w:ascii="Times New Roman" w:hAnsi="Times New Roman" w:cs="Times New Roman" w:eastAsia="Times New Roman"/>
          <w:sz w:val="24"/>
          <w:szCs w:val="24"/>
          <w:lang w:val="en-US" w:bidi="fa-IR"/>
        </w:rPr>
        <w:t xml:space="preserve">Ji, Z., Lee, N., Frieske, R., Yu, T., Su, D., Xu, Y., Ishii, E., Bang, Y. J., Madotto, A., &amp; Fung, P. (2023). Survey of hallucination in natural language generation. ACM Computing Surveys, 55(12), Article 248. https://doi.org/10.1145/3571730</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۲‑۷) سواد هوش مصنوعی (AIL)</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پژوهش‌محور (اقتباس‌شده).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۱ = strongly disagree … ۵ = strongly agree.</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۲‑۷. گویه‌های AIL</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AIL۱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می‌دانم هوش مصنوعی مولد ممکن است اطلاعات نادرست اما قانع‌کننده تولید کند.</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AIL۲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می‌دانم این ابزارها با داده‌های تاریخ‌دار آموزش دیده‌اند و ممکن است از اطلاعات به‌روز بازار بی‌خبر باشند.</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AIL۳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می‌توانم پرسش را طوری بنویسم که پاسخ دقیق‌تری بگیرم.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AIL۴</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می‌توانم کیفیت پاسخ یک ابزار هوش مصنوعی را ارزیابی کنم.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AIL۵</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می‌دانم هوش مصنوعی ممکن است سوگیری داشته باشد یا از اطلاعات ناقص استفاده کند.</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AIL۶</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می‌دانم چه زمانی نباید برای یک تصمیم مالی به هوش مصنوعی تکیه کنم.</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Wang, B., Rau, P.-L. P., &amp; Yuan, T. (2023). Measuring user competence in using artificial intelligence: Validity and reliability of artificial intelligence literacy scale. Behaviour &amp; Information Technology, 42(9), 1324–1337. https://doi.org/10.1080/0144929X.2022.2072768</w:t>
      </w:r>
    </w:p>
    <w:p>
      <w:pPr>
        <w:spacing w:before="0" w:after="30" w:line="240" w:lineRule="auto"/>
        <w:jc w:val="left"/>
      </w:pPr>
      <w:r>
        <w:rPr>
          <w:rFonts w:ascii="Times New Roman" w:hAnsi="Times New Roman" w:cs="Times New Roman" w:eastAsia="Times New Roman"/>
          <w:sz w:val="24"/>
          <w:szCs w:val="24"/>
          <w:lang w:val="en-US" w:bidi="fa-IR"/>
        </w:rPr>
        <w:t xml:space="preserve">Ng, D. T. K., Leung, J. K. L., Chu, S. K. W., &amp; Qiao, M. S. (2021). Conceptualizing AI literacy: An exploratory review. Computers and Education: Artificial Intelligence, 2, 100041. https://doi.org/10.1016/j.caeai.2021.100041</w:t>
      </w:r>
    </w:p>
    <w:p>
      <w:pPr>
        <w:spacing w:before="0" w:after="30" w:line="240" w:lineRule="auto"/>
        <w:jc w:val="left"/>
      </w:pPr>
      <w:r>
        <w:rPr>
          <w:rFonts w:ascii="Times New Roman" w:hAnsi="Times New Roman" w:cs="Times New Roman" w:eastAsia="Times New Roman"/>
          <w:sz w:val="24"/>
          <w:szCs w:val="24"/>
          <w:lang w:val="en-US" w:bidi="fa-IR"/>
        </w:rPr>
        <w:t xml:space="preserve">Long, D., &amp; Magerko, B. (2020). What is AI literacy? Competencies and design considerations. Proceedings of the 2020 CHI Conference on Human Factors in Computing Systems (pp. 1–16). ACM. https://doi.org/10.1145/3313831.3376727</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۲‑۸) کیفیت تصمیم سرمایه‌گذاری (IDQ)</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ترکیبی: بخشی اقتباس‌شده، بخشی محقق‌ساخته.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۱ = strongly disagree … ۵ = strongly agree.</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۲‑۸. گویه‌های IDQ</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IDQ۱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تصمیم‌های سرمایه‌گذاری من معمولاً بر تحلیل مستند استوارند.</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IDQ۲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از نتیجهٔ تصمیم‌های سرمایه‌گذاری خود در یک سال گذشته رضایت دارم.</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IDQ۳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بازده سبد من در یک سال گذشته مطابق انتظارم بوده است.</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IDQ۴</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تصمیم‌های من با اهداف مالی بلندمدتم هم‌راستا هستند.</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IDQ۵</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به‌ندرت از تصمیم‌های معاملاتی خود پشیمان می‌شوم.</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Parker, A. M., &amp; Fischhoff, B. (2005). Decision-making competence: External validation through an individual-differences approach. Journal of Behavioral Decision Making, 18(1), 1–27. https://doi.org/10.1002/bdm.481</w:t>
      </w:r>
    </w:p>
    <w:p>
      <w:pPr>
        <w:spacing w:before="0" w:after="30" w:line="240" w:lineRule="auto"/>
        <w:jc w:val="left"/>
      </w:pPr>
      <w:r>
        <w:rPr>
          <w:rFonts w:ascii="Times New Roman" w:hAnsi="Times New Roman" w:cs="Times New Roman" w:eastAsia="Times New Roman"/>
          <w:sz w:val="24"/>
          <w:szCs w:val="24"/>
          <w:lang w:val="en-US" w:bidi="fa-IR"/>
        </w:rPr>
        <w:t xml:space="preserve">Bruine de Bruin, W., Parker, A. M., &amp; Fischhoff, B. (2007). Individual differences in adult decision-making competence. Journal of Personality and Social Psychology, 92(5), 938–956. https://doi.org/10.1037/0022-3514.92.5.938</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۲‑۹) وینیت‌های توصیهٔ نادرست هوش مصنوعی (معیار رفتاری) (VIG)</w:t>
      </w:r>
    </w:p>
    <w:p>
      <w:pPr>
        <w:bidi/>
        <w:spacing w:before="0" w:after="50" w:line="240" w:lineRule="auto"/>
        <w:jc w:val="both"/>
      </w:pPr>
      <w:r>
        <w:rPr>
          <w:rFonts w:ascii="Times New Roman" w:hAnsi="Times New Roman" w:cs="B Nazanin" w:eastAsia="Times New Roman"/>
          <w:b/>
          <w:bCs/>
          <w:sz w:val="24"/>
          <w:szCs w:val="24"/>
          <w:lang w:val="en-US" w:bidi="fa-IR"/>
        </w:rPr>
        <w:t xml:space="preserve">منشأ:</w:t>
      </w:r>
      <w:r>
        <w:rPr>
          <w:rFonts w:ascii="Times New Roman" w:hAnsi="Times New Roman" w:cs="B Nazanin" w:eastAsia="Times New Roman"/>
          <w:sz w:val="24"/>
          <w:szCs w:val="24"/>
          <w:lang w:val="en-US" w:bidi="fa-IR"/>
        </w:rPr>
        <w:t xml:space="preserve"> محقق‌ساخته (برگرفته از نظریه).  </w:t>
      </w:r>
      <w:r>
        <w:rPr>
          <w:rFonts w:ascii="Times New Roman" w:hAnsi="Times New Roman" w:cs="B Nazanin" w:eastAsia="Times New Roman"/>
          <w:b/>
          <w:bCs/>
          <w:sz w:val="24"/>
          <w:szCs w:val="24"/>
          <w:lang w:val="en-US" w:bidi="fa-IR"/>
        </w:rPr>
        <w:t xml:space="preserve">مقیاس پاسخ:</w:t>
      </w:r>
      <w:r>
        <w:rPr>
          <w:rFonts w:ascii="Times New Roman" w:hAnsi="Times New Roman" w:cs="B Nazanin" w:eastAsia="Times New Roman"/>
          <w:sz w:val="24"/>
          <w:szCs w:val="24"/>
          <w:lang w:val="en-US" w:bidi="fa-IR"/>
        </w:rPr>
        <w:t xml:space="preserve"> Accept / verify first / reject.</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۲‑۹. گویه‌های VIG</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گویه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هوش مصنوعی: «شرکت الف با قیمت ۱٬۰۰۰ و EPS برابر ۲۰۰، P/E برابر ۲۰ دارد؛ پس ارزان است.» (نادرست: P/E = ۵)</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هوش مصنوعی: «سود حسابداری بالا لزوماً جریان نقد قوی نیست؛ جریان نقد عملیاتی را هم ببینید.» (درست)</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هوش مصنوعی: «اظهارنظر مقبول حسابرس یعنی سهم در شش ماه آینده رشد می‌کند.» (نادرست)</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V۴</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هوش مصنوعی: «تنوع‌بخشی ریسک خاص شرکت را کم می‌کند اما ریسک سیستماتیک را حذف نمی‌کند.» (درست)</w:t>
            </w:r>
          </w:p>
        </w:tc>
      </w:tr>
    </w:tbl>
    <w:p>
      <w:pPr>
        <w:bidi/>
        <w:spacing w:before="0" w:after="100" w:line="240" w:lineRule="auto"/>
        <w:ind w:firstLine="360"/>
        <w:jc w:val="both"/>
      </w:pPr>
    </w:p>
    <w:p>
      <w:pPr>
        <w:bidi/>
        <w:spacing w:before="0" w:after="30" w:line="240" w:lineRule="auto"/>
        <w:jc w:val="both"/>
      </w:pPr>
      <w:r>
        <w:rPr>
          <w:rFonts w:ascii="Times New Roman" w:hAnsi="Times New Roman" w:cs="B Nazanin" w:eastAsia="Times New Roman"/>
          <w:b/>
          <w:bCs/>
          <w:sz w:val="24"/>
          <w:szCs w:val="24"/>
          <w:lang w:val="en-US" w:bidi="fa-IR"/>
        </w:rPr>
        <w:t xml:space="preserve">منابع این متغیر</w:t>
      </w:r>
    </w:p>
    <w:p>
      <w:pPr>
        <w:spacing w:before="0" w:after="30" w:line="240" w:lineRule="auto"/>
        <w:jc w:val="left"/>
      </w:pPr>
      <w:r>
        <w:rPr>
          <w:rFonts w:ascii="Times New Roman" w:hAnsi="Times New Roman" w:cs="Times New Roman" w:eastAsia="Times New Roman"/>
          <w:sz w:val="24"/>
          <w:szCs w:val="24"/>
          <w:lang w:val="en-US" w:bidi="fa-IR"/>
        </w:rPr>
        <w:t xml:space="preserve">Dietvorst, B. J., Simmons, J. P., &amp; Massey, C. (2015). Algorithm aversion: People erroneously avoid algorithms after seeing them err. Journal of Experimental Psychology: General, 144(1), 114–126. https://doi.org/10.1037/xge0000033</w:t>
      </w:r>
    </w:p>
    <w:p>
      <w:pPr>
        <w:spacing w:before="0" w:after="30" w:line="240" w:lineRule="auto"/>
        <w:jc w:val="left"/>
      </w:pPr>
      <w:r>
        <w:rPr>
          <w:rFonts w:ascii="Times New Roman" w:hAnsi="Times New Roman" w:cs="Times New Roman" w:eastAsia="Times New Roman"/>
          <w:sz w:val="24"/>
          <w:szCs w:val="24"/>
          <w:lang w:val="en-US" w:bidi="fa-IR"/>
        </w:rPr>
        <w:t xml:space="preserve">Logg, J. M., Minson, J. A., &amp; Moore, D. A. (2019). Algorithm appreciation: People prefer algorithmic to human judgment. Organizational Behavior and Human Decision Processes, 151, 90–103. https://doi.org/10.1016/j.obhdp.2018.12.005</w:t>
      </w:r>
    </w:p>
    <w:p>
      <w:pPr>
        <w:spacing w:before="0" w:after="30" w:line="240" w:lineRule="auto"/>
        <w:jc w:val="left"/>
      </w:pPr>
      <w:r>
        <w:rPr>
          <w:rFonts w:ascii="Times New Roman" w:hAnsi="Times New Roman" w:cs="Times New Roman" w:eastAsia="Times New Roman"/>
          <w:sz w:val="24"/>
          <w:szCs w:val="24"/>
          <w:lang w:val="en-US" w:bidi="fa-IR"/>
        </w:rPr>
        <w:t xml:space="preserve">D'Acunto, F., Prabhala, N., &amp; Rossi, A. G. (2019). The promises and pitfalls of robo-advising. The Review of Financial Studies, 32(5), 1983–2020. https://doi.org/10.1093/rfs/hhz014</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۲‑۱۰) پرسش‌های جمعیت‌شناختی</w:t>
      </w:r>
    </w:p>
    <w:p>
      <w:pPr>
        <w:keepNext/>
        <w:bidi/>
        <w:spacing w:before="120" w:after="60" w:line="240" w:lineRule="auto"/>
        <w:jc w:val="center"/>
      </w:pPr>
      <w:r>
        <w:rPr>
          <w:rFonts w:ascii="Times New Roman" w:hAnsi="Times New Roman" w:cs="B Zar" w:eastAsia="Times New Roman"/>
          <w:b/>
          <w:bCs/>
          <w:sz w:val="20"/>
          <w:szCs w:val="20"/>
          <w:lang w:val="en-US" w:bidi="fa-IR"/>
        </w:rPr>
        <w:t xml:space="preserve">جدول ۲‑۱۰. پرسش‌های جمعیت‌شناختی</w:t>
      </w:r>
    </w:p>
    <w:tbl>
      <w:tblPr>
        <w:bidiVisual/>
        <w:tblW w:w="9000" w:type="dxa"/>
        <w:jc w:val="center"/>
        <w:tblLayout w:type="fixed"/>
        <w:tblCellMar>
          <w:left w:w="60" w:type="dxa"/>
          <w:right w:w="60" w:type="dxa"/>
        </w:tblCellMar>
      </w:tblPr>
      <w:tblGrid>
        <w:gridCol w:w="900"/>
        <w:gridCol w:w="8100"/>
      </w:tblGrid>
      <w:tr>
        <w:trPr>
          <w:tblHeader/>
        </w:trPr>
        <w:tc>
          <w:tcPr>
            <w:tcW w:w="9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کد</w:t>
            </w:r>
          </w:p>
        </w:tc>
        <w:tc>
          <w:tcPr>
            <w:tcW w:w="8100" w:type="dxa"/>
            <w:tcBorders>
              <w:top w:val="single" w:sz="8" w:space="0" w:color="000000"/>
              <w:bottom w:val="single" w:sz="8" w:space="0" w:color="000000"/>
            </w:tcBorders>
            <w:vAlign w:val="center"/>
          </w:tcPr>
          <w:p>
            <w:pPr>
              <w:bidi/>
              <w:spacing w:before="40" w:after="40" w:line="240" w:lineRule="auto"/>
              <w:jc w:val="center"/>
            </w:pPr>
            <w:r>
              <w:rPr>
                <w:rFonts w:ascii="Times New Roman" w:hAnsi="Times New Roman" w:cs="B Nazanin" w:eastAsia="Times New Roman"/>
                <w:b/>
                <w:bCs/>
                <w:sz w:val="22"/>
                <w:szCs w:val="22"/>
                <w:lang w:val="en-US" w:bidi="fa-IR"/>
              </w:rPr>
              <w:t xml:space="preserve">پرسش</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D۱</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جنسیت</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D۲</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سن</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D۳</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تحصیلات</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D۴</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سابقهٔ معامله</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D۵</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ارزش تقریبی سبد</w:t>
            </w:r>
          </w:p>
        </w:tc>
      </w:tr>
      <w:tr>
        <w:trPr>
          <w:cantSplit/>
        </w:trPr>
        <w:tc>
          <w:tcPr>
            <w:tcW w:w="9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D۶</w:t>
            </w:r>
          </w:p>
        </w:tc>
        <w:tc>
          <w:tcPr>
            <w:tcW w:w="8100" w:type="dxa"/>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فراوانی استفاده از هوش مصنوعی مولد</w:t>
            </w:r>
          </w:p>
        </w:tc>
      </w:tr>
      <w:tr>
        <w:trPr>
          <w:cantSplit/>
        </w:trPr>
        <w:tc>
          <w:tcPr>
            <w:tcW w:w="9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D۷</w:t>
            </w:r>
          </w:p>
        </w:tc>
        <w:tc>
          <w:tcPr>
            <w:tcW w:w="8100" w:type="dxa"/>
            <w:tcBorders>
              <w:bottom w:val="single" w:sz="8" w:space="0" w:color="000000"/>
            </w:tcBorders>
            <w:vAlign w:val="center"/>
          </w:tcPr>
          <w:p>
            <w:pPr>
              <w:bidi/>
              <w:spacing w:before="40" w:after="40" w:line="240" w:lineRule="auto"/>
              <w:jc w:val="center"/>
            </w:pPr>
            <w:r>
              <w:rPr>
                <w:rFonts w:ascii="Times New Roman" w:hAnsi="Times New Roman" w:cs="B Nazanin" w:eastAsia="Times New Roman"/>
                <w:sz w:val="22"/>
                <w:szCs w:val="22"/>
                <w:lang w:val="en-US" w:bidi="fa-IR"/>
              </w:rPr>
              <w:t xml:space="preserve">کاربردها (چندگزینه‌ای)</w:t>
            </w:r>
          </w:p>
        </w:tc>
      </w:tr>
    </w:tbl>
    <w:p>
      <w:pPr>
        <w:bidi/>
        <w:spacing w:before="0" w:after="100" w:line="240" w:lineRule="auto"/>
        <w:ind w:firstLine="360"/>
        <w:jc w:val="both"/>
      </w:pPr>
    </w:p>
    <w:p>
      <w:pPr>
        <w:keepNext/>
        <w:bidi/>
        <w:spacing w:before="110" w:after="50" w:line="240" w:lineRule="auto"/>
        <w:jc w:val="left"/>
      </w:pPr>
      <w:r>
        <w:rPr>
          <w:rFonts w:ascii="Times New Roman" w:hAnsi="Times New Roman" w:cs="B Nazanin" w:eastAsia="Times New Roman"/>
          <w:b/>
          <w:bCs/>
          <w:sz w:val="24"/>
          <w:szCs w:val="24"/>
          <w:lang w:val="en-US" w:bidi="fa-IR"/>
        </w:rPr>
        <w:t xml:space="preserve">۳) پروتکل اعتبارسنجی پیش از گردآوری داده</w:t>
      </w:r>
    </w:p>
    <w:p>
      <w:pPr>
        <w:bidi/>
        <w:spacing w:before="0" w:after="50" w:line="240" w:lineRule="auto"/>
        <w:jc w:val="both"/>
      </w:pPr>
      <w:r>
        <w:rPr>
          <w:rFonts w:ascii="Times New Roman" w:hAnsi="Times New Roman" w:cs="B Nazanin" w:eastAsia="Times New Roman"/>
          <w:b/>
          <w:bCs/>
          <w:sz w:val="24"/>
          <w:szCs w:val="24"/>
          <w:lang w:val="en-US" w:bidi="fa-IR"/>
        </w:rPr>
        <w:t xml:space="preserve">روایی محتوا:</w:t>
      </w:r>
      <w:r>
        <w:rPr>
          <w:rFonts w:ascii="Times New Roman" w:hAnsi="Times New Roman" w:cs="B Nazanin" w:eastAsia="Times New Roman"/>
          <w:sz w:val="24"/>
          <w:szCs w:val="24"/>
          <w:lang w:val="en-US" w:bidi="fa-IR"/>
        </w:rPr>
        <w:t xml:space="preserve"> پنل ۱۰ تا ۱۲ خبره؛ CVR لاوشه (حداقل ۰٫۶۲ برای ۱۰ خبره) و CVI سطح گویه (≥ ۰٫۷۸) و سطح مقیاس (≥ ۰٫۹۰).</w:t>
      </w:r>
    </w:p>
    <w:p>
      <w:pPr>
        <w:bidi/>
        <w:spacing w:before="0" w:after="50" w:line="240" w:lineRule="auto"/>
        <w:jc w:val="both"/>
      </w:pPr>
      <w:r>
        <w:rPr>
          <w:rFonts w:ascii="Times New Roman" w:hAnsi="Times New Roman" w:cs="B Nazanin" w:eastAsia="Times New Roman"/>
          <w:b/>
          <w:bCs/>
          <w:sz w:val="24"/>
          <w:szCs w:val="24"/>
          <w:lang w:val="en-US" w:bidi="fa-IR"/>
        </w:rPr>
        <w:t xml:space="preserve">ترجمه:</w:t>
      </w:r>
      <w:r>
        <w:rPr>
          <w:rFonts w:ascii="Times New Roman" w:hAnsi="Times New Roman" w:cs="B Nazanin" w:eastAsia="Times New Roman"/>
          <w:sz w:val="24"/>
          <w:szCs w:val="24"/>
          <w:lang w:val="en-US" w:bidi="fa-IR"/>
        </w:rPr>
        <w:t xml:space="preserve"> ترجمهٔ رفت‌وبرگشت (Brislin, ۱۹۷۰) برای گویه‌هایی که در دو زبان گزارش می‌شوند.</w:t>
      </w:r>
    </w:p>
    <w:p>
      <w:pPr>
        <w:bidi/>
        <w:spacing w:before="0" w:after="50" w:line="240" w:lineRule="auto"/>
        <w:jc w:val="both"/>
      </w:pPr>
      <w:r>
        <w:rPr>
          <w:rFonts w:ascii="Times New Roman" w:hAnsi="Times New Roman" w:cs="B Nazanin" w:eastAsia="Times New Roman"/>
          <w:b/>
          <w:bCs/>
          <w:sz w:val="24"/>
          <w:szCs w:val="24"/>
          <w:lang w:val="en-US" w:bidi="fa-IR"/>
        </w:rPr>
        <w:t xml:space="preserve">پیش‌آزمون و مطالعهٔ مقدماتی:</w:t>
      </w:r>
      <w:r>
        <w:rPr>
          <w:rFonts w:ascii="Times New Roman" w:hAnsi="Times New Roman" w:cs="B Nazanin" w:eastAsia="Times New Roman"/>
          <w:sz w:val="24"/>
          <w:szCs w:val="24"/>
          <w:lang w:val="en-US" w:bidi="fa-IR"/>
        </w:rPr>
        <w:t xml:space="preserve"> ۸ تا ۱۰ مصاحبهٔ شناختی و سپس ۶۰ تا ۱۰۰ سرمایه‌گذار: توزیع گویه‌ها، همبستگی گویه‑کل، آلفا/امگا، تحلیل عاملی اکتشافی با تحلیل موازی؛ دشواری و تمایز سؤالات آزمون دانش (KR‑۲۰).</w:t>
      </w:r>
    </w:p>
    <w:p>
      <w:pPr>
        <w:bidi/>
        <w:spacing w:before="0" w:after="50" w:line="240" w:lineRule="auto"/>
        <w:jc w:val="both"/>
      </w:pPr>
      <w:r>
        <w:rPr>
          <w:rFonts w:ascii="Times New Roman" w:hAnsi="Times New Roman" w:cs="B Nazanin" w:eastAsia="Times New Roman"/>
          <w:b/>
          <w:bCs/>
          <w:sz w:val="24"/>
          <w:szCs w:val="24"/>
          <w:lang w:val="en-US" w:bidi="fa-IR"/>
        </w:rPr>
        <w:t xml:space="preserve">مطالعهٔ اصلی:</w:t>
      </w:r>
      <w:r>
        <w:rPr>
          <w:rFonts w:ascii="Times New Roman" w:hAnsi="Times New Roman" w:cs="B Nazanin" w:eastAsia="Times New Roman"/>
          <w:sz w:val="24"/>
          <w:szCs w:val="24"/>
          <w:lang w:val="en-US" w:bidi="fa-IR"/>
        </w:rPr>
        <w:t xml:space="preserve"> CFA، شاخص‌های برازش به‌صورت توأمان، CR/AVE، HTMT &lt; ۰٫۸۵ و بررسی سوگیری روش مشترک؛ پیش‌بینی نمره پیش از دریافت هرگونه بازخورد انجام شود.</w:t>
      </w:r>
    </w:p>
    <w:p>
      <w:pPr>
        <w:bidi/>
        <w:spacing w:before="0" w:after="50" w:line="240" w:lineRule="auto"/>
        <w:jc w:val="both"/>
      </w:pPr>
      <w:r>
        <w:rPr>
          <w:rFonts w:ascii="Times New Roman" w:hAnsi="Times New Roman" w:cs="B Nazanin" w:eastAsia="Times New Roman"/>
          <w:b/>
          <w:bCs/>
          <w:sz w:val="24"/>
          <w:szCs w:val="24"/>
          <w:lang w:val="en-US" w:bidi="fa-IR"/>
        </w:rPr>
        <w:t xml:space="preserve">تمهیدات رویه‌ای:</w:t>
      </w:r>
      <w:r>
        <w:rPr>
          <w:rFonts w:ascii="Times New Roman" w:hAnsi="Times New Roman" w:cs="B Nazanin" w:eastAsia="Times New Roman"/>
          <w:sz w:val="24"/>
          <w:szCs w:val="24"/>
          <w:lang w:val="en-US" w:bidi="fa-IR"/>
        </w:rPr>
        <w:t xml:space="preserve"> آزمون عینی پیش از مقیاس‌های نگرشی، تصادفی‌سازی ترتیب گویه‌ها در بلوک، سؤال توجه و ثبت زمان تکمیل.</w:t>
      </w:r>
    </w:p>
    <w:p>
      <w:pPr>
        <w:keepNext/>
        <w:bidi/>
        <w:spacing w:before="110" w:after="50" w:line="240" w:lineRule="auto"/>
        <w:jc w:val="left"/>
      </w:pPr>
      <w:r>
        <w:rPr>
          <w:rFonts w:ascii="Times New Roman" w:hAnsi="Times New Roman" w:cs="B Nazanin" w:eastAsia="Times New Roman"/>
          <w:b/>
          <w:bCs/>
          <w:sz w:val="24"/>
          <w:szCs w:val="24"/>
          <w:lang w:val="en-US" w:bidi="fa-IR"/>
        </w:rPr>
        <w:t xml:space="preserve">۴) نمره‌گذاری</w:t>
      </w:r>
    </w:p>
    <w:p>
      <w:pPr>
        <w:bidi/>
        <w:spacing w:before="0" w:after="50" w:line="240" w:lineRule="auto"/>
        <w:jc w:val="both"/>
      </w:pPr>
      <w:r>
        <w:rPr>
          <w:rFonts w:ascii="Times New Roman" w:hAnsi="Times New Roman" w:cs="B Nazanin" w:eastAsia="Times New Roman"/>
          <w:sz w:val="24"/>
          <w:szCs w:val="24"/>
          <w:lang w:val="en-US" w:bidi="fa-IR"/>
        </w:rPr>
        <w:t xml:space="preserve">سازه‌های پنهان (GUI، PCA، UR، VER، AIL، IDQ): هیچ نمرهٔ ترکیبی ساخته نمی‌شود؛ هر گویه نشانگر متغیر پنهان خود است.</w:t>
      </w:r>
    </w:p>
    <w:p>
      <w:pPr>
        <w:bidi/>
        <w:spacing w:before="0" w:after="50" w:line="240" w:lineRule="auto"/>
        <w:jc w:val="both"/>
      </w:pPr>
      <w:r>
        <w:rPr>
          <w:rFonts w:ascii="Times New Roman" w:hAnsi="Times New Roman" w:cs="B Nazanin" w:eastAsia="Times New Roman"/>
          <w:sz w:val="24"/>
          <w:szCs w:val="24"/>
          <w:lang w:val="en-US" w:bidi="fa-IR"/>
        </w:rPr>
        <w:t xml:space="preserve">آزمون دانش: مجموع پاسخ‌های درست (۰ تا ۸)؛ نمرهٔ استاندارد FKz در مدل به‌عنوان تعدیل‌گر وارد می‌شود و KR‑۲۰ گزارش می‌شود.</w:t>
      </w:r>
    </w:p>
    <w:p>
      <w:pPr>
        <w:bidi/>
        <w:spacing w:before="0" w:after="50" w:line="240" w:lineRule="auto"/>
        <w:jc w:val="both"/>
      </w:pPr>
      <w:r>
        <w:rPr>
          <w:rFonts w:ascii="Times New Roman" w:hAnsi="Times New Roman" w:cs="B Nazanin" w:eastAsia="Times New Roman"/>
          <w:sz w:val="24"/>
          <w:szCs w:val="24"/>
          <w:lang w:val="en-US" w:bidi="fa-IR"/>
        </w:rPr>
        <w:t xml:space="preserve">شکاف کالیبراسیون: CG = C۱ − نمرهٔ آزمون (مثبت = بیش‌برآورد)؛ بیش‌جایگذاری CP = C۲ − رتبهٔ واقعی. در مدل، CG استاندارد (CGz) و به‌عنوان میانجی دوم «توهم» کنار PCA قرار می‌گیرد.</w:t>
      </w:r>
    </w:p>
    <w:p>
      <w:pPr>
        <w:bidi/>
        <w:spacing w:before="0" w:after="50" w:line="240" w:lineRule="auto"/>
        <w:jc w:val="both"/>
      </w:pPr>
      <w:r>
        <w:rPr>
          <w:rFonts w:ascii="Times New Roman" w:hAnsi="Times New Roman" w:cs="B Nazanin" w:eastAsia="Times New Roman"/>
          <w:sz w:val="24"/>
          <w:szCs w:val="24"/>
          <w:lang w:val="en-US" w:bidi="fa-IR"/>
        </w:rPr>
        <w:t xml:space="preserve">خطای وینیت VIGERR = تعداد گزاره‌های نادرست (V۱ و V۳) که پذیرفته می‌شود (۰ تا ۲).</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Nazanin"/>
        <w:sz w:val="24"/>
        <w:szCs w:val="24"/>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