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160" w:line="276" w:lineRule="auto"/>
        <w:jc w:val="center"/>
      </w:pPr>
      <w:r>
        <w:rPr>
          <w:rFonts w:ascii="Times New Roman" w:hAnsi="Times New Roman" w:cs="Times New Roman" w:eastAsia="Times New Roman"/>
          <w:b/>
          <w:bCs/>
          <w:sz w:val="32"/>
          <w:szCs w:val="32"/>
          <w:lang w:val="en-US" w:bidi="fa-IR"/>
        </w:rPr>
        <w:t xml:space="preserve">Form or Substance? Institutional Pressures and Accountability in Public-Sector Financial Reforms</w:t>
      </w:r>
    </w:p>
    <w:p>
      <w:pPr>
        <w:spacing w:before="0" w:after="100" w:line="276" w:lineRule="auto"/>
        <w:jc w:val="center"/>
      </w:pPr>
      <w:r>
        <w:rPr>
          <w:rFonts w:ascii="Times New Roman" w:hAnsi="Times New Roman" w:cs="Times New Roman" w:eastAsia="Times New Roman"/>
          <w:b/>
          <w:bCs/>
          <w:sz w:val="26"/>
          <w:szCs w:val="26"/>
          <w:lang w:val="en-US" w:bidi="fa-IR"/>
        </w:rPr>
        <w:t xml:space="preserve">Extended Abstract</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Background and problem</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Performance-based budgeting and accrual accounting have been promoted in many countries through legislation and standards, yet evidence points to a gap between formal adoption and real use. Iranian studies likewise report partial implementation and legal, structural and technological obstacles. Institutional theory suggests that organisations adopt structures to gain legitimacy even when those structures are decoupled from day-to-day technical activity. The problem addressed here is how institutional pressures push executive agencies towards substantive implementation or symbolic compliance, and what each response means for financial accountability.</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Objectives and research questions</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study tests a model in which three institutional pressures (coercive, normative, mimetic) shape two organisational responses (substantive implementation, symbolic compliance); these affect the perceived usefulness of reported information and, through it, financial accountability, while financial information-system maturity conditions two paths. Questions: What does each pressure do to each response? How does usefulness of information link the responses to accountability? What role does system maturity play?</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Theoretical framework</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framework integrates institutional isomorphism, decoupling and ceremonial adoption, the literature on performance-information use, the accountability framework of information, justification and consequences, and the information-systems success model. The core argument is that institutional pressure is not a single cause with a single effect: coercion makes behaviour visible and may encourage both real implementation and display; professional norms internalise implementation; imitation breeds templates. Information usefulness is the bridge from implementation to accountability, and a mature system with auditable trails raises the cost of ceremonial behaviour. Thirteen hypotheses were derived.</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Method</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study is applied and survey-based. A 34-item questionnaire (eight constructs, five-point Likert) was administered to 336 financial managers, comptrollers, budget experts and accountants of executive agencies. Analysis used covariance-based structural equation modelling with fully latent variables (no item sums or means), latent interactions built from matched-pair product indicators, a 2,000-draw bootstrap for indirect and conditional indirect effects, and comparison of five competing models. Robustness was assessed with DWLS estimation, residual-centred indicators, a respecified model, outlier trimming and an experienced-respondent subsample.</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Findings</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measurement model fitted well (CFI = 0.990; RMSEA = 0.017; composite reliability 0.81–0.87; maximum HTMT = 0.52). Coercive pressure raised both substantive implementation (β = 0.32) and symbolic compliance (β = 0.38); normative pressure strengthened the former (β = 0.37) and weakened the latter (β = -0.22); mimetic pressure raised symbolic compliance (β = 0.33) without a significant effect on substantive implementation. Substantive implementation increased usefulness (β = 0.35) and accountability (β = 0.28); symbolic compliance reduced both (β = -0.22; -0.17); usefulness improved accountability (β = 0.36). System maturity strengthened the usefulness effect of substantive implementation (β = 0.16) and weakened the link between coercive pressure and symbolic compliance (β = -0.25). The total indirect effect of normative pressure was positive (estimate = 0.21, 95% CI [0.13, 0.30]), whereas that of coercive pressure was small (0.03) because its constructive and ceremonial routes largely offset each other. Adding direct paths from pressures to accountability did not improve fit, supporting full mediation. Results were stable across all robustness checks.</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Conclusions and implications</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effect of financial reforms depends less on the intensity of legal mandates than on the type of organisational response and the information infrastructure that makes it visible and usable. Strengthening professional norms, monitoring the use rather than the submission of reports, investing in integrated, real-time and auditable systems, and avoiding template imitation without localisation are the main recommendations. The study extends institutional analysis from adoption versus non-adoption to the quality of adoption.</w:t>
      </w:r>
    </w:p>
    <w:p>
      <w:pPr>
        <w:keepNext/>
        <w:spacing w:before="100" w:after="30" w:line="276" w:lineRule="auto"/>
        <w:jc w:val="left"/>
      </w:pPr>
      <w:r>
        <w:rPr>
          <w:rFonts w:ascii="Times New Roman" w:hAnsi="Times New Roman" w:cs="Times New Roman" w:eastAsia="Times New Roman"/>
          <w:b/>
          <w:bCs/>
          <w:sz w:val="24"/>
          <w:szCs w:val="24"/>
          <w:lang w:val="en-US" w:bidi="fa-IR"/>
        </w:rPr>
        <w:t xml:space="preserve">Limitations and future research</w:t>
      </w:r>
    </w:p>
    <w:p>
      <w:pPr>
        <w:spacing w:before="0" w:after="60" w:line="276" w:lineRule="auto"/>
        <w:ind w:firstLine="425"/>
        <w:jc w:val="both"/>
      </w:pPr>
      <w:r>
        <w:rPr>
          <w:rFonts w:ascii="Times New Roman" w:hAnsi="Times New Roman" w:cs="Times New Roman" w:eastAsia="Times New Roman"/>
          <w:sz w:val="24"/>
          <w:szCs w:val="24"/>
          <w:lang w:val="en-US" w:bidi="fa-IR"/>
        </w:rPr>
        <w:t xml:space="preserve">The cross-sectional, self-reported design, the newness of some scales and possible differences across agency types limit inference. Objective data (budget variance, performance-audit results), longitudinal and multi-source designs and cross-group measurement invariance are recommended.</w:t>
      </w:r>
    </w:p>
    <w:p>
      <w:pPr>
        <w:spacing w:before="80" w:after="80" w:line="276" w:lineRule="auto"/>
        <w:jc w:val="both"/>
      </w:pPr>
      <w:r>
        <w:rPr>
          <w:rFonts w:ascii="Times New Roman" w:hAnsi="Times New Roman" w:cs="Times New Roman" w:eastAsia="Times New Roman"/>
          <w:b/>
          <w:bCs/>
          <w:sz w:val="24"/>
          <w:szCs w:val="24"/>
          <w:lang w:val="en-US" w:bidi="fa-IR"/>
        </w:rPr>
        <w:t xml:space="preserve">Keywords:</w:t>
      </w:r>
      <w:r>
        <w:rPr>
          <w:rFonts w:ascii="Times New Roman" w:hAnsi="Times New Roman" w:cs="Times New Roman" w:eastAsia="Times New Roman"/>
          <w:sz w:val="24"/>
          <w:szCs w:val="24"/>
          <w:lang w:val="en-US" w:bidi="fa-IR"/>
        </w:rPr>
        <w:t xml:space="preserve"> Financial accountability; information system maturity; institutional pressures; substantive implementation; symbolic compliance</w:t>
      </w:r>
    </w:p>
    <w:sectPr>
      <w:footerReference w:type="default" r:id="rIdFooter"/>
      <w:pgSz w:w="11906" w:h="16838"/>
      <w:pgMar w:top="1417" w:right="1417" w:bottom="1417" w:left="1417"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Times New Roman"/>
        <w:sz w:val="24"/>
        <w:szCs w:val="24"/>
        <w:lang w:val="en-US" w:bidi="fa-IR"/>
      </w:rPr>
    </w:rPrDefault>
    <w:pPrDefault>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Extended Abstract</dc:title>
  <dc:language>en-US</dc:language>
</cp:coreProperties>
</file>