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these additions the questionnaire has about 135 items and takes 22–25 minutes, which is long for auditors in peak season. If the pilot shows more than 20 minutes, cut in this order: (1) continuance commitment, occupation and organization (12 items); (2) moral-identity symbolization (5); (3) intent to remain (3); (4) leader coaching (3). Keep affective and normative commitment, since Tsunogaya found these two reduce DAB.</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2026-10-08T17:46:11.676Z</dcterms:created>
  <dcterms:modified xsi:type="dcterms:W3CDTF">2026-10-08T17:46:11.676Z</dcterms:modified>
</cp:coreProperties>
</file>

<file path=docProps/custom.xml><?xml version="1.0" encoding="utf-8"?>
<Properties xmlns="http://schemas.openxmlformats.org/officeDocument/2006/custom-properties" xmlns:vt="http://schemas.openxmlformats.org/officeDocument/2006/docPropsVTypes"/>
</file>