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F3864"/>
          <w:sz w:val="38"/>
        </w:rPr>
        <w:t>Theoretical Background, Conceptual Model and Hypotheses</w:t>
      </w:r>
    </w:p>
    <w:p>
      <w:pPr>
        <w:spacing w:after="100"/>
        <w:jc w:val="center"/>
      </w:pPr>
      <w:r>
        <w:rPr>
          <w:b/>
          <w:i w:val="0"/>
          <w:sz w:val="24"/>
        </w:rPr>
        <w:t>Cyber Risk Assessment by Auditors in Iran: The Audited-Entity and Auditor Perspectives</w:t>
      </w:r>
    </w:p>
    <w:p>
      <w:pPr>
        <w:spacing w:after="200"/>
        <w:jc w:val="center"/>
      </w:pPr>
      <w:r>
        <w:rPr>
          <w:b w:val="0"/>
          <w:i w:val="0"/>
          <w:color w:val="C00000"/>
          <w:sz w:val="18"/>
        </w:rPr>
        <w:t>Draft – citations are drawn only from the reference list at the end of this document</w:t>
      </w:r>
    </w:p>
    <w:tbl>
      <w:tblPr>
        <w:tblStyle w:val="TableGrid"/>
        <w:tblW w:type="auto" w:w="0"/>
        <w:tblLook w:firstColumn="1" w:firstRow="1" w:lastColumn="0" w:lastRow="0" w:noHBand="0" w:noVBand="1" w:val="04A0"/>
      </w:tblPr>
      <w:tblGrid>
        <w:gridCol w:w="9746"/>
      </w:tblGrid>
      <w:tr>
        <w:tc>
          <w:tcPr>
            <w:tcW w:type="dxa" w:w="9746"/>
            <w:shd w:val="clear" w:color="auto" w:fill="FFF2CC"/>
          </w:tcPr>
          <w:p>
            <w:pPr>
              <w:jc w:val="both"/>
            </w:pPr>
            <w:r/>
            <w:r>
              <w:rPr>
                <w:b/>
                <w:sz w:val="21"/>
              </w:rPr>
              <w:t>Source verification status (summary)</w:t>
            </w:r>
          </w:p>
          <w:p>
            <w:pPr>
              <w:jc w:val="both"/>
            </w:pPr>
            <w:r>
              <w:rPr>
                <w:sz w:val="19"/>
              </w:rPr>
              <w:t>• The sources from your material that appear in this document were checked by web search, and their title, journal and year were confirmed. The remaining sources in your material were not checked and are not used here.</w:t>
            </w:r>
          </w:p>
          <w:p>
            <w:pPr>
              <w:jc w:val="both"/>
            </w:pPr>
            <w:r>
              <w:rPr>
                <w:sz w:val="19"/>
              </w:rPr>
              <w:t>• Several entries carried wrong details and were corrected; for example, Kahyaoğlu and Çalıyurt (2018) is Managerial Auditing Journal 33(4), 360–376, not the issue and pages originally given.</w:t>
            </w:r>
          </w:p>
          <w:p>
            <w:pPr>
              <w:jc w:val="both"/>
            </w:pPr>
            <w:r>
              <w:rPr>
                <w:sz w:val="19"/>
              </w:rPr>
              <w:t>• Two sources could not be found and were not used: Sampson et al. (2026) and Tarakci and Gönül (2023). Partly confirmed entries (e.g., Chen et al., 2025) are labelled.</w:t>
            </w:r>
          </w:p>
          <w:p>
            <w:pPr>
              <w:jc w:val="both"/>
            </w:pPr>
            <w:r>
              <w:rPr>
                <w:sz w:val="19"/>
              </w:rPr>
              <w:t>• Statements about content go no further than the abstracts or records that could be accessed. For exact quotations (figures, tables, clause numbers), read the full paper or standard yourself.</w:t>
            </w:r>
          </w:p>
          <w:p>
            <w:pPr>
              <w:jc w:val="both"/>
            </w:pPr>
            <w:r>
              <w:rPr>
                <w:sz w:val="19"/>
              </w:rPr>
              <w:t>• Per-source detail is in verification_report.xlsx.</w:t>
            </w:r>
          </w:p>
        </w:tc>
      </w:tr>
    </w:tbl>
    <w:p/>
    <w:p>
      <w:pPr>
        <w:spacing w:after="140"/>
        <w:jc w:val="both"/>
      </w:pPr>
      <w:r>
        <w:rPr>
          <w:b/>
          <w:i w:val="0"/>
          <w:color w:val="1F3864"/>
          <w:sz w:val="30"/>
        </w:rPr>
        <w:t>1. Introduction</w:t>
      </w:r>
    </w:p>
    <w:p>
      <w:pPr>
        <w:spacing w:after="80"/>
        <w:jc w:val="both"/>
      </w:pPr>
      <w:r>
        <w:rPr>
          <w:b/>
          <w:i w:val="0"/>
          <w:color w:val="1F3864"/>
          <w:sz w:val="24"/>
        </w:rPr>
        <w:t>1.1 Problem statement</w:t>
      </w:r>
    </w:p>
    <w:p>
      <w:pPr>
        <w:spacing w:after="100"/>
        <w:jc w:val="both"/>
      </w:pPr>
      <w:r>
        <w:rPr>
          <w:b w:val="0"/>
          <w:i w:val="0"/>
        </w:rPr>
        <w:t>Cyber risk is no longer only an IT-department matter; it has reached the core of auditing. ISA 315 (Revised 2019), effective for periods beginning on or after 15 December 2021, requires the auditor to understand the entity's IT environment and general IT controls and to take risks arising from IT into account when assessing the risks of material misstatement. Internal auditing has new requirements as well: the Global Internal Audit Standards (2024) took effect on 9 January 2025, and the IIA Cybersecurity Topical Requirement (issued 5 February 2025) took effect on 5 February 2026.</w:t>
      </w:r>
    </w:p>
    <w:p>
      <w:pPr>
        <w:spacing w:after="100"/>
        <w:jc w:val="both"/>
      </w:pPr>
      <w:r>
        <w:rPr>
          <w:b w:val="0"/>
          <w:i w:val="0"/>
        </w:rPr>
        <w:t>Yet two bodies of guidance are still written separately. Frameworks such as NIST CSF 2.0, ISO/IEC 27001 and 27005 (2022 editions) and SOC for Cybersecurity take the organization's viewpoint and describe the controls and processes an entity should have. Auditing standards take the auditor's viewpoint and describe what the auditor must assess and report. The empirical literature reflects this split. Hermanson et al. (2000) found that internal auditors concentrate on traditional IT risks (safeguarding assets, application processing, data integrity, privacy and security). Slapničar et al. (2022), using an index of cybersecurity audit effectiveness (planning, performing, reporting), found that planning and performing were strongly related while reporting to the board was less closely tied to them. Chen et al. (2025) show that an auditor's experience of a client breach changes judgments about non-breached clients, which means organizational learning is part of cyber risk assessment.</w:t>
      </w:r>
    </w:p>
    <w:p>
      <w:pPr>
        <w:spacing w:after="100"/>
        <w:jc w:val="both"/>
      </w:pPr>
      <w:r>
        <w:rPr>
          <w:b w:val="0"/>
          <w:i w:val="0"/>
        </w:rPr>
        <w:t>Iran presents a distinct setting. Organizations operate under different regulatory, infrastructure and sanctions conditions, and the studies we found concern IT audit generally. An interview study of Iranian banks (Management Approaches, 2024; [IR-1]), with 20 interviews at four large banks, reports 20 challenges including weak independence, limited experience and inadequate training, and notes that banks are required by central-bank regulations to perform IT audits based on ISACA ITAF. Another study on obstacles to IT audit in Iran ([IR-2]) points to limited knowledge and experience and the lack of IT audit standards. In our searches we found no empirical study specifically on cyber risk assessment by Iranian auditors (this claim is provisional; see Section 5).</w:t>
      </w:r>
    </w:p>
    <w:p>
      <w:pPr>
        <w:spacing w:after="80"/>
        <w:jc w:val="both"/>
      </w:pPr>
      <w:r>
        <w:rPr>
          <w:b/>
          <w:i w:val="0"/>
          <w:color w:val="1F3864"/>
          <w:sz w:val="24"/>
        </w:rPr>
        <w:t>1.2 Research gap</w:t>
      </w:r>
    </w:p>
    <w:p>
      <w:pPr>
        <w:spacing w:after="40"/>
        <w:jc w:val="both"/>
      </w:pPr>
      <w:r>
        <w:t>• Fragmentation of components: cyber risk assessment is defined with different vocabularies and boundaries across frameworks. Wangen et al. (2018) show that information-security risk assessment methods differ in how completely they cover risk identification, estimation and evaluation, and that ISO/IEC 27005 was the most complete of the methods compared.</w:t>
      </w:r>
    </w:p>
    <w:p>
      <w:pPr>
        <w:spacing w:after="40"/>
        <w:jc w:val="both"/>
      </w:pPr>
      <w:r>
        <w:t>• Single-perspective designs: studies usually take either the security-management (entity) view or the auditor's view, mostly that of internal auditors. The recent work of Slapničar et al. (2026) on integrated cyber risk assessment by internal auditors and cybersecurity professionals shows that the collaboration between the two groups has itself become a research topic.</w:t>
      </w:r>
    </w:p>
    <w:p>
      <w:pPr>
        <w:spacing w:after="40"/>
        <w:jc w:val="both"/>
      </w:pPr>
      <w:r>
        <w:t>• Lack of contextual evidence: for emerging economies and sanctioned environments, especially Iran, empirical evidence on the components of cyber risk assessment in auditing is limited.</w:t>
      </w:r>
    </w:p>
    <w:p>
      <w:pPr>
        <w:spacing w:after="40"/>
        <w:jc w:val="both"/>
      </w:pPr>
      <w:r>
        <w:t>• Lack of structural tests: existing studies are mostly descriptive or correlational; a structural model linking components to process outcomes and comparing two groups was not found in the sources reviewed.</w:t>
      </w:r>
    </w:p>
    <w:p>
      <w:pPr>
        <w:spacing w:after="20"/>
      </w:pPr>
    </w:p>
    <w:p>
      <w:pPr>
        <w:spacing w:after="80"/>
        <w:jc w:val="both"/>
      </w:pPr>
      <w:r>
        <w:rPr>
          <w:b/>
          <w:i w:val="0"/>
          <w:color w:val="1F3864"/>
          <w:sz w:val="24"/>
        </w:rPr>
        <w:t>1.3 Objectives and research questions</w:t>
      </w:r>
    </w:p>
    <w:p>
      <w:pPr>
        <w:spacing w:after="100"/>
        <w:jc w:val="both"/>
      </w:pPr>
      <w:r>
        <w:rPr>
          <w:b w:val="0"/>
          <w:i w:val="0"/>
        </w:rPr>
        <w:t>Paper 1 identifies and validates the components of cyber risk assessment in auditing in Iran from two perspectives. Paper 2 tests structural relations among the model's dimensions and compares the two groups. Research questions:</w:t>
      </w:r>
    </w:p>
    <w:p>
      <w:pPr>
        <w:spacing w:after="40"/>
        <w:jc w:val="both"/>
      </w:pPr>
      <w:r>
        <w:t>• RQ1: Which components of cyber risk assessment in auditing appear in international frameworks, auditing standards and prior research?</w:t>
      </w:r>
    </w:p>
    <w:p>
      <w:pPr>
        <w:spacing w:after="40"/>
        <w:jc w:val="both"/>
      </w:pPr>
      <w:r>
        <w:t>• RQ2: Which components do Iranian experts consider important and feasible, and which additional local components are needed?</w:t>
      </w:r>
    </w:p>
    <w:p>
      <w:pPr>
        <w:spacing w:after="40"/>
        <w:jc w:val="both"/>
      </w:pPr>
      <w:r>
        <w:t>• RQ3: How do the audited-entity and auditor perspectives differ in the importance they attach to the components?</w:t>
      </w:r>
    </w:p>
    <w:p>
      <w:pPr>
        <w:spacing w:after="40"/>
        <w:jc w:val="both"/>
      </w:pPr>
      <w:r>
        <w:t>• RQ4 (Paper 2): What are the structural relations among the model's dimensions and the effectiveness of the process, and do they differ between the two groups?</w:t>
      </w:r>
    </w:p>
    <w:p>
      <w:pPr>
        <w:spacing w:after="20"/>
      </w:pPr>
    </w:p>
    <w:p>
      <w:pPr>
        <w:spacing w:after="140"/>
        <w:jc w:val="both"/>
      </w:pPr>
      <w:r>
        <w:rPr>
          <w:b/>
          <w:i w:val="0"/>
          <w:color w:val="1F3864"/>
          <w:sz w:val="30"/>
        </w:rPr>
        <w:t>2. Theoretical Background</w:t>
      </w:r>
    </w:p>
    <w:p>
      <w:pPr>
        <w:spacing w:after="80"/>
        <w:jc w:val="both"/>
      </w:pPr>
      <w:r>
        <w:rPr>
          <w:b/>
          <w:i w:val="0"/>
          <w:color w:val="1F3864"/>
          <w:sz w:val="24"/>
        </w:rPr>
        <w:t>2.1 Three layers of cyber risk assessment in auditing</w:t>
      </w:r>
    </w:p>
    <w:p>
      <w:pPr>
        <w:spacing w:after="100"/>
        <w:jc w:val="both"/>
      </w:pPr>
      <w:r>
        <w:rPr>
          <w:b w:val="0"/>
          <w:i w:val="0"/>
        </w:rPr>
        <w:t>Synthesizing the reviewed literature, cyber risk assessment in auditing can be seen as three nested layers (this synthesis is the authors' own, not a claim of any single source):</w:t>
      </w:r>
    </w:p>
    <w:p>
      <w:pPr>
        <w:spacing w:after="40"/>
        <w:jc w:val="both"/>
      </w:pPr>
      <w:r>
        <w:t>• Risk-model layer: assets, threats, vulnerabilities, likelihood, consequence and uncertainty. Methods range from qualitative scoring to quantitative models such as Bayesian networks and FAIR (Wang et al., 2020) and multicriteria analysis (Ganin et al., 2020).</w:t>
      </w:r>
    </w:p>
    <w:p>
      <w:pPr>
        <w:spacing w:after="40"/>
        <w:jc w:val="both"/>
      </w:pPr>
      <w:r>
        <w:t>• Management-cycle layer: evaluate, treat, monitor, respond and learn. Armenia et al. (2021) note that frameworks such as NIST give a static snapshot of an organization's posture and that dynamic approaches are needed.</w:t>
      </w:r>
    </w:p>
    <w:p>
      <w:pPr>
        <w:spacing w:after="40"/>
        <w:jc w:val="both"/>
      </w:pPr>
      <w:r>
        <w:t>• Assurance layer: criteria, evidence, testing, judgment, reporting and accountability. Slapničar et al. (2022) measure this layer through planning, performing and reporting.</w:t>
      </w:r>
    </w:p>
    <w:p>
      <w:pPr>
        <w:spacing w:after="20"/>
      </w:pPr>
    </w:p>
    <w:p>
      <w:pPr>
        <w:spacing w:after="100"/>
        <w:jc w:val="both"/>
      </w:pPr>
      <w:r>
        <w:rPr>
          <w:b w:val="0"/>
          <w:i w:val="0"/>
        </w:rPr>
        <w:t>Data limits matter too. Cremer et al. (2022), in a systematic review of 5,219 studies, found only 79 datasets and identify the shortage of open data as a barrier to measurement. This is one reason expert-judgment approaches such as the Delphi method are justified for validating the components.</w:t>
      </w:r>
    </w:p>
    <w:p>
      <w:pPr>
        <w:spacing w:after="80"/>
        <w:jc w:val="both"/>
      </w:pPr>
      <w:r>
        <w:rPr>
          <w:b/>
          <w:i w:val="0"/>
          <w:color w:val="1F3864"/>
          <w:sz w:val="24"/>
        </w:rPr>
        <w:t>2.2 Standards and frameworks used</w:t>
      </w:r>
    </w:p>
    <w:tbl>
      <w:tblPr>
        <w:tblStyle w:val="TableGrid"/>
        <w:tblW w:type="auto" w:w="0"/>
        <w:tblLayout w:type="fixed"/>
        <w:tblLook w:firstColumn="1" w:firstRow="1" w:lastColumn="0" w:lastRow="0" w:noHBand="0" w:noVBand="1" w:val="04A0"/>
      </w:tblPr>
      <w:tblGrid>
        <w:gridCol w:w="2948"/>
        <w:gridCol w:w="3742"/>
        <w:gridCol w:w="2494"/>
      </w:tblGrid>
      <w:tr>
        <w:tc>
          <w:tcPr>
            <w:tcW w:type="dxa" w:w="2948"/>
            <w:shd w:val="clear" w:color="auto" w:fill="1F3864"/>
          </w:tcPr>
          <w:p>
            <w:pPr>
              <w:jc w:val="left"/>
            </w:pPr>
            <w:r/>
            <w:r>
              <w:rPr>
                <w:b/>
                <w:color w:val="FFFFFF"/>
                <w:sz w:val="18"/>
              </w:rPr>
              <w:t>Standard / framework</w:t>
            </w:r>
          </w:p>
        </w:tc>
        <w:tc>
          <w:tcPr>
            <w:tcW w:type="dxa" w:w="3742"/>
            <w:shd w:val="clear" w:color="auto" w:fill="1F3864"/>
          </w:tcPr>
          <w:p>
            <w:pPr>
              <w:jc w:val="left"/>
            </w:pPr>
            <w:r/>
            <w:r>
              <w:rPr>
                <w:b/>
                <w:color w:val="FFFFFF"/>
                <w:sz w:val="18"/>
              </w:rPr>
              <w:t>Status (confirmed by search)</w:t>
            </w:r>
          </w:p>
        </w:tc>
        <w:tc>
          <w:tcPr>
            <w:tcW w:type="dxa" w:w="2494"/>
            <w:shd w:val="clear" w:color="auto" w:fill="1F3864"/>
          </w:tcPr>
          <w:p>
            <w:pPr>
              <w:jc w:val="left"/>
            </w:pPr>
            <w:r/>
            <w:r>
              <w:rPr>
                <w:b/>
                <w:color w:val="FFFFFF"/>
                <w:sz w:val="18"/>
              </w:rPr>
              <w:t>Role in the model</w:t>
            </w:r>
          </w:p>
        </w:tc>
      </w:tr>
      <w:tr>
        <w:tc>
          <w:tcPr>
            <w:tcW w:type="dxa" w:w="2948"/>
          </w:tcPr>
          <w:p>
            <w:pPr>
              <w:jc w:val="left"/>
            </w:pPr>
            <w:r/>
            <w:r>
              <w:rPr>
                <w:b w:val="0"/>
                <w:sz w:val="18"/>
              </w:rPr>
              <w:t>ISA 315 (Revised 2019)</w:t>
            </w:r>
          </w:p>
        </w:tc>
        <w:tc>
          <w:tcPr>
            <w:tcW w:type="dxa" w:w="3742"/>
          </w:tcPr>
          <w:p>
            <w:pPr>
              <w:jc w:val="left"/>
            </w:pPr>
            <w:r/>
            <w:r>
              <w:rPr>
                <w:b w:val="0"/>
                <w:sz w:val="18"/>
              </w:rPr>
              <w:t>Effective for periods beginning on or after 15 Dec 2021; defines IT environment and general IT controls; inherent risk factors</w:t>
            </w:r>
          </w:p>
        </w:tc>
        <w:tc>
          <w:tcPr>
            <w:tcW w:type="dxa" w:w="2494"/>
          </w:tcPr>
          <w:p>
            <w:pPr>
              <w:jc w:val="left"/>
            </w:pPr>
            <w:r/>
            <w:r>
              <w:rPr>
                <w:b w:val="0"/>
                <w:sz w:val="18"/>
              </w:rPr>
              <w:t>Basis of the assurance layer; TVI, CCE, RRJ</w:t>
            </w:r>
          </w:p>
        </w:tc>
      </w:tr>
      <w:tr>
        <w:tc>
          <w:tcPr>
            <w:tcW w:type="dxa" w:w="2948"/>
          </w:tcPr>
          <w:p>
            <w:pPr>
              <w:jc w:val="left"/>
            </w:pPr>
            <w:r/>
            <w:r>
              <w:rPr>
                <w:b w:val="0"/>
                <w:sz w:val="18"/>
              </w:rPr>
              <w:t>ISA 200, 240, 250, 260, 265, 330, 402, 500, 620</w:t>
            </w:r>
          </w:p>
        </w:tc>
        <w:tc>
          <w:tcPr>
            <w:tcW w:type="dxa" w:w="3742"/>
          </w:tcPr>
          <w:p>
            <w:pPr>
              <w:jc w:val="left"/>
            </w:pPr>
            <w:r/>
            <w:r>
              <w:rPr>
                <w:b w:val="0"/>
                <w:sz w:val="18"/>
              </w:rPr>
              <w:t>Confirm current editions on iaasb.org</w:t>
            </w:r>
          </w:p>
        </w:tc>
        <w:tc>
          <w:tcPr>
            <w:tcW w:type="dxa" w:w="2494"/>
          </w:tcPr>
          <w:p>
            <w:pPr>
              <w:jc w:val="left"/>
            </w:pPr>
            <w:r/>
            <w:r>
              <w:rPr>
                <w:b w:val="0"/>
                <w:sz w:val="18"/>
              </w:rPr>
              <w:t>Responses to risk, evidence, service organizations, communication with governance, experts, fraud, laws</w:t>
            </w:r>
          </w:p>
        </w:tc>
      </w:tr>
      <w:tr>
        <w:tc>
          <w:tcPr>
            <w:tcW w:type="dxa" w:w="2948"/>
          </w:tcPr>
          <w:p>
            <w:pPr>
              <w:jc w:val="left"/>
            </w:pPr>
            <w:r/>
            <w:r>
              <w:rPr>
                <w:b w:val="0"/>
                <w:sz w:val="18"/>
              </w:rPr>
              <w:t>IIA Global Internal Audit Standards 2024 and Cybersecurity Topical Requirement</w:t>
            </w:r>
          </w:p>
        </w:tc>
        <w:tc>
          <w:tcPr>
            <w:tcW w:type="dxa" w:w="3742"/>
          </w:tcPr>
          <w:p>
            <w:pPr>
              <w:jc w:val="left"/>
            </w:pPr>
            <w:r/>
            <w:r>
              <w:rPr>
                <w:b w:val="0"/>
                <w:sz w:val="18"/>
              </w:rPr>
              <w:t>Standards effective 9 Jan 2025; topical requirement issued 5 Feb 2025, effective 5 Feb 2026</w:t>
            </w:r>
          </w:p>
        </w:tc>
        <w:tc>
          <w:tcPr>
            <w:tcW w:type="dxa" w:w="2494"/>
          </w:tcPr>
          <w:p>
            <w:pPr>
              <w:jc w:val="left"/>
            </w:pPr>
            <w:r/>
            <w:r>
              <w:rPr>
                <w:b w:val="0"/>
                <w:sz w:val="18"/>
              </w:rPr>
              <w:t>Internal audit; COL, MOL, PEF</w:t>
            </w:r>
          </w:p>
        </w:tc>
      </w:tr>
      <w:tr>
        <w:tc>
          <w:tcPr>
            <w:tcW w:type="dxa" w:w="2948"/>
          </w:tcPr>
          <w:p>
            <w:pPr>
              <w:jc w:val="left"/>
            </w:pPr>
            <w:r/>
            <w:r>
              <w:rPr>
                <w:b w:val="0"/>
                <w:sz w:val="18"/>
              </w:rPr>
              <w:t>AICPA TSC 2017 (revised points of focus 2022) and SOC for Cybersecurity (DC section 100)</w:t>
            </w:r>
          </w:p>
        </w:tc>
        <w:tc>
          <w:tcPr>
            <w:tcW w:type="dxa" w:w="3742"/>
          </w:tcPr>
          <w:p>
            <w:pPr>
              <w:jc w:val="left"/>
            </w:pPr>
            <w:r/>
            <w:r>
              <w:rPr>
                <w:b w:val="0"/>
                <w:sz w:val="18"/>
              </w:rPr>
              <w:t>Control criteria and description criteria for a cybersecurity risk management program</w:t>
            </w:r>
          </w:p>
        </w:tc>
        <w:tc>
          <w:tcPr>
            <w:tcW w:type="dxa" w:w="2494"/>
          </w:tcPr>
          <w:p>
            <w:pPr>
              <w:jc w:val="left"/>
            </w:pPr>
            <w:r/>
            <w:r>
              <w:rPr>
                <w:b w:val="0"/>
                <w:sz w:val="18"/>
              </w:rPr>
              <w:t>CCE and PEF reporting</w:t>
            </w:r>
          </w:p>
        </w:tc>
      </w:tr>
      <w:tr>
        <w:tc>
          <w:tcPr>
            <w:tcW w:type="dxa" w:w="2948"/>
          </w:tcPr>
          <w:p>
            <w:pPr>
              <w:jc w:val="left"/>
            </w:pPr>
            <w:r/>
            <w:r>
              <w:rPr>
                <w:b w:val="0"/>
                <w:sz w:val="18"/>
              </w:rPr>
              <w:t>NIST CSF 2.0 (2024)</w:t>
            </w:r>
          </w:p>
        </w:tc>
        <w:tc>
          <w:tcPr>
            <w:tcW w:type="dxa" w:w="3742"/>
          </w:tcPr>
          <w:p>
            <w:pPr>
              <w:jc w:val="left"/>
            </w:pPr>
            <w:r/>
            <w:r>
              <w:rPr>
                <w:b w:val="0"/>
                <w:sz w:val="18"/>
              </w:rPr>
              <w:t>Six functions: Govern, Identify, Protect, Detect, Respond, Recover</w:t>
            </w:r>
          </w:p>
        </w:tc>
        <w:tc>
          <w:tcPr>
            <w:tcW w:type="dxa" w:w="2494"/>
          </w:tcPr>
          <w:p>
            <w:pPr>
              <w:jc w:val="left"/>
            </w:pPr>
            <w:r/>
            <w:r>
              <w:rPr>
                <w:b w:val="0"/>
                <w:sz w:val="18"/>
              </w:rPr>
              <w:t>TVI (ID.RA), MOL (ID.IM, DE, RS, RC)</w:t>
            </w:r>
          </w:p>
        </w:tc>
      </w:tr>
      <w:tr>
        <w:tc>
          <w:tcPr>
            <w:tcW w:type="dxa" w:w="2948"/>
          </w:tcPr>
          <w:p>
            <w:pPr>
              <w:jc w:val="left"/>
            </w:pPr>
            <w:r/>
            <w:r>
              <w:rPr>
                <w:b w:val="0"/>
                <w:sz w:val="18"/>
              </w:rPr>
              <w:t>NIST SP 800-61 Rev. 3 (April 2025)</w:t>
            </w:r>
          </w:p>
        </w:tc>
        <w:tc>
          <w:tcPr>
            <w:tcW w:type="dxa" w:w="3742"/>
          </w:tcPr>
          <w:p>
            <w:pPr>
              <w:jc w:val="left"/>
            </w:pPr>
            <w:r/>
            <w:r>
              <w:rPr>
                <w:b w:val="0"/>
                <w:sz w:val="18"/>
              </w:rPr>
              <w:t>Replaces Rev. 2; built on CSF 2.0</w:t>
            </w:r>
          </w:p>
        </w:tc>
        <w:tc>
          <w:tcPr>
            <w:tcW w:type="dxa" w:w="2494"/>
          </w:tcPr>
          <w:p>
            <w:pPr>
              <w:jc w:val="left"/>
            </w:pPr>
            <w:r/>
            <w:r>
              <w:rPr>
                <w:b w:val="0"/>
                <w:sz w:val="18"/>
              </w:rPr>
              <w:t>MOL (response and recovery)</w:t>
            </w:r>
          </w:p>
        </w:tc>
      </w:tr>
      <w:tr>
        <w:tc>
          <w:tcPr>
            <w:tcW w:type="dxa" w:w="2948"/>
          </w:tcPr>
          <w:p>
            <w:pPr>
              <w:jc w:val="left"/>
            </w:pPr>
            <w:r/>
            <w:r>
              <w:rPr>
                <w:b w:val="0"/>
                <w:sz w:val="18"/>
              </w:rPr>
              <w:t>ISO/IEC 27001:2022</w:t>
            </w:r>
          </w:p>
        </w:tc>
        <w:tc>
          <w:tcPr>
            <w:tcW w:type="dxa" w:w="3742"/>
          </w:tcPr>
          <w:p>
            <w:pPr>
              <w:jc w:val="left"/>
            </w:pPr>
            <w:r/>
            <w:r>
              <w:rPr>
                <w:b w:val="0"/>
                <w:sz w:val="18"/>
              </w:rPr>
              <w:t>ISMS requirements; risk assessment and treatment, performance evaluation, improvement</w:t>
            </w:r>
          </w:p>
        </w:tc>
        <w:tc>
          <w:tcPr>
            <w:tcW w:type="dxa" w:w="2494"/>
          </w:tcPr>
          <w:p>
            <w:pPr>
              <w:jc w:val="left"/>
            </w:pPr>
            <w:r/>
            <w:r>
              <w:rPr>
                <w:b w:val="0"/>
                <w:sz w:val="18"/>
              </w:rPr>
              <w:t>RRJ, CCE, MOL</w:t>
            </w:r>
          </w:p>
        </w:tc>
      </w:tr>
      <w:tr>
        <w:tc>
          <w:tcPr>
            <w:tcW w:type="dxa" w:w="2948"/>
          </w:tcPr>
          <w:p>
            <w:pPr>
              <w:jc w:val="left"/>
            </w:pPr>
            <w:r/>
            <w:r>
              <w:rPr>
                <w:b w:val="0"/>
                <w:sz w:val="18"/>
              </w:rPr>
              <w:t>ISO/IEC 27005:2022 (4th ed., Oct 2022)</w:t>
            </w:r>
          </w:p>
        </w:tc>
        <w:tc>
          <w:tcPr>
            <w:tcW w:type="dxa" w:w="3742"/>
          </w:tcPr>
          <w:p>
            <w:pPr>
              <w:jc w:val="left"/>
            </w:pPr>
            <w:r/>
            <w:r>
              <w:rPr>
                <w:b w:val="0"/>
                <w:sz w:val="18"/>
              </w:rPr>
              <w:t>Aligned with ISO/IEC 27001:2022 and ISO 31000:2018; 'consequence' replaces 'impact'; risk scenarios; event-based versus asset-based approaches</w:t>
            </w:r>
          </w:p>
        </w:tc>
        <w:tc>
          <w:tcPr>
            <w:tcW w:type="dxa" w:w="2494"/>
          </w:tcPr>
          <w:p>
            <w:pPr>
              <w:jc w:val="left"/>
            </w:pPr>
            <w:r/>
            <w:r>
              <w:rPr>
                <w:b w:val="0"/>
                <w:sz w:val="18"/>
              </w:rPr>
              <w:t>TVI, RRJ</w:t>
            </w:r>
          </w:p>
        </w:tc>
      </w:tr>
      <w:tr>
        <w:tc>
          <w:tcPr>
            <w:tcW w:type="dxa" w:w="2948"/>
          </w:tcPr>
          <w:p>
            <w:pPr>
              <w:jc w:val="left"/>
            </w:pPr>
            <w:r/>
            <w:r>
              <w:rPr>
                <w:b w:val="0"/>
                <w:sz w:val="18"/>
              </w:rPr>
              <w:t>ISO 31000:2018; COSO ERM 2017; COBIT 2019</w:t>
            </w:r>
          </w:p>
        </w:tc>
        <w:tc>
          <w:tcPr>
            <w:tcW w:type="dxa" w:w="3742"/>
          </w:tcPr>
          <w:p>
            <w:pPr>
              <w:jc w:val="left"/>
            </w:pPr>
            <w:r/>
            <w:r>
              <w:rPr>
                <w:b w:val="0"/>
                <w:sz w:val="18"/>
              </w:rPr>
              <w:t>General principles and process (COSO and COBIT not re-checked in this session)</w:t>
            </w:r>
          </w:p>
        </w:tc>
        <w:tc>
          <w:tcPr>
            <w:tcW w:type="dxa" w:w="2494"/>
          </w:tcPr>
          <w:p>
            <w:pPr>
              <w:jc w:val="left"/>
            </w:pPr>
            <w:r/>
            <w:r>
              <w:rPr>
                <w:b w:val="0"/>
                <w:sz w:val="18"/>
              </w:rPr>
              <w:t>General framework; risk appetite and governance</w:t>
            </w:r>
          </w:p>
        </w:tc>
      </w:tr>
    </w:tbl>
    <w:p/>
    <w:p>
      <w:pPr>
        <w:spacing w:after="80"/>
        <w:jc w:val="both"/>
      </w:pPr>
      <w:r>
        <w:rPr>
          <w:b/>
          <w:i w:val="0"/>
          <w:color w:val="1F3864"/>
          <w:sz w:val="24"/>
        </w:rPr>
        <w:t>2.3 Theories</w:t>
      </w:r>
    </w:p>
    <w:p>
      <w:pPr>
        <w:spacing w:after="40"/>
        <w:jc w:val="both"/>
      </w:pPr>
      <w:r>
        <w:t>• Audit risk model and risk-based auditing (ISA): cyber risk matters to the auditor when it affects the risk of material misstatement or reliance on controls.</w:t>
      </w:r>
    </w:p>
    <w:p>
      <w:pPr>
        <w:spacing w:after="40"/>
        <w:jc w:val="both"/>
      </w:pPr>
      <w:r>
        <w:t>• Agency theory and information asymmetry (Jensen &amp; Meckling, 1976): the auditor depends on the entity and on specialists for technical information, which helps explain why the two groups may see risk differently (basis of H10).</w:t>
      </w:r>
    </w:p>
    <w:p>
      <w:pPr>
        <w:spacing w:after="40"/>
        <w:jc w:val="both"/>
      </w:pPr>
      <w:r>
        <w:t>• Institutional theory (DiMaggio &amp; Powell, 1983): coercive, mimetic and normative pressures shape the adoption of standards. Vuko et al. (2024) examine the effectiveness of cybersecurity audit through a neo-institutional lens.</w:t>
      </w:r>
    </w:p>
    <w:p>
      <w:pPr>
        <w:spacing w:after="40"/>
        <w:jc w:val="both"/>
      </w:pPr>
      <w:r>
        <w:t>• Resource-based view and dynamic capabilities (Barney, 1991; Teece et al., 1997): competence, auditor–specialist collaboration and learning are capabilities that improve judgment (basis of H3–H7).</w:t>
      </w:r>
    </w:p>
    <w:p>
      <w:pPr>
        <w:spacing w:after="40"/>
        <w:jc w:val="both"/>
      </w:pPr>
      <w:r>
        <w:t>• Contingency theory (Donaldson, 2001): the applicability of components depends on size, sector and resources; controls are included in the analysis.</w:t>
      </w:r>
    </w:p>
    <w:p>
      <w:pPr>
        <w:spacing w:after="40"/>
        <w:jc w:val="both"/>
      </w:pPr>
      <w:r>
        <w:t>• Economics of security investment (Gordon &amp; Loeb, 2002): prioritizing risk and investment on the basis of expected loss gives theoretical grounding for the evaluation and treatment layer.</w:t>
      </w:r>
    </w:p>
    <w:p>
      <w:pPr>
        <w:spacing w:after="20"/>
      </w:pPr>
    </w:p>
    <w:p>
      <w:pPr>
        <w:spacing w:after="80"/>
        <w:jc w:val="both"/>
      </w:pPr>
      <w:r>
        <w:rPr>
          <w:b/>
          <w:i w:val="0"/>
          <w:color w:val="1F3864"/>
          <w:sz w:val="24"/>
        </w:rPr>
        <w:t>2.4 Selected empirical studies</w:t>
      </w:r>
    </w:p>
    <w:p>
      <w:pPr>
        <w:spacing w:after="100"/>
        <w:jc w:val="both"/>
      </w:pPr>
      <w:r>
        <w:rPr>
          <w:b w:val="0"/>
          <w:i w:val="0"/>
          <w:sz w:val="19"/>
        </w:rPr>
        <w:t>The table lists the most relevant studies from your material whose details could be confirmed. Content is limited to abstracts or bibliographic records.</w:t>
      </w:r>
    </w:p>
    <w:tbl>
      <w:tblPr>
        <w:tblStyle w:val="TableGrid"/>
        <w:tblW w:type="auto" w:w="0"/>
        <w:tblLayout w:type="fixed"/>
        <w:tblLook w:firstColumn="1" w:firstRow="1" w:lastColumn="0" w:lastRow="0" w:noHBand="0" w:noVBand="1" w:val="04A0"/>
      </w:tblPr>
      <w:tblGrid>
        <w:gridCol w:w="2041"/>
        <w:gridCol w:w="1871"/>
        <w:gridCol w:w="3685"/>
        <w:gridCol w:w="1587"/>
      </w:tblGrid>
      <w:tr>
        <w:tc>
          <w:tcPr>
            <w:tcW w:type="dxa" w:w="2041"/>
            <w:shd w:val="clear" w:color="auto" w:fill="1F3864"/>
          </w:tcPr>
          <w:p>
            <w:pPr>
              <w:jc w:val="left"/>
            </w:pPr>
            <w:r/>
            <w:r>
              <w:rPr>
                <w:b/>
                <w:color w:val="FFFFFF"/>
                <w:sz w:val="18"/>
              </w:rPr>
              <w:t>Study</w:t>
            </w:r>
          </w:p>
        </w:tc>
        <w:tc>
          <w:tcPr>
            <w:tcW w:type="dxa" w:w="1871"/>
            <w:shd w:val="clear" w:color="auto" w:fill="1F3864"/>
          </w:tcPr>
          <w:p>
            <w:pPr>
              <w:jc w:val="left"/>
            </w:pPr>
            <w:r/>
            <w:r>
              <w:rPr>
                <w:b/>
                <w:color w:val="FFFFFF"/>
                <w:sz w:val="18"/>
              </w:rPr>
              <w:t>Setting and method</w:t>
            </w:r>
          </w:p>
        </w:tc>
        <w:tc>
          <w:tcPr>
            <w:tcW w:type="dxa" w:w="3685"/>
            <w:shd w:val="clear" w:color="auto" w:fill="1F3864"/>
          </w:tcPr>
          <w:p>
            <w:pPr>
              <w:jc w:val="left"/>
            </w:pPr>
            <w:r/>
            <w:r>
              <w:rPr>
                <w:b/>
                <w:color w:val="FFFFFF"/>
                <w:sz w:val="18"/>
              </w:rPr>
              <w:t>Finding or role (abstract level)</w:t>
            </w:r>
          </w:p>
        </w:tc>
        <w:tc>
          <w:tcPr>
            <w:tcW w:type="dxa" w:w="1587"/>
            <w:shd w:val="clear" w:color="auto" w:fill="1F3864"/>
          </w:tcPr>
          <w:p>
            <w:pPr>
              <w:jc w:val="left"/>
            </w:pPr>
            <w:r/>
            <w:r>
              <w:rPr>
                <w:b/>
                <w:color w:val="FFFFFF"/>
                <w:sz w:val="18"/>
              </w:rPr>
              <w:t>Use in the model</w:t>
            </w:r>
          </w:p>
        </w:tc>
      </w:tr>
      <w:tr>
        <w:tc>
          <w:tcPr>
            <w:tcW w:type="dxa" w:w="2041"/>
          </w:tcPr>
          <w:p>
            <w:pPr>
              <w:jc w:val="left"/>
            </w:pPr>
            <w:r/>
            <w:r>
              <w:rPr>
                <w:b w:val="0"/>
                <w:sz w:val="18"/>
              </w:rPr>
              <w:t>Hermanson et al. (2000)</w:t>
            </w:r>
          </w:p>
        </w:tc>
        <w:tc>
          <w:tcPr>
            <w:tcW w:type="dxa" w:w="1871"/>
          </w:tcPr>
          <w:p>
            <w:pPr>
              <w:jc w:val="left"/>
            </w:pPr>
            <w:r/>
            <w:r>
              <w:rPr>
                <w:b w:val="0"/>
                <w:sz w:val="18"/>
              </w:rPr>
              <w:t>Survey of 100+ internal audit directors</w:t>
            </w:r>
          </w:p>
        </w:tc>
        <w:tc>
          <w:tcPr>
            <w:tcW w:type="dxa" w:w="3685"/>
          </w:tcPr>
          <w:p>
            <w:pPr>
              <w:jc w:val="left"/>
            </w:pPr>
            <w:r/>
            <w:r>
              <w:rPr>
                <w:b w:val="0"/>
                <w:sz w:val="18"/>
              </w:rPr>
              <w:t>Focus on traditional IT risks; less on system development and acquisition; specialists and audit objectives relate to frequency of IT evaluations</w:t>
            </w:r>
          </w:p>
        </w:tc>
        <w:tc>
          <w:tcPr>
            <w:tcW w:type="dxa" w:w="1587"/>
          </w:tcPr>
          <w:p>
            <w:pPr>
              <w:jc w:val="left"/>
            </w:pPr>
            <w:r/>
            <w:r>
              <w:rPr>
                <w:b w:val="0"/>
                <w:sz w:val="18"/>
              </w:rPr>
              <w:t>TVI, COL</w:t>
            </w:r>
          </w:p>
        </w:tc>
      </w:tr>
      <w:tr>
        <w:tc>
          <w:tcPr>
            <w:tcW w:type="dxa" w:w="2041"/>
          </w:tcPr>
          <w:p>
            <w:pPr>
              <w:jc w:val="left"/>
            </w:pPr>
            <w:r/>
            <w:r>
              <w:rPr>
                <w:b w:val="0"/>
                <w:sz w:val="18"/>
              </w:rPr>
              <w:t>Bedard et al. (2005)</w:t>
            </w:r>
          </w:p>
        </w:tc>
        <w:tc>
          <w:tcPr>
            <w:tcW w:type="dxa" w:w="1871"/>
          </w:tcPr>
          <w:p>
            <w:pPr>
              <w:jc w:val="left"/>
            </w:pPr>
            <w:r/>
            <w:r>
              <w:rPr>
                <w:b w:val="0"/>
                <w:sz w:val="18"/>
              </w:rPr>
              <w:t>IS risk and audit planning</w:t>
            </w:r>
          </w:p>
        </w:tc>
        <w:tc>
          <w:tcPr>
            <w:tcW w:type="dxa" w:w="3685"/>
          </w:tcPr>
          <w:p>
            <w:pPr>
              <w:jc w:val="left"/>
            </w:pPr>
            <w:r/>
            <w:r>
              <w:rPr>
                <w:b w:val="0"/>
                <w:sz w:val="18"/>
              </w:rPr>
              <w:t>Links IS risk to audit planning (title level)</w:t>
            </w:r>
          </w:p>
        </w:tc>
        <w:tc>
          <w:tcPr>
            <w:tcW w:type="dxa" w:w="1587"/>
          </w:tcPr>
          <w:p>
            <w:pPr>
              <w:jc w:val="left"/>
            </w:pPr>
            <w:r/>
            <w:r>
              <w:rPr>
                <w:b w:val="0"/>
                <w:sz w:val="18"/>
              </w:rPr>
              <w:t>H1</w:t>
            </w:r>
          </w:p>
        </w:tc>
      </w:tr>
      <w:tr>
        <w:tc>
          <w:tcPr>
            <w:tcW w:type="dxa" w:w="2041"/>
          </w:tcPr>
          <w:p>
            <w:pPr>
              <w:jc w:val="left"/>
            </w:pPr>
            <w:r/>
            <w:r>
              <w:rPr>
                <w:b w:val="0"/>
                <w:sz w:val="18"/>
              </w:rPr>
              <w:t>Kahyaoğlu &amp; Çalıyurt (2018)</w:t>
            </w:r>
          </w:p>
        </w:tc>
        <w:tc>
          <w:tcPr>
            <w:tcW w:type="dxa" w:w="1871"/>
          </w:tcPr>
          <w:p>
            <w:pPr>
              <w:jc w:val="left"/>
            </w:pPr>
            <w:r/>
            <w:r>
              <w:rPr>
                <w:b w:val="0"/>
                <w:sz w:val="18"/>
              </w:rPr>
              <w:t>Literature-based conceptual model</w:t>
            </w:r>
          </w:p>
        </w:tc>
        <w:tc>
          <w:tcPr>
            <w:tcW w:type="dxa" w:w="3685"/>
          </w:tcPr>
          <w:p>
            <w:pPr>
              <w:jc w:val="left"/>
            </w:pPr>
            <w:r/>
            <w:r>
              <w:rPr>
                <w:b w:val="0"/>
                <w:sz w:val="18"/>
              </w:rPr>
              <w:t>Four frameworks (COBIT, ISO, AICPA, NIST); internal audit central to assurance; model of cooperation with information security</w:t>
            </w:r>
          </w:p>
        </w:tc>
        <w:tc>
          <w:tcPr>
            <w:tcW w:type="dxa" w:w="1587"/>
          </w:tcPr>
          <w:p>
            <w:pPr>
              <w:jc w:val="left"/>
            </w:pPr>
            <w:r/>
            <w:r>
              <w:rPr>
                <w:b w:val="0"/>
                <w:sz w:val="18"/>
              </w:rPr>
              <w:t>Assurance layer, COL</w:t>
            </w:r>
          </w:p>
        </w:tc>
      </w:tr>
      <w:tr>
        <w:tc>
          <w:tcPr>
            <w:tcW w:type="dxa" w:w="2041"/>
          </w:tcPr>
          <w:p>
            <w:pPr>
              <w:jc w:val="left"/>
            </w:pPr>
            <w:r/>
            <w:r>
              <w:rPr>
                <w:b w:val="0"/>
                <w:sz w:val="18"/>
              </w:rPr>
              <w:t>Islam et al. (2018)</w:t>
            </w:r>
          </w:p>
        </w:tc>
        <w:tc>
          <w:tcPr>
            <w:tcW w:type="dxa" w:w="1871"/>
          </w:tcPr>
          <w:p>
            <w:pPr>
              <w:jc w:val="left"/>
            </w:pPr>
            <w:r/>
            <w:r>
              <w:rPr>
                <w:b w:val="0"/>
                <w:sz w:val="18"/>
              </w:rPr>
              <w:t>CBOK 2015 data; internal audit</w:t>
            </w:r>
          </w:p>
        </w:tc>
        <w:tc>
          <w:tcPr>
            <w:tcW w:type="dxa" w:w="3685"/>
          </w:tcPr>
          <w:p>
            <w:pPr>
              <w:jc w:val="left"/>
            </w:pPr>
            <w:r/>
            <w:r>
              <w:rPr>
                <w:b w:val="0"/>
                <w:sz w:val="18"/>
              </w:rPr>
              <w:t>IAF/CAE characteristics, board governance, audit committee, CRO and ERM role associated with extent of cybersecurity audit</w:t>
            </w:r>
          </w:p>
        </w:tc>
        <w:tc>
          <w:tcPr>
            <w:tcW w:type="dxa" w:w="1587"/>
          </w:tcPr>
          <w:p>
            <w:pPr>
              <w:jc w:val="left"/>
            </w:pPr>
            <w:r/>
            <w:r>
              <w:rPr>
                <w:b w:val="0"/>
                <w:sz w:val="18"/>
              </w:rPr>
              <w:t>COL, governance</w:t>
            </w:r>
          </w:p>
        </w:tc>
      </w:tr>
      <w:tr>
        <w:tc>
          <w:tcPr>
            <w:tcW w:type="dxa" w:w="2041"/>
          </w:tcPr>
          <w:p>
            <w:pPr>
              <w:jc w:val="left"/>
            </w:pPr>
            <w:r/>
            <w:r>
              <w:rPr>
                <w:b w:val="0"/>
                <w:sz w:val="18"/>
              </w:rPr>
              <w:t>Steinbart et al. (2018)</w:t>
            </w:r>
          </w:p>
        </w:tc>
        <w:tc>
          <w:tcPr>
            <w:tcW w:type="dxa" w:w="1871"/>
          </w:tcPr>
          <w:p>
            <w:pPr>
              <w:jc w:val="left"/>
            </w:pPr>
            <w:r/>
            <w:r>
              <w:rPr>
                <w:b w:val="0"/>
                <w:sz w:val="18"/>
              </w:rPr>
              <w:t>Internal audit–information security relationship</w:t>
            </w:r>
          </w:p>
        </w:tc>
        <w:tc>
          <w:tcPr>
            <w:tcW w:type="dxa" w:w="3685"/>
          </w:tcPr>
          <w:p>
            <w:pPr>
              <w:jc w:val="left"/>
            </w:pPr>
            <w:r/>
            <w:r>
              <w:rPr>
                <w:b w:val="0"/>
                <w:sz w:val="18"/>
              </w:rPr>
              <w:t>Motivation: little empirical evidence on internal audit's value for information security</w:t>
            </w:r>
          </w:p>
        </w:tc>
        <w:tc>
          <w:tcPr>
            <w:tcW w:type="dxa" w:w="1587"/>
          </w:tcPr>
          <w:p>
            <w:pPr>
              <w:jc w:val="left"/>
            </w:pPr>
            <w:r/>
            <w:r>
              <w:rPr>
                <w:b w:val="0"/>
                <w:sz w:val="18"/>
              </w:rPr>
              <w:t>COL, H3</w:t>
            </w:r>
          </w:p>
        </w:tc>
      </w:tr>
      <w:tr>
        <w:tc>
          <w:tcPr>
            <w:tcW w:type="dxa" w:w="2041"/>
          </w:tcPr>
          <w:p>
            <w:pPr>
              <w:jc w:val="left"/>
            </w:pPr>
            <w:r/>
            <w:r>
              <w:rPr>
                <w:b w:val="0"/>
                <w:sz w:val="18"/>
              </w:rPr>
              <w:t>Slapničar et al. (2022)</w:t>
            </w:r>
          </w:p>
        </w:tc>
        <w:tc>
          <w:tcPr>
            <w:tcW w:type="dxa" w:w="1871"/>
          </w:tcPr>
          <w:p>
            <w:pPr>
              <w:jc w:val="left"/>
            </w:pPr>
            <w:r/>
            <w:r>
              <w:rPr>
                <w:b w:val="0"/>
                <w:sz w:val="18"/>
              </w:rPr>
              <w:t>Survey of auditors and CAEs</w:t>
            </w:r>
          </w:p>
        </w:tc>
        <w:tc>
          <w:tcPr>
            <w:tcW w:type="dxa" w:w="3685"/>
          </w:tcPr>
          <w:p>
            <w:pPr>
              <w:jc w:val="left"/>
            </w:pPr>
            <w:r/>
            <w:r>
              <w:rPr>
                <w:b w:val="0"/>
                <w:sz w:val="18"/>
              </w:rPr>
              <w:t>Planning/performing/reporting index; mean 58/100; planning and performing correlated, reporting to board less so; index tracked cyber risk management maturity but not probability of a successful attack</w:t>
            </w:r>
          </w:p>
        </w:tc>
        <w:tc>
          <w:tcPr>
            <w:tcW w:type="dxa" w:w="1587"/>
          </w:tcPr>
          <w:p>
            <w:pPr>
              <w:jc w:val="left"/>
            </w:pPr>
            <w:r/>
            <w:r>
              <w:rPr>
                <w:b w:val="0"/>
                <w:sz w:val="18"/>
              </w:rPr>
              <w:t>PEF, H5</w:t>
            </w:r>
          </w:p>
        </w:tc>
      </w:tr>
      <w:tr>
        <w:tc>
          <w:tcPr>
            <w:tcW w:type="dxa" w:w="2041"/>
          </w:tcPr>
          <w:p>
            <w:pPr>
              <w:jc w:val="left"/>
            </w:pPr>
            <w:r/>
            <w:r>
              <w:rPr>
                <w:b w:val="0"/>
                <w:sz w:val="18"/>
              </w:rPr>
              <w:t>Vuko et al. (2024)</w:t>
            </w:r>
          </w:p>
        </w:tc>
        <w:tc>
          <w:tcPr>
            <w:tcW w:type="dxa" w:w="1871"/>
          </w:tcPr>
          <w:p>
            <w:pPr>
              <w:jc w:val="left"/>
            </w:pPr>
            <w:r/>
            <w:r>
              <w:rPr>
                <w:b w:val="0"/>
                <w:sz w:val="18"/>
              </w:rPr>
              <w:t>Drivers of cybersecurity audit effectiveness</w:t>
            </w:r>
          </w:p>
        </w:tc>
        <w:tc>
          <w:tcPr>
            <w:tcW w:type="dxa" w:w="3685"/>
          </w:tcPr>
          <w:p>
            <w:pPr>
              <w:jc w:val="left"/>
            </w:pPr>
            <w:r/>
            <w:r>
              <w:rPr>
                <w:b w:val="0"/>
                <w:sz w:val="18"/>
              </w:rPr>
              <w:t>Neo-institutional perspective (title level)</w:t>
            </w:r>
          </w:p>
        </w:tc>
        <w:tc>
          <w:tcPr>
            <w:tcW w:type="dxa" w:w="1587"/>
          </w:tcPr>
          <w:p>
            <w:pPr>
              <w:jc w:val="left"/>
            </w:pPr>
            <w:r/>
            <w:r>
              <w:rPr>
                <w:b w:val="0"/>
                <w:sz w:val="18"/>
              </w:rPr>
              <w:t>Theory</w:t>
            </w:r>
          </w:p>
        </w:tc>
      </w:tr>
      <w:tr>
        <w:tc>
          <w:tcPr>
            <w:tcW w:type="dxa" w:w="2041"/>
          </w:tcPr>
          <w:p>
            <w:pPr>
              <w:jc w:val="left"/>
            </w:pPr>
            <w:r/>
            <w:r>
              <w:rPr>
                <w:b w:val="0"/>
                <w:sz w:val="18"/>
              </w:rPr>
              <w:t>Slapničar et al. (2026)</w:t>
            </w:r>
          </w:p>
        </w:tc>
        <w:tc>
          <w:tcPr>
            <w:tcW w:type="dxa" w:w="1871"/>
          </w:tcPr>
          <w:p>
            <w:pPr>
              <w:jc w:val="left"/>
            </w:pPr>
            <w:r/>
            <w:r>
              <w:rPr>
                <w:b w:val="0"/>
                <w:sz w:val="18"/>
              </w:rPr>
              <w:t>Integrated assessment by internal auditors and specialists</w:t>
            </w:r>
          </w:p>
        </w:tc>
        <w:tc>
          <w:tcPr>
            <w:tcW w:type="dxa" w:w="3685"/>
          </w:tcPr>
          <w:p>
            <w:pPr>
              <w:jc w:val="left"/>
            </w:pPr>
            <w:r/>
            <w:r>
              <w:rPr>
                <w:b w:val="0"/>
                <w:sz w:val="18"/>
              </w:rPr>
              <w:t>Collaboration across boundaries (title level; abstract not read)</w:t>
            </w:r>
          </w:p>
        </w:tc>
        <w:tc>
          <w:tcPr>
            <w:tcW w:type="dxa" w:w="1587"/>
          </w:tcPr>
          <w:p>
            <w:pPr>
              <w:jc w:val="left"/>
            </w:pPr>
            <w:r/>
            <w:r>
              <w:rPr>
                <w:b w:val="0"/>
                <w:sz w:val="18"/>
              </w:rPr>
              <w:t>COL, H3–H4</w:t>
            </w:r>
          </w:p>
        </w:tc>
      </w:tr>
      <w:tr>
        <w:tc>
          <w:tcPr>
            <w:tcW w:type="dxa" w:w="2041"/>
          </w:tcPr>
          <w:p>
            <w:pPr>
              <w:jc w:val="left"/>
            </w:pPr>
            <w:r/>
            <w:r>
              <w:rPr>
                <w:b w:val="0"/>
                <w:sz w:val="18"/>
              </w:rPr>
              <w:t>Alzeban et al. (2025)</w:t>
            </w:r>
          </w:p>
        </w:tc>
        <w:tc>
          <w:tcPr>
            <w:tcW w:type="dxa" w:w="1871"/>
          </w:tcPr>
          <w:p>
            <w:pPr>
              <w:jc w:val="left"/>
            </w:pPr>
            <w:r/>
            <w:r>
              <w:rPr>
                <w:b w:val="0"/>
                <w:sz w:val="18"/>
              </w:rPr>
              <w:t>Survey + archival data; UK-listed firms</w:t>
            </w:r>
          </w:p>
        </w:tc>
        <w:tc>
          <w:tcPr>
            <w:tcW w:type="dxa" w:w="3685"/>
          </w:tcPr>
          <w:p>
            <w:pPr>
              <w:jc w:val="left"/>
            </w:pPr>
            <w:r/>
            <w:r>
              <w:rPr>
                <w:b w:val="0"/>
                <w:sz w:val="18"/>
              </w:rPr>
              <w:t>CAE IT expertise, private meetings with the audit committee and IT governance raise cybersecurity quality; internal audit involvement in policy review, compliance and risk assessment is linked to resilience</w:t>
            </w:r>
          </w:p>
        </w:tc>
        <w:tc>
          <w:tcPr>
            <w:tcW w:type="dxa" w:w="1587"/>
          </w:tcPr>
          <w:p>
            <w:pPr>
              <w:jc w:val="left"/>
            </w:pPr>
            <w:r/>
            <w:r>
              <w:rPr>
                <w:b w:val="0"/>
                <w:sz w:val="18"/>
              </w:rPr>
              <w:t>COL, MOL, H3</w:t>
            </w:r>
          </w:p>
        </w:tc>
      </w:tr>
      <w:tr>
        <w:tc>
          <w:tcPr>
            <w:tcW w:type="dxa" w:w="2041"/>
          </w:tcPr>
          <w:p>
            <w:pPr>
              <w:jc w:val="left"/>
            </w:pPr>
            <w:r/>
            <w:r>
              <w:rPr>
                <w:b w:val="0"/>
                <w:sz w:val="18"/>
              </w:rPr>
              <w:t>Chen et al. (2025)</w:t>
            </w:r>
          </w:p>
        </w:tc>
        <w:tc>
          <w:tcPr>
            <w:tcW w:type="dxa" w:w="1871"/>
          </w:tcPr>
          <w:p>
            <w:pPr>
              <w:jc w:val="left"/>
            </w:pPr>
            <w:r/>
            <w:r>
              <w:rPr>
                <w:b w:val="0"/>
                <w:sz w:val="18"/>
              </w:rPr>
              <w:t>Market data + interviews; external auditors</w:t>
            </w:r>
          </w:p>
        </w:tc>
        <w:tc>
          <w:tcPr>
            <w:tcW w:type="dxa" w:w="3685"/>
          </w:tcPr>
          <w:p>
            <w:pPr>
              <w:jc w:val="left"/>
            </w:pPr>
            <w:r/>
            <w:r>
              <w:rPr>
                <w:b w:val="0"/>
                <w:sz w:val="18"/>
              </w:rPr>
              <w:t>Breach-experienced auditors issue more material-weakness opinions; cross-client learning; stronger disclosures</w:t>
            </w:r>
          </w:p>
        </w:tc>
        <w:tc>
          <w:tcPr>
            <w:tcW w:type="dxa" w:w="1587"/>
          </w:tcPr>
          <w:p>
            <w:pPr>
              <w:jc w:val="left"/>
            </w:pPr>
            <w:r/>
            <w:r>
              <w:rPr>
                <w:b w:val="0"/>
                <w:sz w:val="18"/>
              </w:rPr>
              <w:t>MOL, RRJ, H6–H7</w:t>
            </w:r>
          </w:p>
        </w:tc>
      </w:tr>
      <w:tr>
        <w:tc>
          <w:tcPr>
            <w:tcW w:type="dxa" w:w="2041"/>
          </w:tcPr>
          <w:p>
            <w:pPr>
              <w:jc w:val="left"/>
            </w:pPr>
            <w:r/>
            <w:r>
              <w:rPr>
                <w:b w:val="0"/>
                <w:sz w:val="18"/>
              </w:rPr>
              <w:t>Li et al. (2020)</w:t>
            </w:r>
          </w:p>
        </w:tc>
        <w:tc>
          <w:tcPr>
            <w:tcW w:type="dxa" w:w="1871"/>
          </w:tcPr>
          <w:p>
            <w:pPr>
              <w:jc w:val="left"/>
            </w:pPr>
            <w:r/>
            <w:r>
              <w:rPr>
                <w:b w:val="0"/>
                <w:sz w:val="18"/>
              </w:rPr>
              <w:t>Audit fees</w:t>
            </w:r>
          </w:p>
        </w:tc>
        <w:tc>
          <w:tcPr>
            <w:tcW w:type="dxa" w:w="3685"/>
          </w:tcPr>
          <w:p>
            <w:pPr>
              <w:jc w:val="left"/>
            </w:pPr>
            <w:r/>
            <w:r>
              <w:rPr>
                <w:b w:val="0"/>
                <w:sz w:val="18"/>
              </w:rPr>
              <w:t>Examines fee response to cyber incidents (title level)</w:t>
            </w:r>
          </w:p>
        </w:tc>
        <w:tc>
          <w:tcPr>
            <w:tcW w:type="dxa" w:w="1587"/>
          </w:tcPr>
          <w:p>
            <w:pPr>
              <w:jc w:val="left"/>
            </w:pPr>
            <w:r/>
            <w:r>
              <w:rPr>
                <w:b w:val="0"/>
                <w:sz w:val="18"/>
              </w:rPr>
              <w:t>RRJ (risk pricing)</w:t>
            </w:r>
          </w:p>
        </w:tc>
      </w:tr>
      <w:tr>
        <w:tc>
          <w:tcPr>
            <w:tcW w:type="dxa" w:w="2041"/>
          </w:tcPr>
          <w:p>
            <w:pPr>
              <w:jc w:val="left"/>
            </w:pPr>
            <w:r/>
            <w:r>
              <w:rPr>
                <w:b w:val="0"/>
                <w:sz w:val="18"/>
              </w:rPr>
              <w:t>Higgs et al. (2016)</w:t>
            </w:r>
          </w:p>
        </w:tc>
        <w:tc>
          <w:tcPr>
            <w:tcW w:type="dxa" w:w="1871"/>
          </w:tcPr>
          <w:p>
            <w:pPr>
              <w:jc w:val="left"/>
            </w:pPr>
            <w:r/>
            <w:r>
              <w:rPr>
                <w:b w:val="0"/>
                <w:sz w:val="18"/>
              </w:rPr>
              <w:t>Board technology committees and breaches</w:t>
            </w:r>
          </w:p>
        </w:tc>
        <w:tc>
          <w:tcPr>
            <w:tcW w:type="dxa" w:w="3685"/>
          </w:tcPr>
          <w:p>
            <w:pPr>
              <w:jc w:val="left"/>
            </w:pPr>
            <w:r/>
            <w:r>
              <w:rPr>
                <w:b w:val="0"/>
                <w:sz w:val="18"/>
              </w:rPr>
              <w:t>Younger committees associated with more reported breaches, more established ones with fewer</w:t>
            </w:r>
          </w:p>
        </w:tc>
        <w:tc>
          <w:tcPr>
            <w:tcW w:type="dxa" w:w="1587"/>
          </w:tcPr>
          <w:p>
            <w:pPr>
              <w:jc w:val="left"/>
            </w:pPr>
            <w:r/>
            <w:r>
              <w:rPr>
                <w:b w:val="0"/>
                <w:sz w:val="18"/>
              </w:rPr>
              <w:t>Governance</w:t>
            </w:r>
          </w:p>
        </w:tc>
      </w:tr>
      <w:tr>
        <w:tc>
          <w:tcPr>
            <w:tcW w:type="dxa" w:w="2041"/>
          </w:tcPr>
          <w:p>
            <w:pPr>
              <w:jc w:val="left"/>
            </w:pPr>
            <w:r/>
            <w:r>
              <w:rPr>
                <w:b w:val="0"/>
                <w:sz w:val="18"/>
              </w:rPr>
              <w:t>Kurniawan &amp; Mulyawan (2023)</w:t>
            </w:r>
          </w:p>
        </w:tc>
        <w:tc>
          <w:tcPr>
            <w:tcW w:type="dxa" w:w="1871"/>
          </w:tcPr>
          <w:p>
            <w:pPr>
              <w:jc w:val="left"/>
            </w:pPr>
            <w:r/>
            <w:r>
              <w:rPr>
                <w:b w:val="0"/>
                <w:sz w:val="18"/>
              </w:rPr>
              <w:t>Auditors in Greater Jakarta; SmartPLS</w:t>
            </w:r>
          </w:p>
        </w:tc>
        <w:tc>
          <w:tcPr>
            <w:tcW w:type="dxa" w:w="3685"/>
          </w:tcPr>
          <w:p>
            <w:pPr>
              <w:jc w:val="left"/>
            </w:pPr>
            <w:r/>
            <w:r>
              <w:rPr>
                <w:b w:val="0"/>
                <w:sz w:val="18"/>
              </w:rPr>
              <w:t>Model of the cybersecurity audit process; ability to apply technology had no significant effect</w:t>
            </w:r>
          </w:p>
        </w:tc>
        <w:tc>
          <w:tcPr>
            <w:tcW w:type="dxa" w:w="1587"/>
          </w:tcPr>
          <w:p>
            <w:pPr>
              <w:jc w:val="left"/>
            </w:pPr>
            <w:r/>
            <w:r>
              <w:rPr>
                <w:b w:val="0"/>
                <w:sz w:val="18"/>
              </w:rPr>
              <w:t>SEM precedent</w:t>
            </w:r>
          </w:p>
        </w:tc>
      </w:tr>
      <w:tr>
        <w:tc>
          <w:tcPr>
            <w:tcW w:type="dxa" w:w="2041"/>
          </w:tcPr>
          <w:p>
            <w:pPr>
              <w:jc w:val="left"/>
            </w:pPr>
            <w:r/>
            <w:r>
              <w:rPr>
                <w:b w:val="0"/>
                <w:sz w:val="18"/>
              </w:rPr>
              <w:t>Cernovschi et al. (2025)</w:t>
            </w:r>
          </w:p>
        </w:tc>
        <w:tc>
          <w:tcPr>
            <w:tcW w:type="dxa" w:w="1871"/>
          </w:tcPr>
          <w:p>
            <w:pPr>
              <w:jc w:val="left"/>
            </w:pPr>
            <w:r/>
            <w:r>
              <w:rPr>
                <w:b w:val="0"/>
                <w:sz w:val="18"/>
              </w:rPr>
              <w:t>Systematic review and self-assessment tool for internal audit</w:t>
            </w:r>
          </w:p>
        </w:tc>
        <w:tc>
          <w:tcPr>
            <w:tcW w:type="dxa" w:w="3685"/>
          </w:tcPr>
          <w:p>
            <w:pPr>
              <w:jc w:val="left"/>
            </w:pPr>
            <w:r/>
            <w:r>
              <w:rPr>
                <w:b w:val="0"/>
                <w:sz w:val="18"/>
              </w:rPr>
              <w:t>Proposes a self-assessment tool to integrate cybersecurity into internal audit; few studies could be analysed because of restricted access</w:t>
            </w:r>
          </w:p>
        </w:tc>
        <w:tc>
          <w:tcPr>
            <w:tcW w:type="dxa" w:w="1587"/>
          </w:tcPr>
          <w:p>
            <w:pPr>
              <w:jc w:val="left"/>
            </w:pPr>
            <w:r/>
            <w:r>
              <w:rPr>
                <w:b w:val="0"/>
                <w:sz w:val="18"/>
              </w:rPr>
              <w:t>Review-method precedent; gap</w:t>
            </w:r>
          </w:p>
        </w:tc>
      </w:tr>
      <w:tr>
        <w:tc>
          <w:tcPr>
            <w:tcW w:type="dxa" w:w="2041"/>
          </w:tcPr>
          <w:p>
            <w:pPr>
              <w:jc w:val="left"/>
            </w:pPr>
            <w:r/>
            <w:r>
              <w:rPr>
                <w:b w:val="0"/>
                <w:sz w:val="18"/>
              </w:rPr>
              <w:t>Sari et al. (2023)</w:t>
            </w:r>
          </w:p>
        </w:tc>
        <w:tc>
          <w:tcPr>
            <w:tcW w:type="dxa" w:w="1871"/>
          </w:tcPr>
          <w:p>
            <w:pPr>
              <w:jc w:val="left"/>
            </w:pPr>
            <w:r/>
            <w:r>
              <w:rPr>
                <w:b w:val="0"/>
                <w:sz w:val="18"/>
              </w:rPr>
              <w:t>Indonesian state-owned enterprises; mixed methods</w:t>
            </w:r>
          </w:p>
        </w:tc>
        <w:tc>
          <w:tcPr>
            <w:tcW w:type="dxa" w:w="3685"/>
          </w:tcPr>
          <w:p>
            <w:pPr>
              <w:jc w:val="left"/>
            </w:pPr>
            <w:r/>
            <w:r>
              <w:rPr>
                <w:b w:val="0"/>
                <w:sz w:val="18"/>
              </w:rPr>
              <w:t>Index of cyber risk management disclosure in annual reports</w:t>
            </w:r>
          </w:p>
        </w:tc>
        <w:tc>
          <w:tcPr>
            <w:tcW w:type="dxa" w:w="1587"/>
          </w:tcPr>
          <w:p>
            <w:pPr>
              <w:jc w:val="left"/>
            </w:pPr>
            <w:r/>
            <w:r>
              <w:rPr>
                <w:b w:val="0"/>
                <w:sz w:val="18"/>
              </w:rPr>
              <w:t>PEF (transparency, reporting)</w:t>
            </w:r>
          </w:p>
        </w:tc>
      </w:tr>
      <w:tr>
        <w:tc>
          <w:tcPr>
            <w:tcW w:type="dxa" w:w="2041"/>
          </w:tcPr>
          <w:p>
            <w:pPr>
              <w:jc w:val="left"/>
            </w:pPr>
            <w:r/>
            <w:r>
              <w:rPr>
                <w:b w:val="0"/>
                <w:sz w:val="18"/>
              </w:rPr>
              <w:t>Cremer et al. (2022)</w:t>
            </w:r>
          </w:p>
        </w:tc>
        <w:tc>
          <w:tcPr>
            <w:tcW w:type="dxa" w:w="1871"/>
          </w:tcPr>
          <w:p>
            <w:pPr>
              <w:jc w:val="left"/>
            </w:pPr>
            <w:r/>
            <w:r>
              <w:rPr>
                <w:b w:val="0"/>
                <w:sz w:val="18"/>
              </w:rPr>
              <w:t>Systematic review</w:t>
            </w:r>
          </w:p>
        </w:tc>
        <w:tc>
          <w:tcPr>
            <w:tcW w:type="dxa" w:w="3685"/>
          </w:tcPr>
          <w:p>
            <w:pPr>
              <w:jc w:val="left"/>
            </w:pPr>
            <w:r/>
            <w:r>
              <w:rPr>
                <w:b w:val="0"/>
                <w:sz w:val="18"/>
              </w:rPr>
              <w:t>5,219 studies, 79 datasets; shortage of open data</w:t>
            </w:r>
          </w:p>
        </w:tc>
        <w:tc>
          <w:tcPr>
            <w:tcW w:type="dxa" w:w="1587"/>
          </w:tcPr>
          <w:p>
            <w:pPr>
              <w:jc w:val="left"/>
            </w:pPr>
            <w:r/>
            <w:r>
              <w:rPr>
                <w:b w:val="0"/>
                <w:sz w:val="18"/>
              </w:rPr>
              <w:t>Delphi rationale</w:t>
            </w:r>
          </w:p>
        </w:tc>
      </w:tr>
      <w:tr>
        <w:tc>
          <w:tcPr>
            <w:tcW w:type="dxa" w:w="2041"/>
          </w:tcPr>
          <w:p>
            <w:pPr>
              <w:jc w:val="left"/>
            </w:pPr>
            <w:r/>
            <w:r>
              <w:rPr>
                <w:b w:val="0"/>
                <w:sz w:val="18"/>
              </w:rPr>
              <w:t>Wangen et al. (2018); Ganin et al. (2020); Wang et al. (2020); Armenia et al. (2021)</w:t>
            </w:r>
          </w:p>
        </w:tc>
        <w:tc>
          <w:tcPr>
            <w:tcW w:type="dxa" w:w="1871"/>
          </w:tcPr>
          <w:p>
            <w:pPr>
              <w:jc w:val="left"/>
            </w:pPr>
            <w:r/>
            <w:r>
              <w:rPr>
                <w:b w:val="0"/>
                <w:sz w:val="18"/>
              </w:rPr>
              <w:t>Risk assessment methods</w:t>
            </w:r>
          </w:p>
        </w:tc>
        <w:tc>
          <w:tcPr>
            <w:tcW w:type="dxa" w:w="3685"/>
          </w:tcPr>
          <w:p>
            <w:pPr>
              <w:jc w:val="left"/>
            </w:pPr>
            <w:r/>
            <w:r>
              <w:rPr>
                <w:b w:val="0"/>
                <w:sz w:val="18"/>
              </w:rPr>
              <w:t>Method completeness; multicriteria; Bayesian-FAIR; dynamic simulation</w:t>
            </w:r>
          </w:p>
        </w:tc>
        <w:tc>
          <w:tcPr>
            <w:tcW w:type="dxa" w:w="1587"/>
          </w:tcPr>
          <w:p>
            <w:pPr>
              <w:jc w:val="left"/>
            </w:pPr>
            <w:r/>
            <w:r>
              <w:rPr>
                <w:b w:val="0"/>
                <w:sz w:val="18"/>
              </w:rPr>
              <w:t>Risk-model layer</w:t>
            </w:r>
          </w:p>
        </w:tc>
      </w:tr>
    </w:tbl>
    <w:p/>
    <w:p>
      <w:pPr>
        <w:spacing w:after="80"/>
        <w:jc w:val="both"/>
      </w:pPr>
      <w:r>
        <w:rPr>
          <w:b/>
          <w:i w:val="0"/>
          <w:color w:val="1F3864"/>
          <w:sz w:val="24"/>
        </w:rPr>
        <w:t>2.5 From components to constructs</w:t>
      </w:r>
    </w:p>
    <w:p>
      <w:pPr>
        <w:spacing w:after="100"/>
        <w:jc w:val="both"/>
      </w:pPr>
      <w:r>
        <w:rPr>
          <w:b w:val="0"/>
          <w:i w:val="0"/>
        </w:rPr>
        <w:t>The 30 components of the matrix (Excel file) are summarized into six constructs for the structural model. The mapping is provisional and will be finalized after the Delphi study (including the experts' agreement on classifying each item). The constructs measure the extent and quality of assessment practices, not the entity's actual security.</w:t>
      </w:r>
    </w:p>
    <w:tbl>
      <w:tblPr>
        <w:tblStyle w:val="TableGrid"/>
        <w:tblW w:type="auto" w:w="0"/>
        <w:tblLayout w:type="fixed"/>
        <w:tblLook w:firstColumn="1" w:firstRow="1" w:lastColumn="0" w:lastRow="0" w:noHBand="0" w:noVBand="1" w:val="04A0"/>
      </w:tblPr>
      <w:tblGrid>
        <w:gridCol w:w="2721"/>
        <w:gridCol w:w="4082"/>
        <w:gridCol w:w="2381"/>
      </w:tblGrid>
      <w:tr>
        <w:tc>
          <w:tcPr>
            <w:tcW w:type="dxa" w:w="2721"/>
            <w:shd w:val="clear" w:color="auto" w:fill="1F3864"/>
          </w:tcPr>
          <w:p>
            <w:pPr>
              <w:jc w:val="left"/>
            </w:pPr>
            <w:r/>
            <w:r>
              <w:rPr>
                <w:b/>
                <w:color w:val="FFFFFF"/>
                <w:sz w:val="18"/>
              </w:rPr>
              <w:t>Construct</w:t>
            </w:r>
          </w:p>
        </w:tc>
        <w:tc>
          <w:tcPr>
            <w:tcW w:type="dxa" w:w="4082"/>
            <w:shd w:val="clear" w:color="auto" w:fill="1F3864"/>
          </w:tcPr>
          <w:p>
            <w:pPr>
              <w:jc w:val="left"/>
            </w:pPr>
            <w:r/>
            <w:r>
              <w:rPr>
                <w:b/>
                <w:color w:val="FFFFFF"/>
                <w:sz w:val="18"/>
              </w:rPr>
              <w:t>Definition</w:t>
            </w:r>
          </w:p>
        </w:tc>
        <w:tc>
          <w:tcPr>
            <w:tcW w:type="dxa" w:w="2381"/>
            <w:shd w:val="clear" w:color="auto" w:fill="1F3864"/>
          </w:tcPr>
          <w:p>
            <w:pPr>
              <w:jc w:val="left"/>
            </w:pPr>
            <w:r/>
            <w:r>
              <w:rPr>
                <w:b/>
                <w:color w:val="FFFFFF"/>
                <w:sz w:val="18"/>
              </w:rPr>
              <w:t>Matrix components</w:t>
            </w:r>
          </w:p>
        </w:tc>
      </w:tr>
      <w:tr>
        <w:tc>
          <w:tcPr>
            <w:tcW w:type="dxa" w:w="2721"/>
          </w:tcPr>
          <w:p>
            <w:pPr>
              <w:jc w:val="left"/>
            </w:pPr>
            <w:r/>
            <w:r>
              <w:rPr>
                <w:b w:val="0"/>
                <w:sz w:val="18"/>
              </w:rPr>
              <w:t>TVI: Threat and vulnerability identification</w:t>
            </w:r>
          </w:p>
        </w:tc>
        <w:tc>
          <w:tcPr>
            <w:tcW w:type="dxa" w:w="4082"/>
          </w:tcPr>
          <w:p>
            <w:pPr>
              <w:jc w:val="left"/>
            </w:pPr>
            <w:r/>
            <w:r>
              <w:rPr>
                <w:b w:val="0"/>
                <w:sz w:val="18"/>
              </w:rPr>
              <w:t>Extent and quality of identifying assets, threats and vulnerabilities</w:t>
            </w:r>
          </w:p>
        </w:tc>
        <w:tc>
          <w:tcPr>
            <w:tcW w:type="dxa" w:w="2381"/>
          </w:tcPr>
          <w:p>
            <w:pPr>
              <w:jc w:val="left"/>
            </w:pPr>
            <w:r/>
            <w:r>
              <w:rPr>
                <w:b w:val="0"/>
                <w:sz w:val="18"/>
              </w:rPr>
              <w:t>C04, C05, C06, A01</w:t>
            </w:r>
          </w:p>
        </w:tc>
      </w:tr>
      <w:tr>
        <w:tc>
          <w:tcPr>
            <w:tcW w:type="dxa" w:w="2721"/>
          </w:tcPr>
          <w:p>
            <w:pPr>
              <w:jc w:val="left"/>
            </w:pPr>
            <w:r/>
            <w:r>
              <w:rPr>
                <w:b w:val="0"/>
                <w:sz w:val="18"/>
              </w:rPr>
              <w:t>CCE: Control maturity and effectiveness evaluation</w:t>
            </w:r>
          </w:p>
        </w:tc>
        <w:tc>
          <w:tcPr>
            <w:tcW w:type="dxa" w:w="4082"/>
          </w:tcPr>
          <w:p>
            <w:pPr>
              <w:jc w:val="left"/>
            </w:pPr>
            <w:r/>
            <w:r>
              <w:rPr>
                <w:b w:val="0"/>
                <w:sz w:val="18"/>
              </w:rPr>
              <w:t>Evaluating design, implementation and operating effectiveness of controls</w:t>
            </w:r>
          </w:p>
        </w:tc>
        <w:tc>
          <w:tcPr>
            <w:tcW w:type="dxa" w:w="2381"/>
          </w:tcPr>
          <w:p>
            <w:pPr>
              <w:jc w:val="left"/>
            </w:pPr>
            <w:r/>
            <w:r>
              <w:rPr>
                <w:b w:val="0"/>
                <w:sz w:val="18"/>
              </w:rPr>
              <w:t>C09–C15, A03, A04</w:t>
            </w:r>
          </w:p>
        </w:tc>
      </w:tr>
      <w:tr>
        <w:tc>
          <w:tcPr>
            <w:tcW w:type="dxa" w:w="2721"/>
          </w:tcPr>
          <w:p>
            <w:pPr>
              <w:jc w:val="left"/>
            </w:pPr>
            <w:r/>
            <w:r>
              <w:rPr>
                <w:b w:val="0"/>
                <w:sz w:val="18"/>
              </w:rPr>
              <w:t>COL: Auditor–specialist collaboration and competence</w:t>
            </w:r>
          </w:p>
        </w:tc>
        <w:tc>
          <w:tcPr>
            <w:tcW w:type="dxa" w:w="4082"/>
          </w:tcPr>
          <w:p>
            <w:pPr>
              <w:jc w:val="left"/>
            </w:pPr>
            <w:r/>
            <w:r>
              <w:rPr>
                <w:b w:val="0"/>
                <w:sz w:val="18"/>
              </w:rPr>
              <w:t>Auditor technical knowledge, specialist involvement, role coordination</w:t>
            </w:r>
          </w:p>
        </w:tc>
        <w:tc>
          <w:tcPr>
            <w:tcW w:type="dxa" w:w="2381"/>
          </w:tcPr>
          <w:p>
            <w:pPr>
              <w:jc w:val="left"/>
            </w:pPr>
            <w:r/>
            <w:r>
              <w:rPr>
                <w:b w:val="0"/>
                <w:sz w:val="18"/>
              </w:rPr>
              <w:t>C01, A05, A06</w:t>
            </w:r>
          </w:p>
        </w:tc>
      </w:tr>
      <w:tr>
        <w:tc>
          <w:tcPr>
            <w:tcW w:type="dxa" w:w="2721"/>
          </w:tcPr>
          <w:p>
            <w:pPr>
              <w:jc w:val="left"/>
            </w:pPr>
            <w:r/>
            <w:r>
              <w:rPr>
                <w:b w:val="0"/>
                <w:sz w:val="18"/>
              </w:rPr>
              <w:t>RRJ: Likelihood, consequence and residual-risk judgment</w:t>
            </w:r>
          </w:p>
        </w:tc>
        <w:tc>
          <w:tcPr>
            <w:tcW w:type="dxa" w:w="4082"/>
          </w:tcPr>
          <w:p>
            <w:pPr>
              <w:jc w:val="left"/>
            </w:pPr>
            <w:r/>
            <w:r>
              <w:rPr>
                <w:b w:val="0"/>
                <w:sz w:val="18"/>
              </w:rPr>
              <w:t>Estimating, ranking and prioritizing risk with controls taken into account</w:t>
            </w:r>
          </w:p>
        </w:tc>
        <w:tc>
          <w:tcPr>
            <w:tcW w:type="dxa" w:w="2381"/>
          </w:tcPr>
          <w:p>
            <w:pPr>
              <w:jc w:val="left"/>
            </w:pPr>
            <w:r/>
            <w:r>
              <w:rPr>
                <w:b w:val="0"/>
                <w:sz w:val="18"/>
              </w:rPr>
              <w:t>C07, C08, A02</w:t>
            </w:r>
          </w:p>
        </w:tc>
      </w:tr>
      <w:tr>
        <w:tc>
          <w:tcPr>
            <w:tcW w:type="dxa" w:w="2721"/>
          </w:tcPr>
          <w:p>
            <w:pPr>
              <w:jc w:val="left"/>
            </w:pPr>
            <w:r/>
            <w:r>
              <w:rPr>
                <w:b w:val="0"/>
                <w:sz w:val="18"/>
              </w:rPr>
              <w:t>MOL: Continuous monitoring and organizational learning</w:t>
            </w:r>
          </w:p>
        </w:tc>
        <w:tc>
          <w:tcPr>
            <w:tcW w:type="dxa" w:w="4082"/>
          </w:tcPr>
          <w:p>
            <w:pPr>
              <w:jc w:val="left"/>
            </w:pPr>
            <w:r/>
            <w:r>
              <w:rPr>
                <w:b w:val="0"/>
                <w:sz w:val="18"/>
              </w:rPr>
              <w:t>Reassessment, monitoring, learning from incidents and improvement</w:t>
            </w:r>
          </w:p>
        </w:tc>
        <w:tc>
          <w:tcPr>
            <w:tcW w:type="dxa" w:w="2381"/>
          </w:tcPr>
          <w:p>
            <w:pPr>
              <w:jc w:val="left"/>
            </w:pPr>
            <w:r/>
            <w:r>
              <w:rPr>
                <w:b w:val="0"/>
                <w:sz w:val="18"/>
              </w:rPr>
              <w:t>C16, C17, C18, C20</w:t>
            </w:r>
          </w:p>
        </w:tc>
      </w:tr>
      <w:tr>
        <w:tc>
          <w:tcPr>
            <w:tcW w:type="dxa" w:w="2721"/>
          </w:tcPr>
          <w:p>
            <w:pPr>
              <w:jc w:val="left"/>
            </w:pPr>
            <w:r/>
            <w:r>
              <w:rPr>
                <w:b w:val="0"/>
                <w:sz w:val="18"/>
              </w:rPr>
              <w:t>PEF: Effectiveness of the assessment process</w:t>
            </w:r>
          </w:p>
        </w:tc>
        <w:tc>
          <w:tcPr>
            <w:tcW w:type="dxa" w:w="4082"/>
          </w:tcPr>
          <w:p>
            <w:pPr>
              <w:jc w:val="left"/>
            </w:pPr>
            <w:r/>
            <w:r>
              <w:rPr>
                <w:b w:val="0"/>
                <w:sz w:val="18"/>
              </w:rPr>
              <w:t>Completeness, timely reporting, prioritization and follow-up</w:t>
            </w:r>
          </w:p>
        </w:tc>
        <w:tc>
          <w:tcPr>
            <w:tcW w:type="dxa" w:w="2381"/>
          </w:tcPr>
          <w:p>
            <w:pPr>
              <w:jc w:val="left"/>
            </w:pPr>
            <w:r/>
            <w:r>
              <w:rPr>
                <w:b w:val="0"/>
                <w:sz w:val="18"/>
              </w:rPr>
              <w:t>C21, A07, A08, A09</w:t>
            </w:r>
          </w:p>
        </w:tc>
      </w:tr>
      <w:tr>
        <w:tc>
          <w:tcPr>
            <w:tcW w:type="dxa" w:w="2721"/>
          </w:tcPr>
          <w:p>
            <w:pPr>
              <w:jc w:val="left"/>
            </w:pPr>
            <w:r/>
            <w:r>
              <w:rPr>
                <w:b w:val="0"/>
                <w:sz w:val="18"/>
              </w:rPr>
              <w:t>Context / control variables</w:t>
            </w:r>
          </w:p>
        </w:tc>
        <w:tc>
          <w:tcPr>
            <w:tcW w:type="dxa" w:w="4082"/>
          </w:tcPr>
          <w:p>
            <w:pPr>
              <w:jc w:val="left"/>
            </w:pPr>
            <w:r/>
            <w:r>
              <w:rPr>
                <w:b w:val="0"/>
                <w:sz w:val="18"/>
              </w:rPr>
              <w:t>Policy and scope, legal requirements, size, sector, experience</w:t>
            </w:r>
          </w:p>
        </w:tc>
        <w:tc>
          <w:tcPr>
            <w:tcW w:type="dxa" w:w="2381"/>
          </w:tcPr>
          <w:p>
            <w:pPr>
              <w:jc w:val="left"/>
            </w:pPr>
            <w:r/>
            <w:r>
              <w:rPr>
                <w:b w:val="0"/>
                <w:sz w:val="18"/>
              </w:rPr>
              <w:t>C02, C03, C19 and demographics</w:t>
            </w:r>
          </w:p>
        </w:tc>
      </w:tr>
    </w:tbl>
    <w:p/>
    <w:p>
      <w:pPr>
        <w:spacing w:after="140"/>
        <w:jc w:val="both"/>
      </w:pPr>
      <w:r>
        <w:rPr>
          <w:b/>
          <w:i w:val="0"/>
          <w:color w:val="1F3864"/>
          <w:sz w:val="30"/>
        </w:rPr>
        <w:t>3. Conceptual Model and Hypotheses</w:t>
      </w:r>
    </w:p>
    <w:p>
      <w:pPr>
        <w:spacing w:after="100"/>
        <w:jc w:val="both"/>
      </w:pPr>
      <w:r>
        <w:rPr>
          <w:b w:val="0"/>
          <w:i w:val="0"/>
        </w:rPr>
        <w:t>The hypotheses belong to Paper 2 (the structural model). Paper 1 (Delphi) relies on RQ1–RQ3 and does not test statistical hypotheses.</w:t>
      </w:r>
    </w:p>
    <w:p>
      <w:pPr>
        <w:jc w:val="center"/>
      </w:pPr>
      <w:r>
        <w:drawing>
          <wp:inline xmlns:a="http://schemas.openxmlformats.org/drawingml/2006/main" xmlns:pic="http://schemas.openxmlformats.org/drawingml/2006/picture">
            <wp:extent cx="5580000" cy="3241294"/>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580000" cy="3241294"/>
                    </a:xfrm>
                    <a:prstGeom prst="rect"/>
                  </pic:spPr>
                </pic:pic>
              </a:graphicData>
            </a:graphic>
          </wp:inline>
        </w:drawing>
      </w:r>
    </w:p>
    <w:p>
      <w:pPr>
        <w:spacing w:after="100"/>
        <w:jc w:val="center"/>
      </w:pPr>
      <w:r>
        <w:rPr>
          <w:b w:val="0"/>
          <w:i w:val="0"/>
          <w:color w:val="5A5A5A"/>
          <w:sz w:val="18"/>
        </w:rPr>
        <w:t>Figure 1. Proposed structural model.</w:t>
      </w:r>
    </w:p>
    <w:tbl>
      <w:tblPr>
        <w:tblStyle w:val="TableGrid"/>
        <w:tblW w:type="auto" w:w="0"/>
        <w:tblLayout w:type="fixed"/>
        <w:tblLook w:firstColumn="1" w:firstRow="1" w:lastColumn="0" w:lastRow="0" w:noHBand="0" w:noVBand="1" w:val="04A0"/>
      </w:tblPr>
      <w:tblGrid>
        <w:gridCol w:w="1304"/>
        <w:gridCol w:w="3061"/>
        <w:gridCol w:w="4819"/>
      </w:tblGrid>
      <w:tr>
        <w:tc>
          <w:tcPr>
            <w:tcW w:type="dxa" w:w="1304"/>
            <w:shd w:val="clear" w:color="auto" w:fill="1F3864"/>
          </w:tcPr>
          <w:p>
            <w:pPr>
              <w:jc w:val="left"/>
            </w:pPr>
            <w:r/>
            <w:r>
              <w:rPr>
                <w:b/>
                <w:color w:val="FFFFFF"/>
                <w:sz w:val="18"/>
              </w:rPr>
              <w:t>Hypothesis</w:t>
            </w:r>
          </w:p>
        </w:tc>
        <w:tc>
          <w:tcPr>
            <w:tcW w:type="dxa" w:w="3061"/>
            <w:shd w:val="clear" w:color="auto" w:fill="1F3864"/>
          </w:tcPr>
          <w:p>
            <w:pPr>
              <w:jc w:val="left"/>
            </w:pPr>
            <w:r/>
            <w:r>
              <w:rPr>
                <w:b/>
                <w:color w:val="FFFFFF"/>
                <w:sz w:val="18"/>
              </w:rPr>
              <w:t>Statement</w:t>
            </w:r>
          </w:p>
        </w:tc>
        <w:tc>
          <w:tcPr>
            <w:tcW w:type="dxa" w:w="4819"/>
            <w:shd w:val="clear" w:color="auto" w:fill="1F3864"/>
          </w:tcPr>
          <w:p>
            <w:pPr>
              <w:jc w:val="left"/>
            </w:pPr>
            <w:r/>
            <w:r>
              <w:rPr>
                <w:b/>
                <w:color w:val="FFFFFF"/>
                <w:sz w:val="18"/>
              </w:rPr>
              <w:t>Basis</w:t>
            </w:r>
          </w:p>
        </w:tc>
      </w:tr>
      <w:tr>
        <w:tc>
          <w:tcPr>
            <w:tcW w:type="dxa" w:w="1304"/>
          </w:tcPr>
          <w:p>
            <w:pPr>
              <w:jc w:val="left"/>
            </w:pPr>
            <w:r/>
            <w:r>
              <w:rPr>
                <w:b w:val="0"/>
                <w:sz w:val="18"/>
              </w:rPr>
              <w:t>H1</w:t>
            </w:r>
          </w:p>
        </w:tc>
        <w:tc>
          <w:tcPr>
            <w:tcW w:type="dxa" w:w="3061"/>
          </w:tcPr>
          <w:p>
            <w:pPr>
              <w:jc w:val="left"/>
            </w:pPr>
            <w:r/>
            <w:r>
              <w:rPr>
                <w:b w:val="0"/>
                <w:sz w:val="18"/>
              </w:rPr>
              <w:t>Threat and vulnerability identification (TVI) positively affects risk judgment (RRJ).</w:t>
            </w:r>
          </w:p>
        </w:tc>
        <w:tc>
          <w:tcPr>
            <w:tcW w:type="dxa" w:w="4819"/>
          </w:tcPr>
          <w:p>
            <w:pPr>
              <w:jc w:val="left"/>
            </w:pPr>
            <w:r/>
            <w:r>
              <w:rPr>
                <w:b w:val="0"/>
                <w:sz w:val="18"/>
              </w:rPr>
              <w:t>ISA 315 requires understanding the IT environment and its risks before assessing material misstatement; ISO/IEC 27005:2022 places risk identification before analysis and evaluation; NIST CSF 2.0 places risk assessment under Identify; Wangen et al. (2018) and Ganin et al. (2020) stress full coverage of threat, vulnerability and consequence.</w:t>
            </w:r>
          </w:p>
        </w:tc>
      </w:tr>
      <w:tr>
        <w:tc>
          <w:tcPr>
            <w:tcW w:type="dxa" w:w="1304"/>
          </w:tcPr>
          <w:p>
            <w:pPr>
              <w:jc w:val="left"/>
            </w:pPr>
            <w:r/>
            <w:r>
              <w:rPr>
                <w:b w:val="0"/>
                <w:sz w:val="18"/>
              </w:rPr>
              <w:t>H2</w:t>
            </w:r>
          </w:p>
        </w:tc>
        <w:tc>
          <w:tcPr>
            <w:tcW w:type="dxa" w:w="3061"/>
          </w:tcPr>
          <w:p>
            <w:pPr>
              <w:jc w:val="left"/>
            </w:pPr>
            <w:r/>
            <w:r>
              <w:rPr>
                <w:b w:val="0"/>
                <w:sz w:val="18"/>
              </w:rPr>
              <w:t>Control maturity and effectiveness evaluation (CCE) positively affects risk judgment (RRJ).</w:t>
            </w:r>
          </w:p>
        </w:tc>
        <w:tc>
          <w:tcPr>
            <w:tcW w:type="dxa" w:w="4819"/>
          </w:tcPr>
          <w:p>
            <w:pPr>
              <w:jc w:val="left"/>
            </w:pPr>
            <w:r/>
            <w:r>
              <w:rPr>
                <w:b w:val="0"/>
                <w:sz w:val="18"/>
              </w:rPr>
              <w:t>ISA 315 requires evaluating the design and implementation of relevant controls and GITC; residual risk is meaningless without control evaluation; Chen et al. (2025) show control weaknesses entering auditor opinions.</w:t>
            </w:r>
          </w:p>
        </w:tc>
      </w:tr>
      <w:tr>
        <w:tc>
          <w:tcPr>
            <w:tcW w:type="dxa" w:w="1304"/>
          </w:tcPr>
          <w:p>
            <w:pPr>
              <w:jc w:val="left"/>
            </w:pPr>
            <w:r/>
            <w:r>
              <w:rPr>
                <w:b w:val="0"/>
                <w:sz w:val="18"/>
              </w:rPr>
              <w:t>H3</w:t>
            </w:r>
          </w:p>
        </w:tc>
        <w:tc>
          <w:tcPr>
            <w:tcW w:type="dxa" w:w="3061"/>
          </w:tcPr>
          <w:p>
            <w:pPr>
              <w:jc w:val="left"/>
            </w:pPr>
            <w:r/>
            <w:r>
              <w:rPr>
                <w:b w:val="0"/>
                <w:sz w:val="18"/>
              </w:rPr>
              <w:t>Auditor–specialist collaboration and competence (COL) positively affects risk judgment (RRJ).</w:t>
            </w:r>
          </w:p>
        </w:tc>
        <w:tc>
          <w:tcPr>
            <w:tcW w:type="dxa" w:w="4819"/>
          </w:tcPr>
          <w:p>
            <w:pPr>
              <w:jc w:val="left"/>
            </w:pPr>
            <w:r/>
            <w:r>
              <w:rPr>
                <w:b w:val="0"/>
                <w:sz w:val="18"/>
              </w:rPr>
              <w:t>Slapničar et al. (2026), Alzeban et al. (2025), Islam et al. (2018), Steinbart et al. (2018) and Kahyaoğlu and Çalıyurt (2018); ISA 620 on using experts.</w:t>
            </w:r>
          </w:p>
        </w:tc>
      </w:tr>
      <w:tr>
        <w:tc>
          <w:tcPr>
            <w:tcW w:type="dxa" w:w="1304"/>
          </w:tcPr>
          <w:p>
            <w:pPr>
              <w:jc w:val="left"/>
            </w:pPr>
            <w:r/>
            <w:r>
              <w:rPr>
                <w:b w:val="0"/>
                <w:sz w:val="18"/>
              </w:rPr>
              <w:t>H4a/H4b</w:t>
            </w:r>
          </w:p>
        </w:tc>
        <w:tc>
          <w:tcPr>
            <w:tcW w:type="dxa" w:w="3061"/>
          </w:tcPr>
          <w:p>
            <w:pPr>
              <w:jc w:val="left"/>
            </w:pPr>
            <w:r/>
            <w:r>
              <w:rPr>
                <w:b w:val="0"/>
                <w:sz w:val="18"/>
              </w:rPr>
              <w:t>COL strengthens the TVI→RRJ (H4a) and CCE→RRJ (H4b) relations.</w:t>
            </w:r>
          </w:p>
        </w:tc>
        <w:tc>
          <w:tcPr>
            <w:tcW w:type="dxa" w:w="4819"/>
          </w:tcPr>
          <w:p>
            <w:pPr>
              <w:jc w:val="left"/>
            </w:pPr>
            <w:r/>
            <w:r>
              <w:rPr>
                <w:b w:val="0"/>
                <w:sz w:val="18"/>
              </w:rPr>
              <w:t>Technical information becomes judgment when interpretation is competent and coordinated (dynamic-capabilities logic). Direct evidence is scarce, so this hypothesis is novel and exploratory.</w:t>
            </w:r>
          </w:p>
        </w:tc>
      </w:tr>
      <w:tr>
        <w:tc>
          <w:tcPr>
            <w:tcW w:type="dxa" w:w="1304"/>
          </w:tcPr>
          <w:p>
            <w:pPr>
              <w:jc w:val="left"/>
            </w:pPr>
            <w:r/>
            <w:r>
              <w:rPr>
                <w:b w:val="0"/>
                <w:sz w:val="18"/>
              </w:rPr>
              <w:t>H5</w:t>
            </w:r>
          </w:p>
        </w:tc>
        <w:tc>
          <w:tcPr>
            <w:tcW w:type="dxa" w:w="3061"/>
          </w:tcPr>
          <w:p>
            <w:pPr>
              <w:jc w:val="left"/>
            </w:pPr>
            <w:r/>
            <w:r>
              <w:rPr>
                <w:b w:val="0"/>
                <w:sz w:val="18"/>
              </w:rPr>
              <w:t>Risk judgment (RRJ) positively affects process effectiveness (PEF).</w:t>
            </w:r>
          </w:p>
        </w:tc>
        <w:tc>
          <w:tcPr>
            <w:tcW w:type="dxa" w:w="4819"/>
          </w:tcPr>
          <w:p>
            <w:pPr>
              <w:jc w:val="left"/>
            </w:pPr>
            <w:r/>
            <w:r>
              <w:rPr>
                <w:b w:val="0"/>
                <w:sz w:val="18"/>
              </w:rPr>
              <w:t>Prioritization and reporting are outputs of risk judgment; planning–performing–reporting structure in Slapničar et al. (2022); ISA 260 and 265 on communicating findings.</w:t>
            </w:r>
          </w:p>
        </w:tc>
      </w:tr>
      <w:tr>
        <w:tc>
          <w:tcPr>
            <w:tcW w:type="dxa" w:w="1304"/>
          </w:tcPr>
          <w:p>
            <w:pPr>
              <w:jc w:val="left"/>
            </w:pPr>
            <w:r/>
            <w:r>
              <w:rPr>
                <w:b w:val="0"/>
                <w:sz w:val="18"/>
              </w:rPr>
              <w:t>H6</w:t>
            </w:r>
          </w:p>
        </w:tc>
        <w:tc>
          <w:tcPr>
            <w:tcW w:type="dxa" w:w="3061"/>
          </w:tcPr>
          <w:p>
            <w:pPr>
              <w:jc w:val="left"/>
            </w:pPr>
            <w:r/>
            <w:r>
              <w:rPr>
                <w:b w:val="0"/>
                <w:sz w:val="18"/>
              </w:rPr>
              <w:t>Risk judgment (RRJ) positively affects continuous monitoring and learning (MOL).</w:t>
            </w:r>
          </w:p>
        </w:tc>
        <w:tc>
          <w:tcPr>
            <w:tcW w:type="dxa" w:w="4819"/>
          </w:tcPr>
          <w:p>
            <w:pPr>
              <w:jc w:val="left"/>
            </w:pPr>
            <w:r/>
            <w:r>
              <w:rPr>
                <w:b w:val="0"/>
                <w:sz w:val="18"/>
              </w:rPr>
              <w:t>Risk judgments trigger reassessment and monitoring; NIST ID.IM; performance-evaluation and improvement clauses of ISO/IEC 27001:2022; Armenia et al. (2021) on the need for dynamic approaches.</w:t>
            </w:r>
          </w:p>
        </w:tc>
      </w:tr>
      <w:tr>
        <w:tc>
          <w:tcPr>
            <w:tcW w:type="dxa" w:w="1304"/>
          </w:tcPr>
          <w:p>
            <w:pPr>
              <w:jc w:val="left"/>
            </w:pPr>
            <w:r/>
            <w:r>
              <w:rPr>
                <w:b w:val="0"/>
                <w:sz w:val="18"/>
              </w:rPr>
              <w:t>H7</w:t>
            </w:r>
          </w:p>
        </w:tc>
        <w:tc>
          <w:tcPr>
            <w:tcW w:type="dxa" w:w="3061"/>
          </w:tcPr>
          <w:p>
            <w:pPr>
              <w:jc w:val="left"/>
            </w:pPr>
            <w:r/>
            <w:r>
              <w:rPr>
                <w:b w:val="0"/>
                <w:sz w:val="18"/>
              </w:rPr>
              <w:t>Continuous monitoring and learning (MOL) positively affects process effectiveness (PEF).</w:t>
            </w:r>
          </w:p>
        </w:tc>
        <w:tc>
          <w:tcPr>
            <w:tcW w:type="dxa" w:w="4819"/>
          </w:tcPr>
          <w:p>
            <w:pPr>
              <w:jc w:val="left"/>
            </w:pPr>
            <w:r/>
            <w:r>
              <w:rPr>
                <w:b w:val="0"/>
                <w:sz w:val="18"/>
              </w:rPr>
              <w:t>Chen et al. (2025) on cross-client learning; Alzeban et al. (2025) on resilience.</w:t>
            </w:r>
          </w:p>
        </w:tc>
      </w:tr>
      <w:tr>
        <w:tc>
          <w:tcPr>
            <w:tcW w:type="dxa" w:w="1304"/>
          </w:tcPr>
          <w:p>
            <w:pPr>
              <w:jc w:val="left"/>
            </w:pPr>
            <w:r/>
            <w:r>
              <w:rPr>
                <w:b w:val="0"/>
                <w:sz w:val="18"/>
              </w:rPr>
              <w:t>H8a/H8b</w:t>
            </w:r>
          </w:p>
        </w:tc>
        <w:tc>
          <w:tcPr>
            <w:tcW w:type="dxa" w:w="3061"/>
          </w:tcPr>
          <w:p>
            <w:pPr>
              <w:jc w:val="left"/>
            </w:pPr>
            <w:r/>
            <w:r>
              <w:rPr>
                <w:b w:val="0"/>
                <w:sz w:val="18"/>
              </w:rPr>
              <w:t>RRJ mediates TVI→PEF (H8a) and CCE→PEF (H8b).</w:t>
            </w:r>
          </w:p>
        </w:tc>
        <w:tc>
          <w:tcPr>
            <w:tcW w:type="dxa" w:w="4819"/>
          </w:tcPr>
          <w:p>
            <w:pPr>
              <w:jc w:val="left"/>
            </w:pPr>
            <w:r/>
            <w:r>
              <w:rPr>
                <w:b w:val="0"/>
                <w:sz w:val="18"/>
              </w:rPr>
              <w:t>The effect of identification and control evaluation on effectiveness runs through risk judgment (tested with bootstrapped indirect effects).</w:t>
            </w:r>
          </w:p>
        </w:tc>
      </w:tr>
      <w:tr>
        <w:tc>
          <w:tcPr>
            <w:tcW w:type="dxa" w:w="1304"/>
          </w:tcPr>
          <w:p>
            <w:pPr>
              <w:jc w:val="left"/>
            </w:pPr>
            <w:r/>
            <w:r>
              <w:rPr>
                <w:b w:val="0"/>
                <w:sz w:val="18"/>
              </w:rPr>
              <w:t>H9</w:t>
            </w:r>
          </w:p>
        </w:tc>
        <w:tc>
          <w:tcPr>
            <w:tcW w:type="dxa" w:w="3061"/>
          </w:tcPr>
          <w:p>
            <w:pPr>
              <w:jc w:val="left"/>
            </w:pPr>
            <w:r/>
            <w:r>
              <w:rPr>
                <w:b w:val="0"/>
                <w:sz w:val="18"/>
              </w:rPr>
              <w:t>COL has a positive direct effect on PEF.</w:t>
            </w:r>
          </w:p>
        </w:tc>
        <w:tc>
          <w:tcPr>
            <w:tcW w:type="dxa" w:w="4819"/>
          </w:tcPr>
          <w:p>
            <w:pPr>
              <w:jc w:val="left"/>
            </w:pPr>
            <w:r/>
            <w:r>
              <w:rPr>
                <w:b w:val="0"/>
                <w:sz w:val="18"/>
              </w:rPr>
              <w:t>Beyond judgment, collaboration and competence aid communication and follow-up (Slapničar et al., 2026; Alzeban et al., 2025).</w:t>
            </w:r>
          </w:p>
        </w:tc>
      </w:tr>
      <w:tr>
        <w:tc>
          <w:tcPr>
            <w:tcW w:type="dxa" w:w="1304"/>
          </w:tcPr>
          <w:p>
            <w:pPr>
              <w:jc w:val="left"/>
            </w:pPr>
            <w:r/>
            <w:r>
              <w:rPr>
                <w:b w:val="0"/>
                <w:sz w:val="18"/>
              </w:rPr>
              <w:t>H10</w:t>
            </w:r>
          </w:p>
        </w:tc>
        <w:tc>
          <w:tcPr>
            <w:tcW w:type="dxa" w:w="3061"/>
          </w:tcPr>
          <w:p>
            <w:pPr>
              <w:jc w:val="left"/>
            </w:pPr>
            <w:r/>
            <w:r>
              <w:rPr>
                <w:b w:val="0"/>
                <w:sz w:val="18"/>
              </w:rPr>
              <w:t>Path strengths differ between the audited-entity group and the auditor group.</w:t>
            </w:r>
          </w:p>
        </w:tc>
        <w:tc>
          <w:tcPr>
            <w:tcW w:type="dxa" w:w="4819"/>
          </w:tcPr>
          <w:p>
            <w:pPr>
              <w:jc w:val="left"/>
            </w:pPr>
            <w:r/>
            <w:r>
              <w:rPr>
                <w:b w:val="0"/>
                <w:sz w:val="18"/>
              </w:rPr>
              <w:t>Information asymmetry (agency theory) and role differences; non-directional, tested with multi-group analysis (MICOM and MGA).</w:t>
            </w:r>
          </w:p>
        </w:tc>
      </w:tr>
    </w:tbl>
    <w:p/>
    <w:p>
      <w:pPr>
        <w:spacing w:after="80"/>
        <w:jc w:val="both"/>
      </w:pPr>
      <w:r>
        <w:rPr>
          <w:b/>
          <w:i w:val="0"/>
          <w:color w:val="1F3864"/>
          <w:sz w:val="24"/>
        </w:rPr>
        <w:t>3.1 Operational notes</w:t>
      </w:r>
    </w:p>
    <w:p>
      <w:pPr>
        <w:spacing w:after="40"/>
        <w:jc w:val="both"/>
      </w:pPr>
      <w:r>
        <w:t>• Measurement: items come from the Delphi-validated components. Components are often formative indicators; decide and justify the measurement type (reflective or formative) of each construct at the start.</w:t>
      </w:r>
    </w:p>
    <w:p>
      <w:pPr>
        <w:spacing w:after="40"/>
        <w:jc w:val="both"/>
      </w:pPr>
      <w:r>
        <w:t>• Group (entity versus auditor) is the categorical variable for MGA; measurement invariance (MICOM) is checked before comparison.</w:t>
      </w:r>
    </w:p>
    <w:p>
      <w:pPr>
        <w:spacing w:after="40"/>
        <w:jc w:val="both"/>
      </w:pPr>
      <w:r>
        <w:t>• Controls: size, sector, experience, professional certification, auditor type.</w:t>
      </w:r>
    </w:p>
    <w:p>
      <w:pPr>
        <w:spacing w:after="40"/>
        <w:jc w:val="both"/>
      </w:pPr>
      <w:r>
        <w:t>• Common method bias: anonymity, full collinearity VIF and, if needed, a marker-variable approach.</w:t>
      </w:r>
    </w:p>
    <w:p>
      <w:pPr>
        <w:spacing w:after="20"/>
      </w:pPr>
    </w:p>
    <w:p>
      <w:pPr>
        <w:spacing w:after="140"/>
        <w:jc w:val="both"/>
      </w:pPr>
      <w:r>
        <w:rPr>
          <w:b/>
          <w:i w:val="0"/>
          <w:color w:val="1F3864"/>
          <w:sz w:val="30"/>
        </w:rPr>
        <w:t>4. Novelty and Contribution</w:t>
      </w:r>
    </w:p>
    <w:p>
      <w:pPr>
        <w:spacing w:after="100"/>
        <w:jc w:val="both"/>
      </w:pPr>
      <w:r>
        <w:rPr>
          <w:b w:val="0"/>
          <w:i w:val="0"/>
        </w:rPr>
        <w:t>The claims are deliberately cautious, rest on the searches performed, and must be confirmed with a fresh search before submission.</w:t>
      </w:r>
    </w:p>
    <w:p>
      <w:pPr>
        <w:spacing w:after="40"/>
        <w:jc w:val="both"/>
      </w:pPr>
      <w:r>
        <w:t>• Two-perspective model: components are identified and validated from both the audited entity's and the auditor's perspective, with shared components bridging the two. This integrates entity-centred frameworks (NIST, ISO, SOC for Cybersecurity) with auditing standards (ISA 315 and related) in one model.</w:t>
      </w:r>
    </w:p>
    <w:p>
      <w:pPr>
        <w:spacing w:after="40"/>
        <w:jc w:val="both"/>
      </w:pPr>
      <w:r>
        <w:t>• Three layers combined: risk model, management cycle and assurance layer in a single model, whereas many of the studies reviewed cover only one layer.</w:t>
      </w:r>
    </w:p>
    <w:p>
      <w:pPr>
        <w:spacing w:after="40"/>
        <w:jc w:val="both"/>
      </w:pPr>
      <w:r>
        <w:t>• Localization: validation with Iranian experts in a regulatory and sanctions environment, an emerging economy for which evidence on cyber risk assessment in auditing is limited.</w:t>
      </w:r>
    </w:p>
    <w:p>
      <w:pPr>
        <w:spacing w:after="40"/>
        <w:jc w:val="both"/>
      </w:pPr>
      <w:r>
        <w:t>• Traceable matrix: each component is linked to confirmed clauses of standards and to prior research (Excel file).</w:t>
      </w:r>
    </w:p>
    <w:p>
      <w:pPr>
        <w:spacing w:after="40"/>
        <w:jc w:val="both"/>
      </w:pPr>
      <w:r>
        <w:t>• From components to structure: an explicit path from Delphi (validation and classification of items) to a structural model, with new hypotheses on the moderating role of auditor–specialist collaboration (H4) and on group differences (H10).</w:t>
      </w:r>
    </w:p>
    <w:p>
      <w:pPr>
        <w:spacing w:after="40"/>
        <w:jc w:val="both"/>
      </w:pPr>
      <w:r>
        <w:t>• Practical contribution: a tool for auditors, security managers, internal auditors and regulators to design cyber risk assessment programs and requirements.</w:t>
      </w:r>
    </w:p>
    <w:p>
      <w:pPr>
        <w:spacing w:after="20"/>
      </w:pPr>
    </w:p>
    <w:p>
      <w:pPr>
        <w:spacing w:after="140"/>
        <w:jc w:val="both"/>
      </w:pPr>
      <w:r>
        <w:rPr>
          <w:b/>
          <w:i w:val="0"/>
          <w:color w:val="1F3864"/>
          <w:sz w:val="30"/>
        </w:rPr>
        <w:t>5. Limits of the Claims and Next Steps</w:t>
      </w:r>
    </w:p>
    <w:p>
      <w:pPr>
        <w:spacing w:after="40"/>
        <w:jc w:val="both"/>
      </w:pPr>
      <w:r>
        <w:t>• The claim that no Iranian study exists is provisional. Search Persian databases (SID, Magiran, ISC, Civilica) with keywords for cybersecurity audit, cyber risk assessment and IT audit, and document the search.</w:t>
      </w:r>
    </w:p>
    <w:p>
      <w:pPr>
        <w:spacing w:after="40"/>
        <w:jc w:val="both"/>
      </w:pPr>
      <w:r>
        <w:t>• Read the full texts of the key papers (especially Slapničar et al. 2026, Chen et al. 2025 and Alzeban et al. 2025) and take exact findings and figures from them.</w:t>
      </w:r>
    </w:p>
    <w:p>
      <w:pPr>
        <w:spacing w:after="40"/>
        <w:jc w:val="both"/>
      </w:pPr>
      <w:r>
        <w:t>• [IR-1] and [IR-2] still lack full authors and titles; complete them from the source.</w:t>
      </w:r>
    </w:p>
    <w:p>
      <w:pPr>
        <w:spacing w:after="40"/>
        <w:jc w:val="both"/>
      </w:pPr>
      <w:r>
        <w:t>• Check the matrix and clause numbers against the official texts (sheet منابع_رسمی).</w:t>
      </w:r>
    </w:p>
    <w:p>
      <w:pPr>
        <w:spacing w:after="40"/>
        <w:jc w:val="both"/>
      </w:pPr>
      <w:r>
        <w:t>• Repeat the literature search for newer items (2026 to the submission date) before submitting.</w:t>
      </w:r>
    </w:p>
    <w:p>
      <w:pPr>
        <w:spacing w:after="20"/>
      </w:pPr>
    </w:p>
    <w:p>
      <w:pPr>
        <w:spacing w:after="140"/>
        <w:jc w:val="both"/>
      </w:pPr>
      <w:r>
        <w:rPr>
          <w:b/>
          <w:i w:val="0"/>
          <w:color w:val="1F3864"/>
          <w:sz w:val="30"/>
        </w:rPr>
        <w:t>References</w:t>
      </w:r>
    </w:p>
    <w:p>
      <w:pPr>
        <w:spacing w:after="100"/>
        <w:jc w:val="both"/>
      </w:pPr>
      <w:r>
        <w:rPr>
          <w:b w:val="0"/>
          <w:i w:val="0"/>
          <w:color w:val="5A5A5A"/>
          <w:sz w:val="18"/>
        </w:rPr>
        <w:t>Status: V = bibliographic details confirmed by web search; P = partly confirmed (see bracketed note); K = classic reference not re-searched in this session.</w:t>
      </w:r>
    </w:p>
    <w:p>
      <w:pPr>
        <w:spacing w:after="60"/>
        <w:jc w:val="left"/>
      </w:pPr>
      <w:r>
        <w:rPr>
          <w:b w:val="0"/>
          <w:i w:val="0"/>
          <w:sz w:val="18"/>
        </w:rPr>
        <w:t>[P] Alzeban, A., Al-Hajaya, K., Sawan, N., Chammaa, H., &amp; Foster, J. (2025). The quality of cybersecurity audits: Do synergies among the chief audit executive, IT governance and internal audit functions matter? Managerial Auditing Journal. [volume, pages and DOI to be confirmed]</w:t>
      </w:r>
    </w:p>
    <w:p>
      <w:pPr>
        <w:spacing w:after="60"/>
        <w:jc w:val="left"/>
      </w:pPr>
      <w:r>
        <w:rPr>
          <w:b w:val="0"/>
          <w:i w:val="0"/>
          <w:sz w:val="18"/>
        </w:rPr>
        <w:t>[V] Armenia, S., Angelini, M., Nonino, F., Palombi, G., &amp; Schlitzer, M. F. (2021). A dynamic simulation approach to support the evaluation of cyber risks and security investments in SMEs. Decision Support Systems, 147, 113580. https://doi.org/10.1016/j.dss.2021.113580</w:t>
      </w:r>
    </w:p>
    <w:p>
      <w:pPr>
        <w:spacing w:after="60"/>
        <w:jc w:val="left"/>
      </w:pPr>
      <w:r>
        <w:rPr>
          <w:b w:val="0"/>
          <w:i w:val="0"/>
          <w:sz w:val="18"/>
        </w:rPr>
        <w:t>[K] Barney, J. (1991). Firm resources and sustained competitive advantage. Journal of Management, 17(1), 99–120.</w:t>
      </w:r>
    </w:p>
    <w:p>
      <w:pPr>
        <w:spacing w:after="60"/>
        <w:jc w:val="left"/>
      </w:pPr>
      <w:r>
        <w:rPr>
          <w:b w:val="0"/>
          <w:i w:val="0"/>
          <w:sz w:val="18"/>
        </w:rPr>
        <w:t>[V] Bedard, J. C., Graham, L., &amp; Jackson, C. (2005). Information systems risk and audit planning. International Journal of Auditing, 9, 147–163. https://doi.org/10.1111/j.1099-1123.2005.00267.x</w:t>
      </w:r>
    </w:p>
    <w:p>
      <w:pPr>
        <w:spacing w:after="60"/>
        <w:jc w:val="left"/>
      </w:pPr>
      <w:r>
        <w:rPr>
          <w:b w:val="0"/>
          <w:i w:val="0"/>
          <w:sz w:val="18"/>
        </w:rPr>
        <w:t>[V] Cernovschi, C.-R., Ciubotariu, M.-S., &amp; Mihăilă, S. (2025). Integrating cybersecurity into internal audit through a self-assessment tool based on a systematic literature review. Economy and Sociology, (1), 43–54. https://doi.org/10.36004/nier.es.2025.1-08</w:t>
      </w:r>
    </w:p>
    <w:p>
      <w:pPr>
        <w:spacing w:after="60"/>
        <w:jc w:val="left"/>
      </w:pPr>
      <w:r>
        <w:rPr>
          <w:b w:val="0"/>
          <w:i w:val="0"/>
          <w:sz w:val="18"/>
        </w:rPr>
        <w:t>[P] Chen, X., et al. (2025). Fortifying the nonbreached: Auditors' role in cybersecurity risk management. Auditing: A Journal of Practice &amp; Theory. Advance online publication, 18 August 2025. [author list, volume, pages and DOI to be confirmed]</w:t>
      </w:r>
    </w:p>
    <w:p>
      <w:pPr>
        <w:spacing w:after="60"/>
        <w:jc w:val="left"/>
      </w:pPr>
      <w:r>
        <w:rPr>
          <w:b w:val="0"/>
          <w:i w:val="0"/>
          <w:sz w:val="18"/>
        </w:rPr>
        <w:t>[V] 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jc w:val="left"/>
      </w:pPr>
      <w:r>
        <w:rPr>
          <w:b w:val="0"/>
          <w:i w:val="0"/>
          <w:sz w:val="18"/>
        </w:rPr>
        <w:t>[K] DiMaggio, P. J., &amp; Powell, W. W. (1983). The iron cage revisited: Institutional isomorphism and collective rationality in organizational fields. American Sociological Review, 48(2), 147–160.</w:t>
      </w:r>
    </w:p>
    <w:p>
      <w:pPr>
        <w:spacing w:after="60"/>
        <w:jc w:val="left"/>
      </w:pPr>
      <w:r>
        <w:rPr>
          <w:b w:val="0"/>
          <w:i w:val="0"/>
          <w:sz w:val="18"/>
        </w:rPr>
        <w:t>[K] Donaldson, L. (2001). The contingency theory of organizations. Sage.</w:t>
      </w:r>
    </w:p>
    <w:p>
      <w:pPr>
        <w:spacing w:after="60"/>
        <w:jc w:val="left"/>
      </w:pPr>
      <w:r>
        <w:rPr>
          <w:b w:val="0"/>
          <w:i w:val="0"/>
          <w:sz w:val="18"/>
        </w:rPr>
        <w:t>[V] Ganin, A. A., Quach, P., Panwar, M., Collier, Z. A., Keisler, J. M., Marchese, D., &amp; Linkov, I. (2020). Multicriteria decision framework for cybersecurity risk assessment and management. Risk Analysis, 40(1), 183–199. [DOI to be confirmed]</w:t>
      </w:r>
    </w:p>
    <w:p>
      <w:pPr>
        <w:spacing w:after="60"/>
        <w:jc w:val="left"/>
      </w:pPr>
      <w:r>
        <w:rPr>
          <w:b w:val="0"/>
          <w:i w:val="0"/>
          <w:sz w:val="18"/>
        </w:rPr>
        <w:t>[V] Gordon, L. A., &amp; Loeb, M. P. (2002). The economics of information security investment. ACM Transactions on Information and System Security, 5(4), 438–457. https://doi.org/10.1145/581271.581274</w:t>
      </w:r>
    </w:p>
    <w:p>
      <w:pPr>
        <w:spacing w:after="60"/>
        <w:jc w:val="left"/>
      </w:pPr>
      <w:r>
        <w:rPr>
          <w:b w:val="0"/>
          <w:i w:val="0"/>
          <w:sz w:val="18"/>
        </w:rPr>
        <w:t>[V] Hermanson, D. R., Hill, M. C., &amp; Ivancevich, D. M. (2000). Information technology-related activities of internal auditors. Journal of Information Systems, 14(Supplement), 40–53.</w:t>
      </w:r>
    </w:p>
    <w:p>
      <w:pPr>
        <w:spacing w:after="60"/>
        <w:jc w:val="left"/>
      </w:pPr>
      <w:r>
        <w:rPr>
          <w:b w:val="0"/>
          <w:i w:val="0"/>
          <w:sz w:val="18"/>
        </w:rPr>
        <w:t>[V] Higgs, J. L., Pinsker, R. E., Smith, T. J., &amp; Young, G. R. (2016). The relationship between board-level technology committees and reported security breaches. Journal of Information Systems, 30(3), 79–98. https://doi.org/10.2308/isys-51402</w:t>
      </w:r>
    </w:p>
    <w:p>
      <w:pPr>
        <w:spacing w:after="60"/>
        <w:jc w:val="left"/>
      </w:pPr>
      <w:r>
        <w:rPr>
          <w:b w:val="0"/>
          <w:i w:val="0"/>
          <w:sz w:val="18"/>
        </w:rPr>
        <w:t>[V] Islam, M. S., Farah, N., &amp; Stafford, T. F. (2018). Factors associated with security/cybersecurity audit by internal audit function: An international study. Managerial Auditing Journal, 33(4), 377–409. https://doi.org/10.1108/MAJ-07-2017-1595</w:t>
      </w:r>
    </w:p>
    <w:p>
      <w:pPr>
        <w:spacing w:after="60"/>
        <w:jc w:val="left"/>
      </w:pPr>
      <w:r>
        <w:rPr>
          <w:b w:val="0"/>
          <w:i w:val="0"/>
          <w:sz w:val="18"/>
        </w:rPr>
        <w:t>[K] Jensen, M. C., &amp; Meckling, W. H. (1976). Theory of the firm: Managerial behavior, agency costs and ownership structure. Journal of Financial Economics, 3(4), 305–360.</w:t>
      </w:r>
    </w:p>
    <w:p>
      <w:pPr>
        <w:spacing w:after="60"/>
        <w:jc w:val="left"/>
      </w:pPr>
      <w:r>
        <w:rPr>
          <w:b w:val="0"/>
          <w:i w:val="0"/>
          <w:sz w:val="18"/>
        </w:rPr>
        <w:t>[V] Kahyaoğlu, S. B., &amp; Çalıyurt, K. (2018). Cyber security assurance process from the internal audit perspective. Managerial Auditing Journal, 33(4), 360–376. https://doi.org/10.1108/MAJ-02-2018-1804</w:t>
      </w:r>
    </w:p>
    <w:p>
      <w:pPr>
        <w:spacing w:after="60"/>
        <w:jc w:val="left"/>
      </w:pPr>
      <w:r>
        <w:rPr>
          <w:b w:val="0"/>
          <w:i w:val="0"/>
          <w:sz w:val="18"/>
        </w:rPr>
        <w:t>[P] Kurniawan, Y., &amp; Mulyawan, A. N. (2023). The role of external auditors in improving cybersecurity of the companies through internal control in financial reporting. Journal of System and Management Sciences. [author order, volume and pages to be confirmed]</w:t>
      </w:r>
    </w:p>
    <w:p>
      <w:pPr>
        <w:spacing w:after="60"/>
        <w:jc w:val="left"/>
      </w:pPr>
      <w:r>
        <w:rPr>
          <w:b w:val="0"/>
          <w:i w:val="0"/>
          <w:sz w:val="18"/>
        </w:rPr>
        <w:t>[V] Li, H., No, W. G., &amp; Boritz, J. E. (2020). Are external auditors concerned about cyber incidents? Evidence from audit fees. Auditing: A Journal of Practice &amp; Theory, 39(1), 151–171.</w:t>
      </w:r>
    </w:p>
    <w:p>
      <w:pPr>
        <w:spacing w:after="60"/>
        <w:jc w:val="left"/>
      </w:pPr>
      <w:r>
        <w:rPr>
          <w:b w:val="0"/>
          <w:i w:val="0"/>
          <w:sz w:val="18"/>
        </w:rPr>
        <w:t>[V] Sari, Y. P., Suhardjanto, D., Probohudono, A. N., &amp; Honggowati, S. (2023). Cyber risk management disclosure of state-owned enterprises. Jurnal Dinamika Akuntansi, 15(2), 180–190. https://doi.org/10.15294/jda.v15i2.44817</w:t>
      </w:r>
    </w:p>
    <w:p>
      <w:pPr>
        <w:spacing w:after="60"/>
        <w:jc w:val="left"/>
      </w:pPr>
      <w:r>
        <w:rPr>
          <w:b w:val="0"/>
          <w:i w:val="0"/>
          <w:sz w:val="18"/>
        </w:rPr>
        <w:t>[V] Slapničar, S., Vuko, T., Čular, M., &amp; Drašček, M. (2022). Effectiveness of cybersecurity audit. International Journal of Accounting Information Systems, 44, 100548. https://doi.org/10.1016/j.accinf.2021.100548</w:t>
      </w:r>
    </w:p>
    <w:p>
      <w:pPr>
        <w:spacing w:after="60"/>
        <w:jc w:val="left"/>
      </w:pPr>
      <w:r>
        <w:rPr>
          <w:b w:val="0"/>
          <w:i w:val="0"/>
          <w:sz w:val="18"/>
        </w:rPr>
        <w:t>[P] Slapničar, S., Vuko, T., Čular, M., &amp; Drašček, M. (2026). Collaborating across boundaries: Toward an integrated cyber risk assessment by internal auditors and cybersecurity professionals. Contemporary Accounting Research, 43(2), 1034–1063. https://doi.org/10.1111/1911-3846.70052 [abstract not read; cited at title level]</w:t>
      </w:r>
    </w:p>
    <w:p>
      <w:pPr>
        <w:spacing w:after="60"/>
        <w:jc w:val="left"/>
      </w:pPr>
      <w:r>
        <w:rPr>
          <w:b w:val="0"/>
          <w:i w:val="0"/>
          <w:sz w:val="18"/>
        </w:rPr>
        <w:t>[V] 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jc w:val="left"/>
      </w:pPr>
      <w:r>
        <w:rPr>
          <w:b w:val="0"/>
          <w:i w:val="0"/>
          <w:sz w:val="18"/>
        </w:rPr>
        <w:t>[K] Teece, D. J., Pisano, G., &amp; Shuen, A. (1997). Dynamic capabilities and strategic management. Strategic Management Journal, 18(7), 509–533.</w:t>
      </w:r>
    </w:p>
    <w:p>
      <w:pPr>
        <w:spacing w:after="60"/>
        <w:jc w:val="left"/>
      </w:pPr>
      <w:r>
        <w:rPr>
          <w:b w:val="0"/>
          <w:i w:val="0"/>
          <w:sz w:val="18"/>
        </w:rPr>
        <w:t>[V] Vuko, T., Slapničar, S., Čular, M., &amp; Drašček, M. (2024). Key drivers of cybersecurity audit effectiveness: A neo-institutional perspective. International Journal of Auditing, 29(1), 188–206. https://doi.org/10.1111/ijau.12365</w:t>
      </w:r>
    </w:p>
    <w:p>
      <w:pPr>
        <w:spacing w:after="60"/>
        <w:jc w:val="left"/>
      </w:pPr>
      <w:r>
        <w:rPr>
          <w:b w:val="0"/>
          <w:i w:val="0"/>
          <w:sz w:val="18"/>
        </w:rPr>
        <w:t>[V] Wang, J., Neil, M., &amp; Fenton, N. (2020). A Bayesian network approach for cybersecurity risk assessment implementing and extending the FAIR model. Computers &amp; Security, 89, 101659. https://doi.org/10.1016/j.cose.2019.101659</w:t>
      </w:r>
    </w:p>
    <w:p>
      <w:pPr>
        <w:spacing w:after="60"/>
        <w:jc w:val="left"/>
      </w:pPr>
      <w:r>
        <w:rPr>
          <w:b w:val="0"/>
          <w:i w:val="0"/>
          <w:sz w:val="18"/>
        </w:rPr>
        <w:t>[V] 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jc w:val="left"/>
      </w:pPr>
      <w:r>
        <w:rPr>
          <w:b/>
          <w:i w:val="0"/>
          <w:sz w:val="20"/>
        </w:rPr>
        <w:t>Standards and frameworks</w:t>
      </w:r>
    </w:p>
    <w:p>
      <w:pPr>
        <w:spacing w:after="60"/>
        <w:jc w:val="left"/>
      </w:pPr>
      <w:r>
        <w:rPr>
          <w:b w:val="0"/>
          <w:i w:val="0"/>
          <w:sz w:val="18"/>
        </w:rPr>
        <w:t>AICPA. (2017). 2017 Trust Services Criteria for Security, Availability, Processing Integrity, Confidentiality, and Privacy (With Revised Points of Focus—2022). TSP Section 100.</w:t>
      </w:r>
    </w:p>
    <w:p>
      <w:pPr>
        <w:spacing w:after="60"/>
        <w:jc w:val="left"/>
      </w:pPr>
      <w:r>
        <w:rPr>
          <w:b w:val="0"/>
          <w:i w:val="0"/>
          <w:sz w:val="18"/>
        </w:rPr>
        <w:t>AICPA. (2017). Description Criteria for Management's Description of an Entity's Cybersecurity Risk Management Program (DC section 100) — SOC for Cybersecurity.</w:t>
      </w:r>
    </w:p>
    <w:p>
      <w:pPr>
        <w:spacing w:after="60"/>
        <w:jc w:val="left"/>
      </w:pPr>
      <w:r>
        <w:rPr>
          <w:b w:val="0"/>
          <w:i w:val="0"/>
          <w:sz w:val="18"/>
        </w:rPr>
        <w:t>COSO. (2017). Enterprise Risk Management — Integrating with Strategy and Performance. [not re-checked in this session]</w:t>
      </w:r>
    </w:p>
    <w:p>
      <w:pPr>
        <w:spacing w:after="60"/>
        <w:jc w:val="left"/>
      </w:pPr>
      <w:r>
        <w:rPr>
          <w:b w:val="0"/>
          <w:i w:val="0"/>
          <w:sz w:val="18"/>
        </w:rPr>
        <w:t>IAASB. International Standard on Auditing 315 (Revised 2019), Identifying and Assessing the Risks of Material Misstatement (effective for periods beginning on or after 15 December 2021).</w:t>
      </w:r>
    </w:p>
    <w:p>
      <w:pPr>
        <w:spacing w:after="60"/>
        <w:jc w:val="left"/>
      </w:pPr>
      <w:r>
        <w:rPr>
          <w:b w:val="0"/>
          <w:i w:val="0"/>
          <w:sz w:val="18"/>
        </w:rPr>
        <w:t>IAASB. ISA 200, 240, 250, 260, 265, 330, 402, 500, 620 — current editions to be confirmed on iaasb.org.</w:t>
      </w:r>
    </w:p>
    <w:p>
      <w:pPr>
        <w:spacing w:after="60"/>
        <w:jc w:val="left"/>
      </w:pPr>
      <w:r>
        <w:rPr>
          <w:b w:val="0"/>
          <w:i w:val="0"/>
          <w:sz w:val="18"/>
        </w:rPr>
        <w:t>IIA. (2024). Global Internal Audit Standards (issued 9 January 2024; effective 9 January 2025).</w:t>
      </w:r>
    </w:p>
    <w:p>
      <w:pPr>
        <w:spacing w:after="60"/>
        <w:jc w:val="left"/>
      </w:pPr>
      <w:r>
        <w:rPr>
          <w:b w:val="0"/>
          <w:i w:val="0"/>
          <w:sz w:val="18"/>
        </w:rPr>
        <w:t>IIA. (2025). Cybersecurity Topical Requirement (issued 5 February 2025; effective 5 February 2026).</w:t>
      </w:r>
    </w:p>
    <w:p>
      <w:pPr>
        <w:spacing w:after="60"/>
        <w:jc w:val="left"/>
      </w:pPr>
      <w:r>
        <w:rPr>
          <w:b w:val="0"/>
          <w:i w:val="0"/>
          <w:sz w:val="18"/>
        </w:rPr>
        <w:t>IIA. (2020). The IIA's Three Lines Model. [the position paper has since been superseded; check the current IIA statement before citing]</w:t>
      </w:r>
    </w:p>
    <w:p>
      <w:pPr>
        <w:spacing w:after="60"/>
        <w:jc w:val="left"/>
      </w:pPr>
      <w:r>
        <w:rPr>
          <w:b w:val="0"/>
          <w:i w:val="0"/>
          <w:sz w:val="18"/>
        </w:rPr>
        <w:t>ISACA. (2019). COBIT 2019 Framework. [not re-checked in this session]</w:t>
      </w:r>
    </w:p>
    <w:p>
      <w:pPr>
        <w:spacing w:after="60"/>
        <w:jc w:val="left"/>
      </w:pPr>
      <w:r>
        <w:rPr>
          <w:b w:val="0"/>
          <w:i w:val="0"/>
          <w:sz w:val="18"/>
        </w:rPr>
        <w:t>ISO. (2018). ISO 31000:2018 Risk management — Guidelines.</w:t>
      </w:r>
    </w:p>
    <w:p>
      <w:pPr>
        <w:spacing w:after="60"/>
        <w:jc w:val="left"/>
      </w:pPr>
      <w:r>
        <w:rPr>
          <w:b w:val="0"/>
          <w:i w:val="0"/>
          <w:sz w:val="18"/>
        </w:rPr>
        <w:t>ISO/IEC. (2022). ISO/IEC 27001:2022 Information security, cybersecurity and privacy protection — Information security management systems — Requirements.</w:t>
      </w:r>
    </w:p>
    <w:p>
      <w:pPr>
        <w:spacing w:after="60"/>
        <w:jc w:val="left"/>
      </w:pPr>
      <w:r>
        <w:rPr>
          <w:b w:val="0"/>
          <w:i w:val="0"/>
          <w:sz w:val="18"/>
        </w:rPr>
        <w:t>ISO/IEC. (2022). ISO/IEC 27002:2022 Information security controls.</w:t>
      </w:r>
    </w:p>
    <w:p>
      <w:pPr>
        <w:spacing w:after="60"/>
        <w:jc w:val="left"/>
      </w:pPr>
      <w:r>
        <w:rPr>
          <w:b w:val="0"/>
          <w:i w:val="0"/>
          <w:sz w:val="18"/>
        </w:rPr>
        <w:t>ISO/IEC. (2022). ISO/IEC 27005:2022 Information security, cybersecurity and privacy protection — Guidance on managing information security risks (4th ed.).</w:t>
      </w:r>
    </w:p>
    <w:p>
      <w:pPr>
        <w:spacing w:after="60"/>
        <w:jc w:val="left"/>
      </w:pPr>
      <w:r>
        <w:rPr>
          <w:b w:val="0"/>
          <w:i w:val="0"/>
          <w:sz w:val="18"/>
        </w:rPr>
        <w:t>NIST. (2024). The NIST Cybersecurity Framework (CSF) 2.0 (NIST CSWP 29). https://doi.org/10.6028/NIST.CSWP.29</w:t>
      </w:r>
    </w:p>
    <w:p>
      <w:pPr>
        <w:spacing w:after="60"/>
        <w:jc w:val="left"/>
      </w:pPr>
      <w:r>
        <w:rPr>
          <w:b w:val="0"/>
          <w:i w:val="0"/>
          <w:sz w:val="18"/>
        </w:rPr>
        <w:t>NIST. (2012). Guide for Conducting Risk Assessments (SP 800-30 Rev. 1). [not re-checked in this session]</w:t>
      </w:r>
    </w:p>
    <w:p>
      <w:pPr>
        <w:spacing w:after="60"/>
        <w:jc w:val="left"/>
      </w:pPr>
      <w:r>
        <w:rPr>
          <w:b w:val="0"/>
          <w:i w:val="0"/>
          <w:sz w:val="18"/>
        </w:rPr>
        <w:t>NIST. (2025). Incident Response Recommendations and Considerations for Cybersecurity Risk Management: A CSF 2.0 Community Profile (SP 800-61 Rev. 3).</w:t>
      </w:r>
    </w:p>
    <w:p>
      <w:pPr>
        <w:spacing w:after="60"/>
        <w:jc w:val="left"/>
      </w:pPr>
      <w:r>
        <w:rPr>
          <w:b/>
          <w:i w:val="0"/>
          <w:sz w:val="20"/>
        </w:rPr>
        <w:t>Leads still to be completed</w:t>
      </w:r>
    </w:p>
    <w:p>
      <w:pPr>
        <w:spacing w:after="60"/>
        <w:jc w:val="left"/>
      </w:pPr>
      <w:r>
        <w:rPr>
          <w:b w:val="0"/>
          <w:i w:val="0"/>
          <w:sz w:val="18"/>
        </w:rPr>
        <w:t>[IR-1] 2024 interview study on the IT audit process in Iranian banking, published in Management Approaches (Rahyaftha-ye Modiriyat), vol. 13, issue 50 (Autumn 2024); authors, title and pages to be completed (found at ims.atu.ac.ir).</w:t>
      </w:r>
    </w:p>
    <w:p>
      <w:pPr>
        <w:spacing w:after="60"/>
        <w:jc w:val="left"/>
      </w:pPr>
      <w:r>
        <w:rPr>
          <w:b w:val="0"/>
          <w:i w:val="0"/>
          <w:sz w:val="18"/>
        </w:rPr>
        <w:t>[IR-2] Study on obstacles to implementing IT audit in Iran (Persian title: موانع اجرای حسابرسی فناوری اطلاعات در ایران); authors, journal and year to be completed (found at ensani.ir/fa/article/558666).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