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idi/>
        <w:jc w:val="center"/>
      </w:pPr>
      <w:r>
        <w:rPr>
          <w:rFonts w:ascii="Arial" w:hAnsi="Arial" w:cs="Arial"/>
          <w:b/>
          <w:i w:val="0"/>
          <w:color w:val="1F3864"/>
          <w:sz w:val="38"/>
          <w:rtl/>
        </w:rPr>
        <w:t>مبانی نظری، مدل مفهومی و فرضیه‌های پژوهش</w:t>
      </w:r>
    </w:p>
    <w:p>
      <w:pPr>
        <w:spacing w:after="100"/>
        <w:bidi/>
        <w:jc w:val="center"/>
      </w:pPr>
      <w:r>
        <w:rPr>
          <w:rFonts w:ascii="Arial" w:hAnsi="Arial" w:cs="Arial"/>
          <w:b/>
          <w:i w:val="0"/>
          <w:sz w:val="24"/>
          <w:rtl/>
        </w:rPr>
        <w:t>ارزیابی ریسک سایبری توسط حسابرسان در ایران: دیدگاه سازمان مورد رسیدگی و دیدگاه حسابرس</w:t>
      </w:r>
    </w:p>
    <w:p>
      <w:pPr>
        <w:spacing w:after="200"/>
        <w:bidi/>
        <w:jc w:val="center"/>
      </w:pPr>
      <w:r>
        <w:rPr>
          <w:rFonts w:ascii="Arial" w:hAnsi="Arial" w:cs="Arial"/>
          <w:b w:val="0"/>
          <w:i w:val="0"/>
          <w:color w:val="C00000"/>
          <w:sz w:val="18"/>
          <w:rtl/>
        </w:rPr>
        <w:t>پیش‌نویس – در ارجاع‌دهی فقط منابع فهرست پایان سند به کار رفته‌اند</w:t>
      </w:r>
    </w:p>
    <w:tbl>
      <w:tblPr>
        <w:tblStyle w:val="TableGrid"/>
        <w:tblW w:type="auto" w:w="0"/>
        <w:tblLook w:firstColumn="1" w:firstRow="1" w:lastColumn="0" w:lastRow="0" w:noHBand="0" w:noVBand="1" w:val="04A0"/>
        <w:bidiVisual/>
      </w:tblPr>
      <w:tblGrid>
        <w:gridCol w:w="9746"/>
      </w:tblGrid>
      <w:tr>
        <w:tc>
          <w:tcPr>
            <w:tcW w:type="dxa" w:w="9746"/>
            <w:shd w:val="clear" w:color="auto" w:fill="FFF2CC"/>
          </w:tcPr>
          <w:p>
            <w:pPr>
              <w:bidi/>
              <w:jc w:val="right"/>
            </w:pPr>
            <w:r>
              <w:rPr>
                <w:rFonts w:ascii="Arial" w:hAnsi="Arial" w:cs="Arial"/>
                <w:rtl/>
              </w:rPr>
            </w:r>
            <w:r>
              <w:rPr>
                <w:rFonts w:ascii="Arial" w:hAnsi="Arial" w:cs="Arial"/>
                <w:b/>
                <w:sz w:val="21"/>
                <w:rtl/>
              </w:rPr>
              <w:t>وضعیت راستی‌آزمایی منابع (خلاصه)</w:t>
            </w:r>
          </w:p>
          <w:p>
            <w:pPr>
              <w:bidi/>
              <w:jc w:val="right"/>
            </w:pPr>
            <w:r>
              <w:rPr>
                <w:rFonts w:ascii="Arial" w:hAnsi="Arial" w:cs="Arial"/>
                <w:sz w:val="19"/>
                <w:rtl/>
              </w:rPr>
              <w:t>• منابعی از متن شما که در این سند به کار رفته‌اند با جست‌وجوی وب بررسی شدند و دست‌کم عنوان، مجله و سال آن‌ها تأیید شد. بقیه منابع متن شما بررسی نشدند و در این سند نیامده‌اند.</w:t>
            </w:r>
          </w:p>
          <w:p>
            <w:pPr>
              <w:bidi/>
              <w:jc w:val="right"/>
            </w:pPr>
            <w:r>
              <w:rPr>
                <w:rFonts w:ascii="Arial" w:hAnsi="Arial" w:cs="Arial"/>
                <w:sz w:val="19"/>
                <w:rtl/>
              </w:rPr>
              <w:t>• چند منبع مشخصات نادرست داشتند و اصلاح شدند؛ برای نمونه Kahyaoğlu &amp; Çalıyurt (2018) در Managerial Auditing Journal، دوره 33، شماره 4، صفحات 360 تا 376 است، نه آنچه در متن آمده بود.</w:t>
            </w:r>
          </w:p>
          <w:p>
            <w:pPr>
              <w:bidi/>
              <w:jc w:val="right"/>
            </w:pPr>
            <w:r>
              <w:rPr>
                <w:rFonts w:ascii="Arial" w:hAnsi="Arial" w:cs="Arial"/>
                <w:sz w:val="19"/>
                <w:rtl/>
              </w:rPr>
              <w:t>• دو منبع پیدا نشدند و به کار نرفتند: Sampson et al. (2026) و Tarakci &amp; Gönül (2023). منابع ناقص (مثل Chen et al. 2025) با برچسب مشخص‌اند.</w:t>
            </w:r>
          </w:p>
          <w:p>
            <w:pPr>
              <w:bidi/>
              <w:jc w:val="right"/>
            </w:pPr>
            <w:r>
              <w:rPr>
                <w:rFonts w:ascii="Arial" w:hAnsi="Arial" w:cs="Arial"/>
                <w:sz w:val="19"/>
                <w:rtl/>
              </w:rPr>
              <w:t>• گزاره‌های محتوایی فقط تا حد چکیده‌هایی نوشته شده‌اند که دسترسی به آن‌ها ممکن بود. برای نقل دقیق (عدد، جدول، شماره بند) متن کامل مقاله یا استاندارد را باید خود بخوانید.</w:t>
            </w:r>
          </w:p>
          <w:p>
            <w:pPr>
              <w:bidi/>
              <w:jc w:val="right"/>
            </w:pPr>
            <w:r>
              <w:rPr>
                <w:rFonts w:ascii="Arial" w:hAnsi="Arial" w:cs="Arial"/>
                <w:sz w:val="19"/>
                <w:rtl/>
              </w:rPr>
              <w:t>• جزئیات هر منبع در فایل verification_report.xlsx آمده است.</w:t>
            </w:r>
          </w:p>
        </w:tc>
      </w:tr>
    </w:tbl>
    <w:p/>
    <w:p>
      <w:pPr>
        <w:spacing w:after="140"/>
        <w:bidi/>
        <w:jc w:val="right"/>
      </w:pPr>
      <w:r>
        <w:rPr>
          <w:rFonts w:ascii="Arial" w:hAnsi="Arial" w:cs="Arial"/>
          <w:b/>
          <w:i w:val="0"/>
          <w:color w:val="1F3864"/>
          <w:sz w:val="30"/>
          <w:rtl/>
        </w:rPr>
        <w:t>1. مقدمه</w:t>
      </w:r>
    </w:p>
    <w:p>
      <w:pPr>
        <w:spacing w:after="80"/>
        <w:bidi/>
        <w:jc w:val="right"/>
      </w:pPr>
      <w:r>
        <w:rPr>
          <w:rFonts w:ascii="Arial" w:hAnsi="Arial" w:cs="Arial"/>
          <w:b/>
          <w:i w:val="0"/>
          <w:color w:val="1F3864"/>
          <w:sz w:val="24"/>
          <w:rtl/>
        </w:rPr>
        <w:t>1-1. بیان مسئله</w:t>
      </w:r>
    </w:p>
    <w:p>
      <w:pPr>
        <w:spacing w:after="100"/>
        <w:bidi/>
        <w:jc w:val="right"/>
      </w:pPr>
      <w:r>
        <w:rPr>
          <w:rFonts w:ascii="Arial" w:hAnsi="Arial" w:cs="Arial"/>
          <w:b w:val="0"/>
          <w:i w:val="0"/>
          <w:rtl/>
        </w:rPr>
        <w:t>ریسک سایبری دیگر فقط مسئله واحد فناوری اطلاعات نیست و به قلب حسابرسی رسیده است. استاندارد بین‌المللی حسابرسی ISA 315 (بازنگری 2019)، که برای دوره‌های مالی شروع‌شده از 15 دسامبر 2021 به بعد لازم‌الاجراست، از حسابرس می‌خواهد محیط فناوری اطلاعات واحد مورد رسیدگی، کنترل‌های عمومی فناوری اطلاعات و ریسک‌های ناشی از فناوری را بشناسد و در ارزیابی ریسک تحریف با اهمیت لحاظ کند. حرفه حسابرسی داخلی هم الزام‌های تازه‌ای دارد: استانداردهای جهانی حسابرسی داخلی (2024) از 9 ژانویه 2025 و «الزام موضوعی امنیت سایبری» انجمن حسابرسان داخلی (IIA) از 5 فوریه 2026 لازم‌الاجرا شده‌اند.</w:t>
      </w:r>
    </w:p>
    <w:p>
      <w:pPr>
        <w:spacing w:after="100"/>
        <w:bidi/>
        <w:jc w:val="right"/>
      </w:pPr>
      <w:r>
        <w:rPr>
          <w:rFonts w:ascii="Arial" w:hAnsi="Arial" w:cs="Arial"/>
          <w:b w:val="0"/>
          <w:i w:val="0"/>
          <w:rtl/>
        </w:rPr>
        <w:t>با این حال، دو دسته منبع هنوز جدا از هم نوشته می‌شوند. چارچوب‌هایی مثل NIST CSF 2.0، ISO/IEC 27001 و 27005 ویرایش 2022 و SOC for Cybersecurity از دید سازمان نوشته شده‌اند و می‌گویند سازمان چه کنترل‌ها و فرایندهایی داشته باشد. استانداردهای حسابرسی از دید حسابرس نوشته شده‌اند و می‌گویند او چه چیزی را ارزیابی و گزارش کند. نتیجه این جدایی در پژوهش‌های تجربی دیده می‌شود. Hermanson et al. (2000) نشان دادند حسابرسان داخلی بیشتر روی ریسک‌های سنتی فناوری (حفاظت از دارایی، پردازش برنامه‌ها، یکپارچگی داده، حریم خصوصی و امنیت) تمرکز دارند. Slapničar et al. (2022) با شاخصی برای اثربخشی حسابرسی امنیت سایبری (برنامه‌ریزی، اجرا، گزارشگری) دریافتند برنامه‌ریزی و اجرا همبستگی قوی دارند، ولی گزارشگری به هیئت‌مدیره پیوند ضعیف‌تری با آن‌ها دارد. Chen et al. (2025) نشان می‌دهند تجربه حسابرس از نقض امنیتی در یک صاحبکار، قضاوت او درباره صاحبکاران بدون نقض را تغییر می‌دهد، یعنی یادگیری سازمانی بخشی از ارزیابی ریسک سایبری است.</w:t>
      </w:r>
    </w:p>
    <w:p>
      <w:pPr>
        <w:spacing w:after="100"/>
        <w:bidi/>
        <w:jc w:val="right"/>
      </w:pPr>
      <w:r>
        <w:rPr>
          <w:rFonts w:ascii="Arial" w:hAnsi="Arial" w:cs="Arial"/>
          <w:b w:val="0"/>
          <w:i w:val="0"/>
          <w:rtl/>
        </w:rPr>
        <w:t>در ایران موضوع شکل خاصی دارد. سازمان‌ها در شرایط مقرراتی، زیرساختی و تحریمی متفاوتی کار می‌کنند و پژوهش‌هایی که پیدا کردیم بیشتر درباره حسابرسی فناوری اطلاعات به‌طور کلی هستند. یک مطالعه مصاحبه‌ای در بانک‌های ایران (Management Approaches، 1403؛ [IR-1]) با 20 مصاحبه در چهار بانک بزرگ، 20 چالش از جمله ضعف استقلال، کمبود تجربه و آموزش را گزارش می‌کند و یادآوری می‌کند بانک‌ها طبق مقررات بانک مرکزی ملزم به حسابرسی فناوری اطلاعات بر پایه ISACA ITAF هستند. مطالعه دیگری درباره موانع اجرای حسابرسی فناوری اطلاعات در ایران ([IR-2]) کمبود دانش و تجربه و نبود استاندارد حسابرسی IT را از موانع می‌داند. در جست‌وجوهای ما، پژوهش تجربی مشخصی درباره ارزیابی ریسک سایبری توسط حسابرسان ایرانی پیدا نشد (این ادعا موقتی است؛ بخش 5 را ببینید).</w:t>
      </w:r>
    </w:p>
    <w:p>
      <w:pPr>
        <w:spacing w:after="80"/>
        <w:bidi/>
        <w:jc w:val="right"/>
      </w:pPr>
      <w:r>
        <w:rPr>
          <w:rFonts w:ascii="Arial" w:hAnsi="Arial" w:cs="Arial"/>
          <w:b/>
          <w:i w:val="0"/>
          <w:color w:val="1F3864"/>
          <w:sz w:val="24"/>
          <w:rtl/>
        </w:rPr>
        <w:t>1-2. شکاف پژوهشی</w:t>
      </w:r>
    </w:p>
    <w:p>
      <w:pPr>
        <w:spacing w:after="40"/>
        <w:bidi/>
        <w:jc w:val="right"/>
      </w:pPr>
      <w:r>
        <w:rPr>
          <w:rFonts w:ascii="Arial" w:hAnsi="Arial" w:cs="Arial"/>
          <w:rtl/>
        </w:rPr>
        <w:t>• پراکندگی مولفه‌ها: ارزیابی ریسک سایبری در چارچوب‌های مختلف با واژه‌ها و مرزهای متفاوت تعریف شده است. Wangen et al. (2018) نشان می‌دهند روش‌های ارزیابی ریسک امنیت اطلاعات در پوشش وظایف شناسایی، برآورد و ارزیابی ریسک کامل نیستند و ISO/IEC 27005 در میان روش‌های مقایسه‌شده کامل‌ترین بوده است.</w:t>
      </w:r>
    </w:p>
    <w:p>
      <w:pPr>
        <w:spacing w:after="40"/>
        <w:bidi/>
        <w:jc w:val="right"/>
      </w:pPr>
      <w:r>
        <w:rPr>
          <w:rFonts w:ascii="Arial" w:hAnsi="Arial" w:cs="Arial"/>
          <w:rtl/>
        </w:rPr>
        <w:t>• تک‌دیدگاهی: مطالعات موجود معمولاً یا از دید مدیریت امنیت (سازمان) یا از دید حسابرس (به‌ویژه حسابرس داخلی) انجام شده‌اند. کار اخیر Slapničar et al. (2026) درباره ارزیابی یکپارچه ریسک سایبری توسط حسابرسان داخلی و متخصصان امنیت سایبری نشان می‌دهد همکاری این دو گروه خودش موضوع پژوهش شده است.</w:t>
      </w:r>
    </w:p>
    <w:p>
      <w:pPr>
        <w:spacing w:after="40"/>
        <w:bidi/>
        <w:jc w:val="right"/>
      </w:pPr>
      <w:r>
        <w:rPr>
          <w:rFonts w:ascii="Arial" w:hAnsi="Arial" w:cs="Arial"/>
          <w:rtl/>
        </w:rPr>
        <w:t>• کمبود شواهد زمینه‌ای: برای اقتصادهای نوظهور و محیط تحریمی، به‌ویژه ایران، شواهد تجربی درباره مولفه‌های ارزیابی ریسک سایبری در حسابرسی محدود است.</w:t>
      </w:r>
    </w:p>
    <w:p>
      <w:pPr>
        <w:spacing w:after="40"/>
        <w:bidi/>
        <w:jc w:val="right"/>
      </w:pPr>
      <w:r>
        <w:rPr>
          <w:rFonts w:ascii="Arial" w:hAnsi="Arial" w:cs="Arial"/>
          <w:rtl/>
        </w:rPr>
        <w:t>• کمبود آزمون ساختاری: پژوهش‌های موجود غالباً توصیفی یا همبستگی‌اند و مدل ساختاری که مولفه‌ها را به پیامد فرایند پیوند بدهد و دو گروه را مقایسه کند در منابع بررسی‌شده دیده نشد.</w:t>
      </w:r>
    </w:p>
    <w:p>
      <w:pPr>
        <w:spacing w:after="20"/>
      </w:pPr>
    </w:p>
    <w:p>
      <w:pPr>
        <w:spacing w:after="80"/>
        <w:bidi/>
        <w:jc w:val="right"/>
      </w:pPr>
      <w:r>
        <w:rPr>
          <w:rFonts w:ascii="Arial" w:hAnsi="Arial" w:cs="Arial"/>
          <w:b/>
          <w:i w:val="0"/>
          <w:color w:val="1F3864"/>
          <w:sz w:val="24"/>
          <w:rtl/>
        </w:rPr>
        <w:t>1-3. هدف و پرسش‌ها</w:t>
      </w:r>
    </w:p>
    <w:p>
      <w:pPr>
        <w:spacing w:after="100"/>
        <w:bidi/>
        <w:jc w:val="right"/>
      </w:pPr>
      <w:r>
        <w:rPr>
          <w:rFonts w:ascii="Arial" w:hAnsi="Arial" w:cs="Arial"/>
          <w:b w:val="0"/>
          <w:i w:val="0"/>
          <w:rtl/>
        </w:rPr>
        <w:t>مقاله اول: شناسایی و اعتبارسنجی مولفه‌های ارزیابی ریسک سایبری در حسابرسی ایران از دو دیدگاه. مقاله دوم: آزمون روابط ساختاری بین ابعاد مدل و مقایسه دو گروه. پرسش‌های پژوهش:</w:t>
      </w:r>
    </w:p>
    <w:p>
      <w:pPr>
        <w:spacing w:after="40"/>
        <w:bidi/>
        <w:jc w:val="right"/>
      </w:pPr>
      <w:r>
        <w:rPr>
          <w:rFonts w:ascii="Arial" w:hAnsi="Arial" w:cs="Arial"/>
          <w:rtl/>
        </w:rPr>
        <w:t>• RQ1: چه مولفه‌هایی در چارچوب‌های بین‌المللی، استانداردهای حسابرسی و پیشینه پژوهش برای ارزیابی ریسک سایبری در حسابرسی مطرح شده‌اند؟</w:t>
      </w:r>
    </w:p>
    <w:p>
      <w:pPr>
        <w:spacing w:after="40"/>
        <w:bidi/>
        <w:jc w:val="right"/>
      </w:pPr>
      <w:r>
        <w:rPr>
          <w:rFonts w:ascii="Arial" w:hAnsi="Arial" w:cs="Arial"/>
          <w:rtl/>
        </w:rPr>
        <w:t>• RQ2: کدام مولفه‌ها از نظر خبرگان ایرانی مهم و قابل اجرا هستند و چه مولفه بومی دیگری لازم است؟</w:t>
      </w:r>
    </w:p>
    <w:p>
      <w:pPr>
        <w:spacing w:after="40"/>
        <w:bidi/>
        <w:jc w:val="right"/>
      </w:pPr>
      <w:r>
        <w:rPr>
          <w:rFonts w:ascii="Arial" w:hAnsi="Arial" w:cs="Arial"/>
          <w:rtl/>
        </w:rPr>
        <w:t>• RQ3: دیدگاه سازمان مورد رسیدگی و دیدگاه حسابرس در اهمیت مولفه‌ها چه تفاوتی دارد؟</w:t>
      </w:r>
    </w:p>
    <w:p>
      <w:pPr>
        <w:spacing w:after="40"/>
        <w:bidi/>
        <w:jc w:val="right"/>
      </w:pPr>
      <w:r>
        <w:rPr>
          <w:rFonts w:ascii="Arial" w:hAnsi="Arial" w:cs="Arial"/>
          <w:rtl/>
        </w:rPr>
        <w:t>• RQ4 (مقاله دوم): روابط ساختاری بین ابعاد مدل و اثربخشی فرایند چگونه است و آیا بین دو گروه تفاوت دارد؟</w:t>
      </w:r>
    </w:p>
    <w:p>
      <w:pPr>
        <w:spacing w:after="20"/>
      </w:pPr>
    </w:p>
    <w:p>
      <w:pPr>
        <w:spacing w:after="140"/>
        <w:bidi/>
        <w:jc w:val="right"/>
      </w:pPr>
      <w:r>
        <w:rPr>
          <w:rFonts w:ascii="Arial" w:hAnsi="Arial" w:cs="Arial"/>
          <w:b/>
          <w:i w:val="0"/>
          <w:color w:val="1F3864"/>
          <w:sz w:val="30"/>
          <w:rtl/>
        </w:rPr>
        <w:t>2. مبانی نظری</w:t>
      </w:r>
    </w:p>
    <w:p>
      <w:pPr>
        <w:spacing w:after="80"/>
        <w:bidi/>
        <w:jc w:val="right"/>
      </w:pPr>
      <w:r>
        <w:rPr>
          <w:rFonts w:ascii="Arial" w:hAnsi="Arial" w:cs="Arial"/>
          <w:b/>
          <w:i w:val="0"/>
          <w:color w:val="1F3864"/>
          <w:sz w:val="24"/>
          <w:rtl/>
        </w:rPr>
        <w:t>2-1. سه لایه ارزیابی ریسک سایبری در حسابرسی</w:t>
      </w:r>
    </w:p>
    <w:p>
      <w:pPr>
        <w:spacing w:after="100"/>
        <w:bidi/>
        <w:jc w:val="right"/>
      </w:pPr>
      <w:r>
        <w:rPr>
          <w:rFonts w:ascii="Arial" w:hAnsi="Arial" w:cs="Arial"/>
          <w:b w:val="0"/>
          <w:i w:val="0"/>
          <w:rtl/>
        </w:rPr>
        <w:t>با جمع‌بندی منابع مرور‌شده، ارزیابی ریسک سایبری در حسابرسی را می‌توان در سه لایه تو‌در‌تو دید (این جمع‌بندی ترکیب نویسندگان است، نه ادعای یک منبع):</w:t>
      </w:r>
    </w:p>
    <w:p>
      <w:pPr>
        <w:spacing w:after="40"/>
        <w:bidi/>
        <w:jc w:val="right"/>
      </w:pPr>
      <w:r>
        <w:rPr>
          <w:rFonts w:ascii="Arial" w:hAnsi="Arial" w:cs="Arial"/>
          <w:rtl/>
        </w:rPr>
        <w:t>• لایه مدل ریسک: دارایی‌ها، تهدیدها، آسیب‌پذیری‌ها، احتمال، پیامد و عدم قطعیت. روش‌ها از امتیازدهی کیفی تا مدل‌های کمی مثل شبکه بیزی و FAIR (Wang et al.، 2020) و تحلیل چندمعیاره (Ganin et al.، 2020) را شامل می‌شوند.</w:t>
      </w:r>
    </w:p>
    <w:p>
      <w:pPr>
        <w:spacing w:after="40"/>
        <w:bidi/>
        <w:jc w:val="right"/>
      </w:pPr>
      <w:r>
        <w:rPr>
          <w:rFonts w:ascii="Arial" w:hAnsi="Arial" w:cs="Arial"/>
          <w:rtl/>
        </w:rPr>
        <w:t>• لایه چرخه مدیریت: ارزیابی، مقابله، پایش، پاسخ و یادگیری. Armenia et al. (2021) یادآوری می‌کنند چارچوب‌هایی مثل NIST تصویر ایستا از وضعیت سازمان می‌دهند و رویکردهای پویا لازم است.</w:t>
      </w:r>
    </w:p>
    <w:p>
      <w:pPr>
        <w:spacing w:after="40"/>
        <w:bidi/>
        <w:jc w:val="right"/>
      </w:pPr>
      <w:r>
        <w:rPr>
          <w:rFonts w:ascii="Arial" w:hAnsi="Arial" w:cs="Arial"/>
          <w:rtl/>
        </w:rPr>
        <w:t>• لایه اطمینان‌بخشی: معیار، شواهد، آزمون، قضاوت، گزارشگری و پاسخگویی. Slapničar et al. (2022) این لایه را با سه مرحله برنامه‌ریزی، اجرا و گزارشگری اندازه می‌گیرند.</w:t>
      </w:r>
    </w:p>
    <w:p>
      <w:pPr>
        <w:spacing w:after="20"/>
      </w:pPr>
    </w:p>
    <w:p>
      <w:pPr>
        <w:spacing w:after="100"/>
        <w:bidi/>
        <w:jc w:val="right"/>
      </w:pPr>
      <w:r>
        <w:rPr>
          <w:rFonts w:ascii="Arial" w:hAnsi="Arial" w:cs="Arial"/>
          <w:b w:val="0"/>
          <w:i w:val="0"/>
          <w:rtl/>
        </w:rPr>
        <w:t>محدودیت داده نیز مهم است. Cremer et al. (2022) در مرور نظام‌مند خود از 5219 مطالعه، فقط 79 مجموعه داده یافتند و کمبود داده باز را مانعی برای اندازه‌گیری ریسک می‌دانند. این کمبود دلیلی است که ارزیابی مبتنی بر قضاوت خبرگان (دلفی) را برای اعتبارسنجی مولفه‌ها موجه می‌کند.</w:t>
      </w:r>
    </w:p>
    <w:p>
      <w:pPr>
        <w:spacing w:after="80"/>
        <w:bidi/>
        <w:jc w:val="right"/>
      </w:pPr>
      <w:r>
        <w:rPr>
          <w:rFonts w:ascii="Arial" w:hAnsi="Arial" w:cs="Arial"/>
          <w:b/>
          <w:i w:val="0"/>
          <w:color w:val="1F3864"/>
          <w:sz w:val="24"/>
          <w:rtl/>
        </w:rPr>
        <w:t>2-2. استانداردها و چارچوب‌های تکیه‌گاه</w:t>
      </w:r>
    </w:p>
    <w:tbl>
      <w:tblPr>
        <w:tblStyle w:val="TableGrid"/>
        <w:tblW w:type="auto" w:w="0"/>
        <w:tblLayout w:type="fixed"/>
        <w:tblLook w:firstColumn="1" w:firstRow="1" w:lastColumn="0" w:lastRow="0" w:noHBand="0" w:noVBand="1" w:val="04A0"/>
        <w:bidiVisual/>
      </w:tblPr>
      <w:tblGrid>
        <w:gridCol w:w="2948"/>
        <w:gridCol w:w="3742"/>
        <w:gridCol w:w="2494"/>
      </w:tblGrid>
      <w:tr>
        <w:tc>
          <w:tcPr>
            <w:tcW w:type="dxa" w:w="2948"/>
            <w:shd w:val="clear" w:color="auto" w:fill="1F3864"/>
          </w:tcPr>
          <w:p>
            <w:pPr>
              <w:bidi/>
              <w:jc w:val="right"/>
            </w:pPr>
            <w:r>
              <w:rPr>
                <w:rFonts w:ascii="Arial" w:hAnsi="Arial" w:cs="Arial"/>
                <w:rtl/>
              </w:rPr>
            </w:r>
            <w:r>
              <w:rPr>
                <w:rFonts w:ascii="Arial" w:hAnsi="Arial" w:cs="Arial"/>
                <w:b/>
                <w:color w:val="FFFFFF"/>
                <w:sz w:val="18"/>
                <w:rtl/>
              </w:rPr>
              <w:t>استاندارد / چارچوب</w:t>
            </w:r>
          </w:p>
        </w:tc>
        <w:tc>
          <w:tcPr>
            <w:tcW w:type="dxa" w:w="3742"/>
            <w:shd w:val="clear" w:color="auto" w:fill="1F3864"/>
          </w:tcPr>
          <w:p>
            <w:pPr>
              <w:bidi/>
              <w:jc w:val="right"/>
            </w:pPr>
            <w:r>
              <w:rPr>
                <w:rFonts w:ascii="Arial" w:hAnsi="Arial" w:cs="Arial"/>
                <w:rtl/>
              </w:rPr>
            </w:r>
            <w:r>
              <w:rPr>
                <w:rFonts w:ascii="Arial" w:hAnsi="Arial" w:cs="Arial"/>
                <w:b/>
                <w:color w:val="FFFFFF"/>
                <w:sz w:val="18"/>
                <w:rtl/>
              </w:rPr>
              <w:t>وضعیت (تأییدشده با جست‌وجو)</w:t>
            </w:r>
          </w:p>
        </w:tc>
        <w:tc>
          <w:tcPr>
            <w:tcW w:type="dxa" w:w="2494"/>
            <w:shd w:val="clear" w:color="auto" w:fill="1F3864"/>
          </w:tcPr>
          <w:p>
            <w:pPr>
              <w:bidi/>
              <w:jc w:val="right"/>
            </w:pPr>
            <w:r>
              <w:rPr>
                <w:rFonts w:ascii="Arial" w:hAnsi="Arial" w:cs="Arial"/>
                <w:rtl/>
              </w:rPr>
            </w:r>
            <w:r>
              <w:rPr>
                <w:rFonts w:ascii="Arial" w:hAnsi="Arial" w:cs="Arial"/>
                <w:b/>
                <w:color w:val="FFFFFF"/>
                <w:sz w:val="18"/>
                <w:rtl/>
              </w:rPr>
              <w:t>نقش در مدل</w:t>
            </w:r>
          </w:p>
        </w:tc>
      </w:tr>
      <w:tr>
        <w:tc>
          <w:tcPr>
            <w:tcW w:type="dxa" w:w="2948"/>
          </w:tcPr>
          <w:p>
            <w:pPr>
              <w:bidi/>
              <w:jc w:val="right"/>
            </w:pPr>
            <w:r>
              <w:rPr>
                <w:rFonts w:ascii="Arial" w:hAnsi="Arial" w:cs="Arial"/>
                <w:rtl/>
              </w:rPr>
            </w:r>
            <w:r>
              <w:rPr>
                <w:rFonts w:ascii="Arial" w:hAnsi="Arial" w:cs="Arial"/>
                <w:b w:val="0"/>
                <w:sz w:val="18"/>
                <w:rtl/>
              </w:rPr>
              <w:t>ISA 315 (Revised 2019)</w:t>
            </w:r>
          </w:p>
        </w:tc>
        <w:tc>
          <w:tcPr>
            <w:tcW w:type="dxa" w:w="3742"/>
          </w:tcPr>
          <w:p>
            <w:pPr>
              <w:bidi/>
              <w:jc w:val="right"/>
            </w:pPr>
            <w:r>
              <w:rPr>
                <w:rFonts w:ascii="Arial" w:hAnsi="Arial" w:cs="Arial"/>
                <w:rtl/>
              </w:rPr>
            </w:r>
            <w:r>
              <w:rPr>
                <w:rFonts w:ascii="Arial" w:hAnsi="Arial" w:cs="Arial"/>
                <w:b w:val="0"/>
                <w:sz w:val="18"/>
                <w:rtl/>
              </w:rPr>
              <w:t>لازم‌الاجرا برای دوره‌های شروع‌شده از 15 دسامبر 2021؛ تعریف محیط IT و کنترل‌های عمومی IT؛ عوامل ریسک ذاتی</w:t>
            </w:r>
          </w:p>
        </w:tc>
        <w:tc>
          <w:tcPr>
            <w:tcW w:type="dxa" w:w="2494"/>
          </w:tcPr>
          <w:p>
            <w:pPr>
              <w:bidi/>
              <w:jc w:val="right"/>
            </w:pPr>
            <w:r>
              <w:rPr>
                <w:rFonts w:ascii="Arial" w:hAnsi="Arial" w:cs="Arial"/>
                <w:rtl/>
              </w:rPr>
            </w:r>
            <w:r>
              <w:rPr>
                <w:rFonts w:ascii="Arial" w:hAnsi="Arial" w:cs="Arial"/>
                <w:b w:val="0"/>
                <w:sz w:val="18"/>
                <w:rtl/>
              </w:rPr>
              <w:t>پایه لایه اطمینان‌بخشی؛ TVI، CCE، RRJ</w:t>
            </w:r>
          </w:p>
        </w:tc>
      </w:tr>
      <w:tr>
        <w:tc>
          <w:tcPr>
            <w:tcW w:type="dxa" w:w="2948"/>
          </w:tcPr>
          <w:p>
            <w:pPr>
              <w:bidi/>
              <w:jc w:val="right"/>
            </w:pPr>
            <w:r>
              <w:rPr>
                <w:rFonts w:ascii="Arial" w:hAnsi="Arial" w:cs="Arial"/>
                <w:rtl/>
              </w:rPr>
            </w:r>
            <w:r>
              <w:rPr>
                <w:rFonts w:ascii="Arial" w:hAnsi="Arial" w:cs="Arial"/>
                <w:b w:val="0"/>
                <w:sz w:val="18"/>
                <w:rtl/>
              </w:rPr>
              <w:t>ISA 200, 240, 250, 260, 265, 330, 402, 500, 620</w:t>
            </w:r>
          </w:p>
        </w:tc>
        <w:tc>
          <w:tcPr>
            <w:tcW w:type="dxa" w:w="3742"/>
          </w:tcPr>
          <w:p>
            <w:pPr>
              <w:bidi/>
              <w:jc w:val="right"/>
            </w:pPr>
            <w:r>
              <w:rPr>
                <w:rFonts w:ascii="Arial" w:hAnsi="Arial" w:cs="Arial"/>
                <w:rtl/>
              </w:rPr>
            </w:r>
            <w:r>
              <w:rPr>
                <w:rFonts w:ascii="Arial" w:hAnsi="Arial" w:cs="Arial"/>
                <w:b w:val="0"/>
                <w:sz w:val="18"/>
                <w:rtl/>
              </w:rPr>
              <w:t>ویرایش جاری را از iaasb.org تطبیق دهید</w:t>
            </w:r>
          </w:p>
        </w:tc>
        <w:tc>
          <w:tcPr>
            <w:tcW w:type="dxa" w:w="2494"/>
          </w:tcPr>
          <w:p>
            <w:pPr>
              <w:bidi/>
              <w:jc w:val="right"/>
            </w:pPr>
            <w:r>
              <w:rPr>
                <w:rFonts w:ascii="Arial" w:hAnsi="Arial" w:cs="Arial"/>
                <w:rtl/>
              </w:rPr>
            </w:r>
            <w:r>
              <w:rPr>
                <w:rFonts w:ascii="Arial" w:hAnsi="Arial" w:cs="Arial"/>
                <w:b w:val="0"/>
                <w:sz w:val="18"/>
                <w:rtl/>
              </w:rPr>
              <w:t>پاسخ به ریسک، شواهد، سازمان خدماتی، ارتباط با راهبران، کارشناس، تقلب، قوانین</w:t>
            </w:r>
          </w:p>
        </w:tc>
      </w:tr>
      <w:tr>
        <w:tc>
          <w:tcPr>
            <w:tcW w:type="dxa" w:w="2948"/>
          </w:tcPr>
          <w:p>
            <w:pPr>
              <w:bidi/>
              <w:jc w:val="right"/>
            </w:pPr>
            <w:r>
              <w:rPr>
                <w:rFonts w:ascii="Arial" w:hAnsi="Arial" w:cs="Arial"/>
                <w:rtl/>
              </w:rPr>
            </w:r>
            <w:r>
              <w:rPr>
                <w:rFonts w:ascii="Arial" w:hAnsi="Arial" w:cs="Arial"/>
                <w:b w:val="0"/>
                <w:sz w:val="18"/>
                <w:rtl/>
              </w:rPr>
              <w:t>IIA Global Internal Audit Standards 2024 و Cybersecurity Topical Requirement</w:t>
            </w:r>
          </w:p>
        </w:tc>
        <w:tc>
          <w:tcPr>
            <w:tcW w:type="dxa" w:w="3742"/>
          </w:tcPr>
          <w:p>
            <w:pPr>
              <w:bidi/>
              <w:jc w:val="right"/>
            </w:pPr>
            <w:r>
              <w:rPr>
                <w:rFonts w:ascii="Arial" w:hAnsi="Arial" w:cs="Arial"/>
                <w:rtl/>
              </w:rPr>
            </w:r>
            <w:r>
              <w:rPr>
                <w:rFonts w:ascii="Arial" w:hAnsi="Arial" w:cs="Arial"/>
                <w:b w:val="0"/>
                <w:sz w:val="18"/>
                <w:rtl/>
              </w:rPr>
              <w:t>استانداردها از 9 ژانویه 2025؛ الزام موضوعی از 5 فوریه 2026 (صدور 5 فوریه 2025)</w:t>
            </w:r>
          </w:p>
        </w:tc>
        <w:tc>
          <w:tcPr>
            <w:tcW w:type="dxa" w:w="2494"/>
          </w:tcPr>
          <w:p>
            <w:pPr>
              <w:bidi/>
              <w:jc w:val="right"/>
            </w:pPr>
            <w:r>
              <w:rPr>
                <w:rFonts w:ascii="Arial" w:hAnsi="Arial" w:cs="Arial"/>
                <w:rtl/>
              </w:rPr>
            </w:r>
            <w:r>
              <w:rPr>
                <w:rFonts w:ascii="Arial" w:hAnsi="Arial" w:cs="Arial"/>
                <w:b w:val="0"/>
                <w:sz w:val="18"/>
                <w:rtl/>
              </w:rPr>
              <w:t>حسابرسی داخلی؛ COL، MOL، PEF</w:t>
            </w:r>
          </w:p>
        </w:tc>
      </w:tr>
      <w:tr>
        <w:tc>
          <w:tcPr>
            <w:tcW w:type="dxa" w:w="2948"/>
          </w:tcPr>
          <w:p>
            <w:pPr>
              <w:bidi/>
              <w:jc w:val="right"/>
            </w:pPr>
            <w:r>
              <w:rPr>
                <w:rFonts w:ascii="Arial" w:hAnsi="Arial" w:cs="Arial"/>
                <w:rtl/>
              </w:rPr>
            </w:r>
            <w:r>
              <w:rPr>
                <w:rFonts w:ascii="Arial" w:hAnsi="Arial" w:cs="Arial"/>
                <w:b w:val="0"/>
                <w:sz w:val="18"/>
                <w:rtl/>
              </w:rPr>
              <w:t>AICPA TSC 2017 (نکات 2022) و SOC for Cybersecurity (DC section 100)</w:t>
            </w:r>
          </w:p>
        </w:tc>
        <w:tc>
          <w:tcPr>
            <w:tcW w:type="dxa" w:w="3742"/>
          </w:tcPr>
          <w:p>
            <w:pPr>
              <w:bidi/>
              <w:jc w:val="right"/>
            </w:pPr>
            <w:r>
              <w:rPr>
                <w:rFonts w:ascii="Arial" w:hAnsi="Arial" w:cs="Arial"/>
                <w:rtl/>
              </w:rPr>
            </w:r>
            <w:r>
              <w:rPr>
                <w:rFonts w:ascii="Arial" w:hAnsi="Arial" w:cs="Arial"/>
                <w:b w:val="0"/>
                <w:sz w:val="18"/>
                <w:rtl/>
              </w:rPr>
              <w:t>معیارهای کنترل و معیارهای توصیف برنامه مدیریت ریسک سایبری</w:t>
            </w:r>
          </w:p>
        </w:tc>
        <w:tc>
          <w:tcPr>
            <w:tcW w:type="dxa" w:w="2494"/>
          </w:tcPr>
          <w:p>
            <w:pPr>
              <w:bidi/>
              <w:jc w:val="right"/>
            </w:pPr>
            <w:r>
              <w:rPr>
                <w:rFonts w:ascii="Arial" w:hAnsi="Arial" w:cs="Arial"/>
                <w:rtl/>
              </w:rPr>
            </w:r>
            <w:r>
              <w:rPr>
                <w:rFonts w:ascii="Arial" w:hAnsi="Arial" w:cs="Arial"/>
                <w:b w:val="0"/>
                <w:sz w:val="18"/>
                <w:rtl/>
              </w:rPr>
              <w:t>CCE و گزارشگری PEF</w:t>
            </w:r>
          </w:p>
        </w:tc>
      </w:tr>
      <w:tr>
        <w:tc>
          <w:tcPr>
            <w:tcW w:type="dxa" w:w="2948"/>
          </w:tcPr>
          <w:p>
            <w:pPr>
              <w:bidi/>
              <w:jc w:val="right"/>
            </w:pPr>
            <w:r>
              <w:rPr>
                <w:rFonts w:ascii="Arial" w:hAnsi="Arial" w:cs="Arial"/>
                <w:rtl/>
              </w:rPr>
            </w:r>
            <w:r>
              <w:rPr>
                <w:rFonts w:ascii="Arial" w:hAnsi="Arial" w:cs="Arial"/>
                <w:b w:val="0"/>
                <w:sz w:val="18"/>
                <w:rtl/>
              </w:rPr>
              <w:t>NIST CSF 2.0 (2024)</w:t>
            </w:r>
          </w:p>
        </w:tc>
        <w:tc>
          <w:tcPr>
            <w:tcW w:type="dxa" w:w="3742"/>
          </w:tcPr>
          <w:p>
            <w:pPr>
              <w:bidi/>
              <w:jc w:val="right"/>
            </w:pPr>
            <w:r>
              <w:rPr>
                <w:rFonts w:ascii="Arial" w:hAnsi="Arial" w:cs="Arial"/>
                <w:rtl/>
              </w:rPr>
            </w:r>
            <w:r>
              <w:rPr>
                <w:rFonts w:ascii="Arial" w:hAnsi="Arial" w:cs="Arial"/>
                <w:b w:val="0"/>
                <w:sz w:val="18"/>
                <w:rtl/>
              </w:rPr>
              <w:t>شش کارکرد: Govern، Identify، Protect، Detect، Respond، Recover</w:t>
            </w:r>
          </w:p>
        </w:tc>
        <w:tc>
          <w:tcPr>
            <w:tcW w:type="dxa" w:w="2494"/>
          </w:tcPr>
          <w:p>
            <w:pPr>
              <w:bidi/>
              <w:jc w:val="right"/>
            </w:pPr>
            <w:r>
              <w:rPr>
                <w:rFonts w:ascii="Arial" w:hAnsi="Arial" w:cs="Arial"/>
                <w:rtl/>
              </w:rPr>
            </w:r>
            <w:r>
              <w:rPr>
                <w:rFonts w:ascii="Arial" w:hAnsi="Arial" w:cs="Arial"/>
                <w:b w:val="0"/>
                <w:sz w:val="18"/>
                <w:rtl/>
              </w:rPr>
              <w:t>TVI (ID.RA)، MOL (ID.IM، DE، RS، RC)</w:t>
            </w:r>
          </w:p>
        </w:tc>
      </w:tr>
      <w:tr>
        <w:tc>
          <w:tcPr>
            <w:tcW w:type="dxa" w:w="2948"/>
          </w:tcPr>
          <w:p>
            <w:pPr>
              <w:bidi/>
              <w:jc w:val="right"/>
            </w:pPr>
            <w:r>
              <w:rPr>
                <w:rFonts w:ascii="Arial" w:hAnsi="Arial" w:cs="Arial"/>
                <w:rtl/>
              </w:rPr>
            </w:r>
            <w:r>
              <w:rPr>
                <w:rFonts w:ascii="Arial" w:hAnsi="Arial" w:cs="Arial"/>
                <w:b w:val="0"/>
                <w:sz w:val="18"/>
                <w:rtl/>
              </w:rPr>
              <w:t>NIST SP 800-61 Rev. 3 (آوریل 2025)</w:t>
            </w:r>
          </w:p>
        </w:tc>
        <w:tc>
          <w:tcPr>
            <w:tcW w:type="dxa" w:w="3742"/>
          </w:tcPr>
          <w:p>
            <w:pPr>
              <w:bidi/>
              <w:jc w:val="right"/>
            </w:pPr>
            <w:r>
              <w:rPr>
                <w:rFonts w:ascii="Arial" w:hAnsi="Arial" w:cs="Arial"/>
                <w:rtl/>
              </w:rPr>
            </w:r>
            <w:r>
              <w:rPr>
                <w:rFonts w:ascii="Arial" w:hAnsi="Arial" w:cs="Arial"/>
                <w:b w:val="0"/>
                <w:sz w:val="18"/>
                <w:rtl/>
              </w:rPr>
              <w:t>جایگزین Rev. 2؛ بر پایه CSF 2.0</w:t>
            </w:r>
          </w:p>
        </w:tc>
        <w:tc>
          <w:tcPr>
            <w:tcW w:type="dxa" w:w="2494"/>
          </w:tcPr>
          <w:p>
            <w:pPr>
              <w:bidi/>
              <w:jc w:val="right"/>
            </w:pPr>
            <w:r>
              <w:rPr>
                <w:rFonts w:ascii="Arial" w:hAnsi="Arial" w:cs="Arial"/>
                <w:rtl/>
              </w:rPr>
            </w:r>
            <w:r>
              <w:rPr>
                <w:rFonts w:ascii="Arial" w:hAnsi="Arial" w:cs="Arial"/>
                <w:b w:val="0"/>
                <w:sz w:val="18"/>
                <w:rtl/>
              </w:rPr>
              <w:t>MOL (پاسخ و بازیابی)</w:t>
            </w:r>
          </w:p>
        </w:tc>
      </w:tr>
      <w:tr>
        <w:tc>
          <w:tcPr>
            <w:tcW w:type="dxa" w:w="2948"/>
          </w:tcPr>
          <w:p>
            <w:pPr>
              <w:bidi/>
              <w:jc w:val="right"/>
            </w:pPr>
            <w:r>
              <w:rPr>
                <w:rFonts w:ascii="Arial" w:hAnsi="Arial" w:cs="Arial"/>
                <w:rtl/>
              </w:rPr>
            </w:r>
            <w:r>
              <w:rPr>
                <w:rFonts w:ascii="Arial" w:hAnsi="Arial" w:cs="Arial"/>
                <w:b w:val="0"/>
                <w:sz w:val="18"/>
                <w:rtl/>
              </w:rPr>
              <w:t>ISO/IEC 27001:2022</w:t>
            </w:r>
          </w:p>
        </w:tc>
        <w:tc>
          <w:tcPr>
            <w:tcW w:type="dxa" w:w="3742"/>
          </w:tcPr>
          <w:p>
            <w:pPr>
              <w:bidi/>
              <w:jc w:val="right"/>
            </w:pPr>
            <w:r>
              <w:rPr>
                <w:rFonts w:ascii="Arial" w:hAnsi="Arial" w:cs="Arial"/>
                <w:rtl/>
              </w:rPr>
            </w:r>
            <w:r>
              <w:rPr>
                <w:rFonts w:ascii="Arial" w:hAnsi="Arial" w:cs="Arial"/>
                <w:b w:val="0"/>
                <w:sz w:val="18"/>
                <w:rtl/>
              </w:rPr>
              <w:t>سیستم مدیریت امنیت اطلاعات؛ بندهای ارزیابی و مقابله با ریسک، ارزیابی عملکرد و بهبود</w:t>
            </w:r>
          </w:p>
        </w:tc>
        <w:tc>
          <w:tcPr>
            <w:tcW w:type="dxa" w:w="2494"/>
          </w:tcPr>
          <w:p>
            <w:pPr>
              <w:bidi/>
              <w:jc w:val="right"/>
            </w:pPr>
            <w:r>
              <w:rPr>
                <w:rFonts w:ascii="Arial" w:hAnsi="Arial" w:cs="Arial"/>
                <w:rtl/>
              </w:rPr>
            </w:r>
            <w:r>
              <w:rPr>
                <w:rFonts w:ascii="Arial" w:hAnsi="Arial" w:cs="Arial"/>
                <w:b w:val="0"/>
                <w:sz w:val="18"/>
                <w:rtl/>
              </w:rPr>
              <w:t>RRJ، CCE، MOL</w:t>
            </w:r>
          </w:p>
        </w:tc>
      </w:tr>
      <w:tr>
        <w:tc>
          <w:tcPr>
            <w:tcW w:type="dxa" w:w="2948"/>
          </w:tcPr>
          <w:p>
            <w:pPr>
              <w:bidi/>
              <w:jc w:val="right"/>
            </w:pPr>
            <w:r>
              <w:rPr>
                <w:rFonts w:ascii="Arial" w:hAnsi="Arial" w:cs="Arial"/>
                <w:rtl/>
              </w:rPr>
            </w:r>
            <w:r>
              <w:rPr>
                <w:rFonts w:ascii="Arial" w:hAnsi="Arial" w:cs="Arial"/>
                <w:b w:val="0"/>
                <w:sz w:val="18"/>
                <w:rtl/>
              </w:rPr>
              <w:t>ISO/IEC 27005:2022 (ویرایش چهارم، اکتبر 2022)</w:t>
            </w:r>
          </w:p>
        </w:tc>
        <w:tc>
          <w:tcPr>
            <w:tcW w:type="dxa" w:w="3742"/>
          </w:tcPr>
          <w:p>
            <w:pPr>
              <w:bidi/>
              <w:jc w:val="right"/>
            </w:pPr>
            <w:r>
              <w:rPr>
                <w:rFonts w:ascii="Arial" w:hAnsi="Arial" w:cs="Arial"/>
                <w:rtl/>
              </w:rPr>
            </w:r>
            <w:r>
              <w:rPr>
                <w:rFonts w:ascii="Arial" w:hAnsi="Arial" w:cs="Arial"/>
                <w:b w:val="0"/>
                <w:sz w:val="18"/>
                <w:rtl/>
              </w:rPr>
              <w:t>همسو با ISO/IEC 27001:2022 و ISO 31000:2018؛ واژه «پیامد» به جای «اثر»؛ سناریوی ریسک؛ رویکرد رویدادمحور در برابر دارایی‌محور</w:t>
            </w:r>
          </w:p>
        </w:tc>
        <w:tc>
          <w:tcPr>
            <w:tcW w:type="dxa" w:w="2494"/>
          </w:tcPr>
          <w:p>
            <w:pPr>
              <w:bidi/>
              <w:jc w:val="right"/>
            </w:pPr>
            <w:r>
              <w:rPr>
                <w:rFonts w:ascii="Arial" w:hAnsi="Arial" w:cs="Arial"/>
                <w:rtl/>
              </w:rPr>
            </w:r>
            <w:r>
              <w:rPr>
                <w:rFonts w:ascii="Arial" w:hAnsi="Arial" w:cs="Arial"/>
                <w:b w:val="0"/>
                <w:sz w:val="18"/>
                <w:rtl/>
              </w:rPr>
              <w:t>TVI، RRJ</w:t>
            </w:r>
          </w:p>
        </w:tc>
      </w:tr>
      <w:tr>
        <w:tc>
          <w:tcPr>
            <w:tcW w:type="dxa" w:w="2948"/>
          </w:tcPr>
          <w:p>
            <w:pPr>
              <w:bidi/>
              <w:jc w:val="right"/>
            </w:pPr>
            <w:r>
              <w:rPr>
                <w:rFonts w:ascii="Arial" w:hAnsi="Arial" w:cs="Arial"/>
                <w:rtl/>
              </w:rPr>
            </w:r>
            <w:r>
              <w:rPr>
                <w:rFonts w:ascii="Arial" w:hAnsi="Arial" w:cs="Arial"/>
                <w:b w:val="0"/>
                <w:sz w:val="18"/>
                <w:rtl/>
              </w:rPr>
              <w:t>ISO 31000:2018; COSO ERM 2017; COBIT 2019</w:t>
            </w:r>
          </w:p>
        </w:tc>
        <w:tc>
          <w:tcPr>
            <w:tcW w:type="dxa" w:w="3742"/>
          </w:tcPr>
          <w:p>
            <w:pPr>
              <w:bidi/>
              <w:jc w:val="right"/>
            </w:pPr>
            <w:r>
              <w:rPr>
                <w:rFonts w:ascii="Arial" w:hAnsi="Arial" w:cs="Arial"/>
                <w:rtl/>
              </w:rPr>
            </w:r>
            <w:r>
              <w:rPr>
                <w:rFonts w:ascii="Arial" w:hAnsi="Arial" w:cs="Arial"/>
                <w:b w:val="0"/>
                <w:sz w:val="18"/>
                <w:rtl/>
              </w:rPr>
              <w:t>اصول و فرایند مدیریت ریسک (COSO و COBIT در این جلسه دوباره بررسی نشده‌اند)</w:t>
            </w:r>
          </w:p>
        </w:tc>
        <w:tc>
          <w:tcPr>
            <w:tcW w:type="dxa" w:w="2494"/>
          </w:tcPr>
          <w:p>
            <w:pPr>
              <w:bidi/>
              <w:jc w:val="right"/>
            </w:pPr>
            <w:r>
              <w:rPr>
                <w:rFonts w:ascii="Arial" w:hAnsi="Arial" w:cs="Arial"/>
                <w:rtl/>
              </w:rPr>
            </w:r>
            <w:r>
              <w:rPr>
                <w:rFonts w:ascii="Arial" w:hAnsi="Arial" w:cs="Arial"/>
                <w:b w:val="0"/>
                <w:sz w:val="18"/>
                <w:rtl/>
              </w:rPr>
              <w:t>چارچوب عمومی؛ تعریف ریسک‌پذیری و حاکمیت</w:t>
            </w:r>
          </w:p>
        </w:tc>
      </w:tr>
    </w:tbl>
    <w:p/>
    <w:p>
      <w:pPr>
        <w:spacing w:after="80"/>
        <w:bidi/>
        <w:jc w:val="right"/>
      </w:pPr>
      <w:r>
        <w:rPr>
          <w:rFonts w:ascii="Arial" w:hAnsi="Arial" w:cs="Arial"/>
          <w:b/>
          <w:i w:val="0"/>
          <w:color w:val="1F3864"/>
          <w:sz w:val="24"/>
          <w:rtl/>
        </w:rPr>
        <w:t>2-3. نظریه‌ها</w:t>
      </w:r>
    </w:p>
    <w:p>
      <w:pPr>
        <w:spacing w:after="40"/>
        <w:bidi/>
        <w:jc w:val="right"/>
      </w:pPr>
      <w:r>
        <w:rPr>
          <w:rFonts w:ascii="Arial" w:hAnsi="Arial" w:cs="Arial"/>
          <w:rtl/>
        </w:rPr>
        <w:t>• مدل ریسک حسابرسی و رویکرد مبتنی بر ریسک (ISA): ریسک سایبری وقتی به حسابرس مربوط می‌شود که بر ریسک تحریف با اهمیت یا اتکای حسابرس به کنترل‌ها اثر بگذارد.</w:t>
      </w:r>
    </w:p>
    <w:p>
      <w:pPr>
        <w:spacing w:after="40"/>
        <w:bidi/>
        <w:jc w:val="right"/>
      </w:pPr>
      <w:r>
        <w:rPr>
          <w:rFonts w:ascii="Arial" w:hAnsi="Arial" w:cs="Arial"/>
          <w:rtl/>
        </w:rPr>
        <w:t>• نظریه نمایندگی و عدم تقارن اطلاعات (Jensen &amp; Meckling، 1976): حسابرس برای دسترسی به اطلاعات فنی به سازمان و متخصصان وابسته است؛ این وابستگی توضیح می‌دهد چرا دو گروه ممکن است ریسک را متفاوت ببینند (پایه H10).</w:t>
      </w:r>
    </w:p>
    <w:p>
      <w:pPr>
        <w:spacing w:after="40"/>
        <w:bidi/>
        <w:jc w:val="right"/>
      </w:pPr>
      <w:r>
        <w:rPr>
          <w:rFonts w:ascii="Arial" w:hAnsi="Arial" w:cs="Arial"/>
          <w:rtl/>
        </w:rPr>
        <w:t>• نظریه نهادی (DiMaggio &amp; Powell، 1983): فشارهای قانونی، تقلیدی و هنجاری در پذیرش استانداردها اثر دارند. Vuko et al. (2024) اثربخشی حسابرسی امنیت سایبری را با لنز نو‌نهادگرا بررسی کرده‌اند.</w:t>
      </w:r>
    </w:p>
    <w:p>
      <w:pPr>
        <w:spacing w:after="40"/>
        <w:bidi/>
        <w:jc w:val="right"/>
      </w:pPr>
      <w:r>
        <w:rPr>
          <w:rFonts w:ascii="Arial" w:hAnsi="Arial" w:cs="Arial"/>
          <w:rtl/>
        </w:rPr>
        <w:t>• نظریه مبتنی بر منابع و توانمندی‌های پویا (Barney، 1991؛ Teece et al.، 1997): صلاحیت، همکاری حسابرس–متخصص و یادگیری، توانمندی‌هایی هستند که کیفیت قضاوت را بالا می‌برند (پایه H3 تا H7).</w:t>
      </w:r>
    </w:p>
    <w:p>
      <w:pPr>
        <w:spacing w:after="40"/>
        <w:bidi/>
        <w:jc w:val="right"/>
      </w:pPr>
      <w:r>
        <w:rPr>
          <w:rFonts w:ascii="Arial" w:hAnsi="Arial" w:cs="Arial"/>
          <w:rtl/>
        </w:rPr>
        <w:t>• نظریه اقتضایی (Donaldson، 2001): کاربرد مولفه‌ها به اندازه، صنعت و منابع بستگی دارد؛ در تحلیل، متغیرهای کنترلی لحاظ می‌شوند.</w:t>
      </w:r>
    </w:p>
    <w:p>
      <w:pPr>
        <w:spacing w:after="40"/>
        <w:bidi/>
        <w:jc w:val="right"/>
      </w:pPr>
      <w:r>
        <w:rPr>
          <w:rFonts w:ascii="Arial" w:hAnsi="Arial" w:cs="Arial"/>
          <w:rtl/>
        </w:rPr>
        <w:t>• اقتصاد سرمایه‌گذاری امنیتی (Gordon &amp; Loeb، 2002): اولویت‌بندی ریسک و سرمایه‌گذاری بر پایه زیان مورد انتظار، توجیه نظری لایه ارزیابی و مقابله است.</w:t>
      </w:r>
    </w:p>
    <w:p>
      <w:pPr>
        <w:spacing w:after="20"/>
      </w:pPr>
    </w:p>
    <w:p>
      <w:pPr>
        <w:spacing w:after="80"/>
        <w:bidi/>
        <w:jc w:val="right"/>
      </w:pPr>
      <w:r>
        <w:rPr>
          <w:rFonts w:ascii="Arial" w:hAnsi="Arial" w:cs="Arial"/>
          <w:b/>
          <w:i w:val="0"/>
          <w:color w:val="1F3864"/>
          <w:sz w:val="24"/>
          <w:rtl/>
        </w:rPr>
        <w:t>2-4. پیشینه تجربی منتخب</w:t>
      </w:r>
    </w:p>
    <w:p>
      <w:pPr>
        <w:spacing w:after="100"/>
        <w:bidi/>
        <w:jc w:val="right"/>
      </w:pPr>
      <w:r>
        <w:rPr>
          <w:rFonts w:ascii="Arial" w:hAnsi="Arial" w:cs="Arial"/>
          <w:b w:val="0"/>
          <w:i w:val="0"/>
          <w:sz w:val="19"/>
          <w:rtl/>
        </w:rPr>
        <w:t>جدول زیر مطالعاتی را نشان می‌دهد که مرتبط‌ترین‌ها از میان منابع شما بودند و جزئیاتشان تأیید شد. محتوا در حد چکیده یا رکورد کتاب‌شناختی است.</w:t>
      </w:r>
    </w:p>
    <w:tbl>
      <w:tblPr>
        <w:tblStyle w:val="TableGrid"/>
        <w:tblW w:type="auto" w:w="0"/>
        <w:tblLayout w:type="fixed"/>
        <w:tblLook w:firstColumn="1" w:firstRow="1" w:lastColumn="0" w:lastRow="0" w:noHBand="0" w:noVBand="1" w:val="04A0"/>
        <w:bidiVisual/>
      </w:tblPr>
      <w:tblGrid>
        <w:gridCol w:w="1928"/>
        <w:gridCol w:w="1871"/>
        <w:gridCol w:w="3742"/>
        <w:gridCol w:w="1644"/>
      </w:tblGrid>
      <w:tr>
        <w:tc>
          <w:tcPr>
            <w:tcW w:type="dxa" w:w="1928"/>
            <w:shd w:val="clear" w:color="auto" w:fill="1F3864"/>
          </w:tcPr>
          <w:p>
            <w:pPr>
              <w:bidi/>
              <w:jc w:val="right"/>
            </w:pPr>
            <w:r>
              <w:rPr>
                <w:rFonts w:ascii="Arial" w:hAnsi="Arial" w:cs="Arial"/>
                <w:rtl/>
              </w:rPr>
            </w:r>
            <w:r>
              <w:rPr>
                <w:rFonts w:ascii="Arial" w:hAnsi="Arial" w:cs="Arial"/>
                <w:b/>
                <w:color w:val="FFFFFF"/>
                <w:sz w:val="18"/>
                <w:rtl/>
              </w:rPr>
              <w:t>مطالعه</w:t>
            </w:r>
          </w:p>
        </w:tc>
        <w:tc>
          <w:tcPr>
            <w:tcW w:type="dxa" w:w="1871"/>
            <w:shd w:val="clear" w:color="auto" w:fill="1F3864"/>
          </w:tcPr>
          <w:p>
            <w:pPr>
              <w:bidi/>
              <w:jc w:val="right"/>
            </w:pPr>
            <w:r>
              <w:rPr>
                <w:rFonts w:ascii="Arial" w:hAnsi="Arial" w:cs="Arial"/>
                <w:rtl/>
              </w:rPr>
            </w:r>
            <w:r>
              <w:rPr>
                <w:rFonts w:ascii="Arial" w:hAnsi="Arial" w:cs="Arial"/>
                <w:b/>
                <w:color w:val="FFFFFF"/>
                <w:sz w:val="18"/>
                <w:rtl/>
              </w:rPr>
              <w:t>زمینه و روش</w:t>
            </w:r>
          </w:p>
        </w:tc>
        <w:tc>
          <w:tcPr>
            <w:tcW w:type="dxa" w:w="3742"/>
            <w:shd w:val="clear" w:color="auto" w:fill="1F3864"/>
          </w:tcPr>
          <w:p>
            <w:pPr>
              <w:bidi/>
              <w:jc w:val="right"/>
            </w:pPr>
            <w:r>
              <w:rPr>
                <w:rFonts w:ascii="Arial" w:hAnsi="Arial" w:cs="Arial"/>
                <w:rtl/>
              </w:rPr>
            </w:r>
            <w:r>
              <w:rPr>
                <w:rFonts w:ascii="Arial" w:hAnsi="Arial" w:cs="Arial"/>
                <w:b/>
                <w:color w:val="FFFFFF"/>
                <w:sz w:val="18"/>
                <w:rtl/>
              </w:rPr>
              <w:t>یافته یا نقش (در حد چکیده)</w:t>
            </w:r>
          </w:p>
        </w:tc>
        <w:tc>
          <w:tcPr>
            <w:tcW w:type="dxa" w:w="1644"/>
            <w:shd w:val="clear" w:color="auto" w:fill="1F3864"/>
          </w:tcPr>
          <w:p>
            <w:pPr>
              <w:bidi/>
              <w:jc w:val="right"/>
            </w:pPr>
            <w:r>
              <w:rPr>
                <w:rFonts w:ascii="Arial" w:hAnsi="Arial" w:cs="Arial"/>
                <w:rtl/>
              </w:rPr>
            </w:r>
            <w:r>
              <w:rPr>
                <w:rFonts w:ascii="Arial" w:hAnsi="Arial" w:cs="Arial"/>
                <w:b/>
                <w:color w:val="FFFFFF"/>
                <w:sz w:val="18"/>
                <w:rtl/>
              </w:rPr>
              <w:t>کاربرد در مدل</w:t>
            </w:r>
          </w:p>
        </w:tc>
      </w:tr>
      <w:tr>
        <w:tc>
          <w:tcPr>
            <w:tcW w:type="dxa" w:w="1928"/>
          </w:tcPr>
          <w:p>
            <w:pPr>
              <w:bidi/>
              <w:jc w:val="right"/>
            </w:pPr>
            <w:r>
              <w:rPr>
                <w:rFonts w:ascii="Arial" w:hAnsi="Arial" w:cs="Arial"/>
                <w:rtl/>
              </w:rPr>
            </w:r>
            <w:r>
              <w:rPr>
                <w:rFonts w:ascii="Arial" w:hAnsi="Arial" w:cs="Arial"/>
                <w:b w:val="0"/>
                <w:sz w:val="18"/>
                <w:rtl/>
              </w:rPr>
              <w:t>Hermanson et al. (2000)</w:t>
            </w:r>
          </w:p>
        </w:tc>
        <w:tc>
          <w:tcPr>
            <w:tcW w:type="dxa" w:w="1871"/>
          </w:tcPr>
          <w:p>
            <w:pPr>
              <w:bidi/>
              <w:jc w:val="right"/>
            </w:pPr>
            <w:r>
              <w:rPr>
                <w:rFonts w:ascii="Arial" w:hAnsi="Arial" w:cs="Arial"/>
                <w:rtl/>
              </w:rPr>
            </w:r>
            <w:r>
              <w:rPr>
                <w:rFonts w:ascii="Arial" w:hAnsi="Arial" w:cs="Arial"/>
                <w:b w:val="0"/>
                <w:sz w:val="18"/>
                <w:rtl/>
              </w:rPr>
              <w:t>بررسی بیش از 100 مدیر حسابرسی داخلی</w:t>
            </w:r>
          </w:p>
        </w:tc>
        <w:tc>
          <w:tcPr>
            <w:tcW w:type="dxa" w:w="3742"/>
          </w:tcPr>
          <w:p>
            <w:pPr>
              <w:bidi/>
              <w:jc w:val="right"/>
            </w:pPr>
            <w:r>
              <w:rPr>
                <w:rFonts w:ascii="Arial" w:hAnsi="Arial" w:cs="Arial"/>
                <w:rtl/>
              </w:rPr>
            </w:r>
            <w:r>
              <w:rPr>
                <w:rFonts w:ascii="Arial" w:hAnsi="Arial" w:cs="Arial"/>
                <w:b w:val="0"/>
                <w:sz w:val="18"/>
                <w:rtl/>
              </w:rPr>
              <w:t>تمرکز بر ریسک‌های سنتی IT؛ توسعه و تحصیل سیستم کمتر؛ وجود متخصص و اهداف حسابرسی با فراوانی ارزیابی IT مرتبط است</w:t>
            </w:r>
          </w:p>
        </w:tc>
        <w:tc>
          <w:tcPr>
            <w:tcW w:type="dxa" w:w="1644"/>
          </w:tcPr>
          <w:p>
            <w:pPr>
              <w:bidi/>
              <w:jc w:val="right"/>
            </w:pPr>
            <w:r>
              <w:rPr>
                <w:rFonts w:ascii="Arial" w:hAnsi="Arial" w:cs="Arial"/>
                <w:rtl/>
              </w:rPr>
            </w:r>
            <w:r>
              <w:rPr>
                <w:rFonts w:ascii="Arial" w:hAnsi="Arial" w:cs="Arial"/>
                <w:b w:val="0"/>
                <w:sz w:val="18"/>
                <w:rtl/>
              </w:rPr>
              <w:t>TVI، COL</w:t>
            </w:r>
          </w:p>
        </w:tc>
      </w:tr>
      <w:tr>
        <w:tc>
          <w:tcPr>
            <w:tcW w:type="dxa" w:w="1928"/>
          </w:tcPr>
          <w:p>
            <w:pPr>
              <w:bidi/>
              <w:jc w:val="right"/>
            </w:pPr>
            <w:r>
              <w:rPr>
                <w:rFonts w:ascii="Arial" w:hAnsi="Arial" w:cs="Arial"/>
                <w:rtl/>
              </w:rPr>
            </w:r>
            <w:r>
              <w:rPr>
                <w:rFonts w:ascii="Arial" w:hAnsi="Arial" w:cs="Arial"/>
                <w:b w:val="0"/>
                <w:sz w:val="18"/>
                <w:rtl/>
              </w:rPr>
              <w:t>Bedard et al. (2005)</w:t>
            </w:r>
          </w:p>
        </w:tc>
        <w:tc>
          <w:tcPr>
            <w:tcW w:type="dxa" w:w="1871"/>
          </w:tcPr>
          <w:p>
            <w:pPr>
              <w:bidi/>
              <w:jc w:val="right"/>
            </w:pPr>
            <w:r>
              <w:rPr>
                <w:rFonts w:ascii="Arial" w:hAnsi="Arial" w:cs="Arial"/>
                <w:rtl/>
              </w:rPr>
            </w:r>
            <w:r>
              <w:rPr>
                <w:rFonts w:ascii="Arial" w:hAnsi="Arial" w:cs="Arial"/>
                <w:b w:val="0"/>
                <w:sz w:val="18"/>
                <w:rtl/>
              </w:rPr>
              <w:t>ریسک سیستم‌های اطلاعاتی و برنامه‌ریزی حسابرسی</w:t>
            </w:r>
          </w:p>
        </w:tc>
        <w:tc>
          <w:tcPr>
            <w:tcW w:type="dxa" w:w="3742"/>
          </w:tcPr>
          <w:p>
            <w:pPr>
              <w:bidi/>
              <w:jc w:val="right"/>
            </w:pPr>
            <w:r>
              <w:rPr>
                <w:rFonts w:ascii="Arial" w:hAnsi="Arial" w:cs="Arial"/>
                <w:rtl/>
              </w:rPr>
            </w:r>
            <w:r>
              <w:rPr>
                <w:rFonts w:ascii="Arial" w:hAnsi="Arial" w:cs="Arial"/>
                <w:b w:val="0"/>
                <w:sz w:val="18"/>
                <w:rtl/>
              </w:rPr>
              <w:t>پیوند ریسک IS با برنامه‌ریزی حسابرسی (در حد عنوان)</w:t>
            </w:r>
          </w:p>
        </w:tc>
        <w:tc>
          <w:tcPr>
            <w:tcW w:type="dxa" w:w="1644"/>
          </w:tcPr>
          <w:p>
            <w:pPr>
              <w:bidi/>
              <w:jc w:val="right"/>
            </w:pPr>
            <w:r>
              <w:rPr>
                <w:rFonts w:ascii="Arial" w:hAnsi="Arial" w:cs="Arial"/>
                <w:rtl/>
              </w:rPr>
            </w:r>
            <w:r>
              <w:rPr>
                <w:rFonts w:ascii="Arial" w:hAnsi="Arial" w:cs="Arial"/>
                <w:b w:val="0"/>
                <w:sz w:val="18"/>
                <w:rtl/>
              </w:rPr>
              <w:t>H1</w:t>
            </w:r>
          </w:p>
        </w:tc>
      </w:tr>
      <w:tr>
        <w:tc>
          <w:tcPr>
            <w:tcW w:type="dxa" w:w="1928"/>
          </w:tcPr>
          <w:p>
            <w:pPr>
              <w:bidi/>
              <w:jc w:val="right"/>
            </w:pPr>
            <w:r>
              <w:rPr>
                <w:rFonts w:ascii="Arial" w:hAnsi="Arial" w:cs="Arial"/>
                <w:rtl/>
              </w:rPr>
            </w:r>
            <w:r>
              <w:rPr>
                <w:rFonts w:ascii="Arial" w:hAnsi="Arial" w:cs="Arial"/>
                <w:b w:val="0"/>
                <w:sz w:val="18"/>
                <w:rtl/>
              </w:rPr>
              <w:t>Kahyaoğlu &amp; Çalıyurt (2018)</w:t>
            </w:r>
          </w:p>
        </w:tc>
        <w:tc>
          <w:tcPr>
            <w:tcW w:type="dxa" w:w="1871"/>
          </w:tcPr>
          <w:p>
            <w:pPr>
              <w:bidi/>
              <w:jc w:val="right"/>
            </w:pPr>
            <w:r>
              <w:rPr>
                <w:rFonts w:ascii="Arial" w:hAnsi="Arial" w:cs="Arial"/>
                <w:rtl/>
              </w:rPr>
            </w:r>
            <w:r>
              <w:rPr>
                <w:rFonts w:ascii="Arial" w:hAnsi="Arial" w:cs="Arial"/>
                <w:b w:val="0"/>
                <w:sz w:val="18"/>
                <w:rtl/>
              </w:rPr>
              <w:t>مرور و مدل مفهومی</w:t>
            </w:r>
          </w:p>
        </w:tc>
        <w:tc>
          <w:tcPr>
            <w:tcW w:type="dxa" w:w="3742"/>
          </w:tcPr>
          <w:p>
            <w:pPr>
              <w:bidi/>
              <w:jc w:val="right"/>
            </w:pPr>
            <w:r>
              <w:rPr>
                <w:rFonts w:ascii="Arial" w:hAnsi="Arial" w:cs="Arial"/>
                <w:rtl/>
              </w:rPr>
            </w:r>
            <w:r>
              <w:rPr>
                <w:rFonts w:ascii="Arial" w:hAnsi="Arial" w:cs="Arial"/>
                <w:b w:val="0"/>
                <w:sz w:val="18"/>
                <w:rtl/>
              </w:rPr>
              <w:t>چهار چارچوب COBIT، ISO، AICPA و NIST؛ حسابرسی داخلی در مرکز فرایند اطمینان‌بخشی؛ مدل همکاری با امنیت اطلاعات</w:t>
            </w:r>
          </w:p>
        </w:tc>
        <w:tc>
          <w:tcPr>
            <w:tcW w:type="dxa" w:w="1644"/>
          </w:tcPr>
          <w:p>
            <w:pPr>
              <w:bidi/>
              <w:jc w:val="right"/>
            </w:pPr>
            <w:r>
              <w:rPr>
                <w:rFonts w:ascii="Arial" w:hAnsi="Arial" w:cs="Arial"/>
                <w:rtl/>
              </w:rPr>
            </w:r>
            <w:r>
              <w:rPr>
                <w:rFonts w:ascii="Arial" w:hAnsi="Arial" w:cs="Arial"/>
                <w:b w:val="0"/>
                <w:sz w:val="18"/>
                <w:rtl/>
              </w:rPr>
              <w:t>لایه اطمینان‌بخشی، COL</w:t>
            </w:r>
          </w:p>
        </w:tc>
      </w:tr>
      <w:tr>
        <w:tc>
          <w:tcPr>
            <w:tcW w:type="dxa" w:w="1928"/>
          </w:tcPr>
          <w:p>
            <w:pPr>
              <w:bidi/>
              <w:jc w:val="right"/>
            </w:pPr>
            <w:r>
              <w:rPr>
                <w:rFonts w:ascii="Arial" w:hAnsi="Arial" w:cs="Arial"/>
                <w:rtl/>
              </w:rPr>
            </w:r>
            <w:r>
              <w:rPr>
                <w:rFonts w:ascii="Arial" w:hAnsi="Arial" w:cs="Arial"/>
                <w:b w:val="0"/>
                <w:sz w:val="18"/>
                <w:rtl/>
              </w:rPr>
              <w:t>Islam et al. (2018)</w:t>
            </w:r>
          </w:p>
        </w:tc>
        <w:tc>
          <w:tcPr>
            <w:tcW w:type="dxa" w:w="1871"/>
          </w:tcPr>
          <w:p>
            <w:pPr>
              <w:bidi/>
              <w:jc w:val="right"/>
            </w:pPr>
            <w:r>
              <w:rPr>
                <w:rFonts w:ascii="Arial" w:hAnsi="Arial" w:cs="Arial"/>
                <w:rtl/>
              </w:rPr>
            </w:r>
            <w:r>
              <w:rPr>
                <w:rFonts w:ascii="Arial" w:hAnsi="Arial" w:cs="Arial"/>
                <w:b w:val="0"/>
                <w:sz w:val="18"/>
                <w:rtl/>
              </w:rPr>
              <w:t>داده CBOK 2015؛ حسابرسی داخلی</w:t>
            </w:r>
          </w:p>
        </w:tc>
        <w:tc>
          <w:tcPr>
            <w:tcW w:type="dxa" w:w="3742"/>
          </w:tcPr>
          <w:p>
            <w:pPr>
              <w:bidi/>
              <w:jc w:val="right"/>
            </w:pPr>
            <w:r>
              <w:rPr>
                <w:rFonts w:ascii="Arial" w:hAnsi="Arial" w:cs="Arial"/>
                <w:rtl/>
              </w:rPr>
            </w:r>
            <w:r>
              <w:rPr>
                <w:rFonts w:ascii="Arial" w:hAnsi="Arial" w:cs="Arial"/>
                <w:b w:val="0"/>
                <w:sz w:val="18"/>
                <w:rtl/>
              </w:rPr>
              <w:t>ویژگی‌های حسابرسی داخلی/CAE، حاکمیت هیئت‌مدیره، کمیته حسابرسی، CRO و ERM با میزان حسابرسی امنیت سایبری مرتبط‌اند</w:t>
            </w:r>
          </w:p>
        </w:tc>
        <w:tc>
          <w:tcPr>
            <w:tcW w:type="dxa" w:w="1644"/>
          </w:tcPr>
          <w:p>
            <w:pPr>
              <w:bidi/>
              <w:jc w:val="right"/>
            </w:pPr>
            <w:r>
              <w:rPr>
                <w:rFonts w:ascii="Arial" w:hAnsi="Arial" w:cs="Arial"/>
                <w:rtl/>
              </w:rPr>
            </w:r>
            <w:r>
              <w:rPr>
                <w:rFonts w:ascii="Arial" w:hAnsi="Arial" w:cs="Arial"/>
                <w:b w:val="0"/>
                <w:sz w:val="18"/>
                <w:rtl/>
              </w:rPr>
              <w:t>COL، حاکمیت</w:t>
            </w:r>
          </w:p>
        </w:tc>
      </w:tr>
      <w:tr>
        <w:tc>
          <w:tcPr>
            <w:tcW w:type="dxa" w:w="1928"/>
          </w:tcPr>
          <w:p>
            <w:pPr>
              <w:bidi/>
              <w:jc w:val="right"/>
            </w:pPr>
            <w:r>
              <w:rPr>
                <w:rFonts w:ascii="Arial" w:hAnsi="Arial" w:cs="Arial"/>
                <w:rtl/>
              </w:rPr>
            </w:r>
            <w:r>
              <w:rPr>
                <w:rFonts w:ascii="Arial" w:hAnsi="Arial" w:cs="Arial"/>
                <w:b w:val="0"/>
                <w:sz w:val="18"/>
                <w:rtl/>
              </w:rPr>
              <w:t>Steinbart et al. (2018)</w:t>
            </w:r>
          </w:p>
        </w:tc>
        <w:tc>
          <w:tcPr>
            <w:tcW w:type="dxa" w:w="1871"/>
          </w:tcPr>
          <w:p>
            <w:pPr>
              <w:bidi/>
              <w:jc w:val="right"/>
            </w:pPr>
            <w:r>
              <w:rPr>
                <w:rFonts w:ascii="Arial" w:hAnsi="Arial" w:cs="Arial"/>
                <w:rtl/>
              </w:rPr>
            </w:r>
            <w:r>
              <w:rPr>
                <w:rFonts w:ascii="Arial" w:hAnsi="Arial" w:cs="Arial"/>
                <w:b w:val="0"/>
                <w:sz w:val="18"/>
                <w:rtl/>
              </w:rPr>
              <w:t>ارتباط حسابرسی داخلی و امنیت اطلاعات</w:t>
            </w:r>
          </w:p>
        </w:tc>
        <w:tc>
          <w:tcPr>
            <w:tcW w:type="dxa" w:w="3742"/>
          </w:tcPr>
          <w:p>
            <w:pPr>
              <w:bidi/>
              <w:jc w:val="right"/>
            </w:pPr>
            <w:r>
              <w:rPr>
                <w:rFonts w:ascii="Arial" w:hAnsi="Arial" w:cs="Arial"/>
                <w:rtl/>
              </w:rPr>
            </w:r>
            <w:r>
              <w:rPr>
                <w:rFonts w:ascii="Arial" w:hAnsi="Arial" w:cs="Arial"/>
                <w:b w:val="0"/>
                <w:sz w:val="18"/>
                <w:rtl/>
              </w:rPr>
              <w:t>انگیزه: شواهد تجربی کم درباره ارزش حسابرسی داخلی برای امنیت اطلاعات</w:t>
            </w:r>
          </w:p>
        </w:tc>
        <w:tc>
          <w:tcPr>
            <w:tcW w:type="dxa" w:w="1644"/>
          </w:tcPr>
          <w:p>
            <w:pPr>
              <w:bidi/>
              <w:jc w:val="right"/>
            </w:pPr>
            <w:r>
              <w:rPr>
                <w:rFonts w:ascii="Arial" w:hAnsi="Arial" w:cs="Arial"/>
                <w:rtl/>
              </w:rPr>
            </w:r>
            <w:r>
              <w:rPr>
                <w:rFonts w:ascii="Arial" w:hAnsi="Arial" w:cs="Arial"/>
                <w:b w:val="0"/>
                <w:sz w:val="18"/>
                <w:rtl/>
              </w:rPr>
              <w:t>COL، H3</w:t>
            </w:r>
          </w:p>
        </w:tc>
      </w:tr>
      <w:tr>
        <w:tc>
          <w:tcPr>
            <w:tcW w:type="dxa" w:w="1928"/>
          </w:tcPr>
          <w:p>
            <w:pPr>
              <w:bidi/>
              <w:jc w:val="right"/>
            </w:pPr>
            <w:r>
              <w:rPr>
                <w:rFonts w:ascii="Arial" w:hAnsi="Arial" w:cs="Arial"/>
                <w:rtl/>
              </w:rPr>
            </w:r>
            <w:r>
              <w:rPr>
                <w:rFonts w:ascii="Arial" w:hAnsi="Arial" w:cs="Arial"/>
                <w:b w:val="0"/>
                <w:sz w:val="18"/>
                <w:rtl/>
              </w:rPr>
              <w:t>Slapničar et al. (2022)</w:t>
            </w:r>
          </w:p>
        </w:tc>
        <w:tc>
          <w:tcPr>
            <w:tcW w:type="dxa" w:w="1871"/>
          </w:tcPr>
          <w:p>
            <w:pPr>
              <w:bidi/>
              <w:jc w:val="right"/>
            </w:pPr>
            <w:r>
              <w:rPr>
                <w:rFonts w:ascii="Arial" w:hAnsi="Arial" w:cs="Arial"/>
                <w:rtl/>
              </w:rPr>
            </w:r>
            <w:r>
              <w:rPr>
                <w:rFonts w:ascii="Arial" w:hAnsi="Arial" w:cs="Arial"/>
                <w:b w:val="0"/>
                <w:sz w:val="18"/>
                <w:rtl/>
              </w:rPr>
              <w:t>پیمایش حسابرسان و CAEها</w:t>
            </w:r>
          </w:p>
        </w:tc>
        <w:tc>
          <w:tcPr>
            <w:tcW w:type="dxa" w:w="3742"/>
          </w:tcPr>
          <w:p>
            <w:pPr>
              <w:bidi/>
              <w:jc w:val="right"/>
            </w:pPr>
            <w:r>
              <w:rPr>
                <w:rFonts w:ascii="Arial" w:hAnsi="Arial" w:cs="Arial"/>
                <w:rtl/>
              </w:rPr>
            </w:r>
            <w:r>
              <w:rPr>
                <w:rFonts w:ascii="Arial" w:hAnsi="Arial" w:cs="Arial"/>
                <w:b w:val="0"/>
                <w:sz w:val="18"/>
                <w:rtl/>
              </w:rPr>
              <w:t>شاخص برنامه‌ریزی/اجرا/گزارشگری؛ میانگین 58 از 100؛ برنامه‌ریزی و اجرا همبسته، گزارشگری به هیئت‌مدیره ضعیف‌تر؛ شاخص با بلوغ مدیریت ریسک سایبری همسو بود ولی با احتمال حمله موفق نه</w:t>
            </w:r>
          </w:p>
        </w:tc>
        <w:tc>
          <w:tcPr>
            <w:tcW w:type="dxa" w:w="1644"/>
          </w:tcPr>
          <w:p>
            <w:pPr>
              <w:bidi/>
              <w:jc w:val="right"/>
            </w:pPr>
            <w:r>
              <w:rPr>
                <w:rFonts w:ascii="Arial" w:hAnsi="Arial" w:cs="Arial"/>
                <w:rtl/>
              </w:rPr>
            </w:r>
            <w:r>
              <w:rPr>
                <w:rFonts w:ascii="Arial" w:hAnsi="Arial" w:cs="Arial"/>
                <w:b w:val="0"/>
                <w:sz w:val="18"/>
                <w:rtl/>
              </w:rPr>
              <w:t>PEF، H5</w:t>
            </w:r>
          </w:p>
        </w:tc>
      </w:tr>
      <w:tr>
        <w:tc>
          <w:tcPr>
            <w:tcW w:type="dxa" w:w="1928"/>
          </w:tcPr>
          <w:p>
            <w:pPr>
              <w:bidi/>
              <w:jc w:val="right"/>
            </w:pPr>
            <w:r>
              <w:rPr>
                <w:rFonts w:ascii="Arial" w:hAnsi="Arial" w:cs="Arial"/>
                <w:rtl/>
              </w:rPr>
            </w:r>
            <w:r>
              <w:rPr>
                <w:rFonts w:ascii="Arial" w:hAnsi="Arial" w:cs="Arial"/>
                <w:b w:val="0"/>
                <w:sz w:val="18"/>
                <w:rtl/>
              </w:rPr>
              <w:t>Vuko et al. (2024)</w:t>
            </w:r>
          </w:p>
        </w:tc>
        <w:tc>
          <w:tcPr>
            <w:tcW w:type="dxa" w:w="1871"/>
          </w:tcPr>
          <w:p>
            <w:pPr>
              <w:bidi/>
              <w:jc w:val="right"/>
            </w:pPr>
            <w:r>
              <w:rPr>
                <w:rFonts w:ascii="Arial" w:hAnsi="Arial" w:cs="Arial"/>
                <w:rtl/>
              </w:rPr>
            </w:r>
            <w:r>
              <w:rPr>
                <w:rFonts w:ascii="Arial" w:hAnsi="Arial" w:cs="Arial"/>
                <w:b w:val="0"/>
                <w:sz w:val="18"/>
                <w:rtl/>
              </w:rPr>
              <w:t>عوامل اثربخشی حسابرسی امنیت سایبری</w:t>
            </w:r>
          </w:p>
        </w:tc>
        <w:tc>
          <w:tcPr>
            <w:tcW w:type="dxa" w:w="3742"/>
          </w:tcPr>
          <w:p>
            <w:pPr>
              <w:bidi/>
              <w:jc w:val="right"/>
            </w:pPr>
            <w:r>
              <w:rPr>
                <w:rFonts w:ascii="Arial" w:hAnsi="Arial" w:cs="Arial"/>
                <w:rtl/>
              </w:rPr>
            </w:r>
            <w:r>
              <w:rPr>
                <w:rFonts w:ascii="Arial" w:hAnsi="Arial" w:cs="Arial"/>
                <w:b w:val="0"/>
                <w:sz w:val="18"/>
                <w:rtl/>
              </w:rPr>
              <w:t>لنز نو‌نهادگرا (در حد عنوان)</w:t>
            </w:r>
          </w:p>
        </w:tc>
        <w:tc>
          <w:tcPr>
            <w:tcW w:type="dxa" w:w="1644"/>
          </w:tcPr>
          <w:p>
            <w:pPr>
              <w:bidi/>
              <w:jc w:val="right"/>
            </w:pPr>
            <w:r>
              <w:rPr>
                <w:rFonts w:ascii="Arial" w:hAnsi="Arial" w:cs="Arial"/>
                <w:rtl/>
              </w:rPr>
            </w:r>
            <w:r>
              <w:rPr>
                <w:rFonts w:ascii="Arial" w:hAnsi="Arial" w:cs="Arial"/>
                <w:b w:val="0"/>
                <w:sz w:val="18"/>
                <w:rtl/>
              </w:rPr>
              <w:t>مبنای نظری</w:t>
            </w:r>
          </w:p>
        </w:tc>
      </w:tr>
      <w:tr>
        <w:tc>
          <w:tcPr>
            <w:tcW w:type="dxa" w:w="1928"/>
          </w:tcPr>
          <w:p>
            <w:pPr>
              <w:bidi/>
              <w:jc w:val="right"/>
            </w:pPr>
            <w:r>
              <w:rPr>
                <w:rFonts w:ascii="Arial" w:hAnsi="Arial" w:cs="Arial"/>
                <w:rtl/>
              </w:rPr>
            </w:r>
            <w:r>
              <w:rPr>
                <w:rFonts w:ascii="Arial" w:hAnsi="Arial" w:cs="Arial"/>
                <w:b w:val="0"/>
                <w:sz w:val="18"/>
                <w:rtl/>
              </w:rPr>
              <w:t>Slapničar et al. (2026)</w:t>
            </w:r>
          </w:p>
        </w:tc>
        <w:tc>
          <w:tcPr>
            <w:tcW w:type="dxa" w:w="1871"/>
          </w:tcPr>
          <w:p>
            <w:pPr>
              <w:bidi/>
              <w:jc w:val="right"/>
            </w:pPr>
            <w:r>
              <w:rPr>
                <w:rFonts w:ascii="Arial" w:hAnsi="Arial" w:cs="Arial"/>
                <w:rtl/>
              </w:rPr>
            </w:r>
            <w:r>
              <w:rPr>
                <w:rFonts w:ascii="Arial" w:hAnsi="Arial" w:cs="Arial"/>
                <w:b w:val="0"/>
                <w:sz w:val="18"/>
                <w:rtl/>
              </w:rPr>
              <w:t>ارزیابی یکپارچه توسط حسابرسان داخلی و متخصصان</w:t>
            </w:r>
          </w:p>
        </w:tc>
        <w:tc>
          <w:tcPr>
            <w:tcW w:type="dxa" w:w="3742"/>
          </w:tcPr>
          <w:p>
            <w:pPr>
              <w:bidi/>
              <w:jc w:val="right"/>
            </w:pPr>
            <w:r>
              <w:rPr>
                <w:rFonts w:ascii="Arial" w:hAnsi="Arial" w:cs="Arial"/>
                <w:rtl/>
              </w:rPr>
            </w:r>
            <w:r>
              <w:rPr>
                <w:rFonts w:ascii="Arial" w:hAnsi="Arial" w:cs="Arial"/>
                <w:b w:val="0"/>
                <w:sz w:val="18"/>
                <w:rtl/>
              </w:rPr>
              <w:t>همکاری مرزی (در حد عنوان؛ چکیده خوانده نشد)</w:t>
            </w:r>
          </w:p>
        </w:tc>
        <w:tc>
          <w:tcPr>
            <w:tcW w:type="dxa" w:w="1644"/>
          </w:tcPr>
          <w:p>
            <w:pPr>
              <w:bidi/>
              <w:jc w:val="right"/>
            </w:pPr>
            <w:r>
              <w:rPr>
                <w:rFonts w:ascii="Arial" w:hAnsi="Arial" w:cs="Arial"/>
                <w:rtl/>
              </w:rPr>
            </w:r>
            <w:r>
              <w:rPr>
                <w:rFonts w:ascii="Arial" w:hAnsi="Arial" w:cs="Arial"/>
                <w:b w:val="0"/>
                <w:sz w:val="18"/>
                <w:rtl/>
              </w:rPr>
              <w:t>COL، H3–H4</w:t>
            </w:r>
          </w:p>
        </w:tc>
      </w:tr>
      <w:tr>
        <w:tc>
          <w:tcPr>
            <w:tcW w:type="dxa" w:w="1928"/>
          </w:tcPr>
          <w:p>
            <w:pPr>
              <w:bidi/>
              <w:jc w:val="right"/>
            </w:pPr>
            <w:r>
              <w:rPr>
                <w:rFonts w:ascii="Arial" w:hAnsi="Arial" w:cs="Arial"/>
                <w:rtl/>
              </w:rPr>
            </w:r>
            <w:r>
              <w:rPr>
                <w:rFonts w:ascii="Arial" w:hAnsi="Arial" w:cs="Arial"/>
                <w:b w:val="0"/>
                <w:sz w:val="18"/>
                <w:rtl/>
              </w:rPr>
              <w:t>Alzeban et al. (2025)</w:t>
            </w:r>
          </w:p>
        </w:tc>
        <w:tc>
          <w:tcPr>
            <w:tcW w:type="dxa" w:w="1871"/>
          </w:tcPr>
          <w:p>
            <w:pPr>
              <w:bidi/>
              <w:jc w:val="right"/>
            </w:pPr>
            <w:r>
              <w:rPr>
                <w:rFonts w:ascii="Arial" w:hAnsi="Arial" w:cs="Arial"/>
                <w:rtl/>
              </w:rPr>
            </w:r>
            <w:r>
              <w:rPr>
                <w:rFonts w:ascii="Arial" w:hAnsi="Arial" w:cs="Arial"/>
                <w:b w:val="0"/>
                <w:sz w:val="18"/>
                <w:rtl/>
              </w:rPr>
              <w:t>پیمایش + داده آرشیوی؛ شرکت‌های بریتانیایی</w:t>
            </w:r>
          </w:p>
        </w:tc>
        <w:tc>
          <w:tcPr>
            <w:tcW w:type="dxa" w:w="3742"/>
          </w:tcPr>
          <w:p>
            <w:pPr>
              <w:bidi/>
              <w:jc w:val="right"/>
            </w:pPr>
            <w:r>
              <w:rPr>
                <w:rFonts w:ascii="Arial" w:hAnsi="Arial" w:cs="Arial"/>
                <w:rtl/>
              </w:rPr>
            </w:r>
            <w:r>
              <w:rPr>
                <w:rFonts w:ascii="Arial" w:hAnsi="Arial" w:cs="Arial"/>
                <w:b w:val="0"/>
                <w:sz w:val="18"/>
                <w:rtl/>
              </w:rPr>
              <w:t>تخصص IT مدیر حسابرسی، جلسات خصوصی با کمیته حسابرسی و حاکمیت IT کیفیت امنیت سایبری را بالا می‌برند؛ نقش حسابرسی داخلی در بازنگری سیاست، انطباق و ارزیابی ریسک با تاب‌آوری مرتبط است</w:t>
            </w:r>
          </w:p>
        </w:tc>
        <w:tc>
          <w:tcPr>
            <w:tcW w:type="dxa" w:w="1644"/>
          </w:tcPr>
          <w:p>
            <w:pPr>
              <w:bidi/>
              <w:jc w:val="right"/>
            </w:pPr>
            <w:r>
              <w:rPr>
                <w:rFonts w:ascii="Arial" w:hAnsi="Arial" w:cs="Arial"/>
                <w:rtl/>
              </w:rPr>
            </w:r>
            <w:r>
              <w:rPr>
                <w:rFonts w:ascii="Arial" w:hAnsi="Arial" w:cs="Arial"/>
                <w:b w:val="0"/>
                <w:sz w:val="18"/>
                <w:rtl/>
              </w:rPr>
              <w:t>COL، MOL، H3</w:t>
            </w:r>
          </w:p>
        </w:tc>
      </w:tr>
      <w:tr>
        <w:tc>
          <w:tcPr>
            <w:tcW w:type="dxa" w:w="1928"/>
          </w:tcPr>
          <w:p>
            <w:pPr>
              <w:bidi/>
              <w:jc w:val="right"/>
            </w:pPr>
            <w:r>
              <w:rPr>
                <w:rFonts w:ascii="Arial" w:hAnsi="Arial" w:cs="Arial"/>
                <w:rtl/>
              </w:rPr>
            </w:r>
            <w:r>
              <w:rPr>
                <w:rFonts w:ascii="Arial" w:hAnsi="Arial" w:cs="Arial"/>
                <w:b w:val="0"/>
                <w:sz w:val="18"/>
                <w:rtl/>
              </w:rPr>
              <w:t>Chen et al. (2025)</w:t>
            </w:r>
          </w:p>
        </w:tc>
        <w:tc>
          <w:tcPr>
            <w:tcW w:type="dxa" w:w="1871"/>
          </w:tcPr>
          <w:p>
            <w:pPr>
              <w:bidi/>
              <w:jc w:val="right"/>
            </w:pPr>
            <w:r>
              <w:rPr>
                <w:rFonts w:ascii="Arial" w:hAnsi="Arial" w:cs="Arial"/>
                <w:rtl/>
              </w:rPr>
            </w:r>
            <w:r>
              <w:rPr>
                <w:rFonts w:ascii="Arial" w:hAnsi="Arial" w:cs="Arial"/>
                <w:b w:val="0"/>
                <w:sz w:val="18"/>
                <w:rtl/>
              </w:rPr>
              <w:t>داده بازار + مصاحبه؛ حسابرسان مستقل</w:t>
            </w:r>
          </w:p>
        </w:tc>
        <w:tc>
          <w:tcPr>
            <w:tcW w:type="dxa" w:w="3742"/>
          </w:tcPr>
          <w:p>
            <w:pPr>
              <w:bidi/>
              <w:jc w:val="right"/>
            </w:pPr>
            <w:r>
              <w:rPr>
                <w:rFonts w:ascii="Arial" w:hAnsi="Arial" w:cs="Arial"/>
                <w:rtl/>
              </w:rPr>
            </w:r>
            <w:r>
              <w:rPr>
                <w:rFonts w:ascii="Arial" w:hAnsi="Arial" w:cs="Arial"/>
                <w:b w:val="0"/>
                <w:sz w:val="18"/>
                <w:rtl/>
              </w:rPr>
              <w:t>حسابرسان با تجربه نقض: احتمال بیشتر صدور اظهارنظر ضعف با اهمیت؛ یادگیری بین‌صاحبکاری؛ افشای قوی‌تر</w:t>
            </w:r>
          </w:p>
        </w:tc>
        <w:tc>
          <w:tcPr>
            <w:tcW w:type="dxa" w:w="1644"/>
          </w:tcPr>
          <w:p>
            <w:pPr>
              <w:bidi/>
              <w:jc w:val="right"/>
            </w:pPr>
            <w:r>
              <w:rPr>
                <w:rFonts w:ascii="Arial" w:hAnsi="Arial" w:cs="Arial"/>
                <w:rtl/>
              </w:rPr>
            </w:r>
            <w:r>
              <w:rPr>
                <w:rFonts w:ascii="Arial" w:hAnsi="Arial" w:cs="Arial"/>
                <w:b w:val="0"/>
                <w:sz w:val="18"/>
                <w:rtl/>
              </w:rPr>
              <w:t>MOL، RRJ، H6–H7</w:t>
            </w:r>
          </w:p>
        </w:tc>
      </w:tr>
      <w:tr>
        <w:tc>
          <w:tcPr>
            <w:tcW w:type="dxa" w:w="1928"/>
          </w:tcPr>
          <w:p>
            <w:pPr>
              <w:bidi/>
              <w:jc w:val="right"/>
            </w:pPr>
            <w:r>
              <w:rPr>
                <w:rFonts w:ascii="Arial" w:hAnsi="Arial" w:cs="Arial"/>
                <w:rtl/>
              </w:rPr>
            </w:r>
            <w:r>
              <w:rPr>
                <w:rFonts w:ascii="Arial" w:hAnsi="Arial" w:cs="Arial"/>
                <w:b w:val="0"/>
                <w:sz w:val="18"/>
                <w:rtl/>
              </w:rPr>
              <w:t>Li et al. (2020)</w:t>
            </w:r>
          </w:p>
        </w:tc>
        <w:tc>
          <w:tcPr>
            <w:tcW w:type="dxa" w:w="1871"/>
          </w:tcPr>
          <w:p>
            <w:pPr>
              <w:bidi/>
              <w:jc w:val="right"/>
            </w:pPr>
            <w:r>
              <w:rPr>
                <w:rFonts w:ascii="Arial" w:hAnsi="Arial" w:cs="Arial"/>
                <w:rtl/>
              </w:rPr>
            </w:r>
            <w:r>
              <w:rPr>
                <w:rFonts w:ascii="Arial" w:hAnsi="Arial" w:cs="Arial"/>
                <w:b w:val="0"/>
                <w:sz w:val="18"/>
                <w:rtl/>
              </w:rPr>
              <w:t>حق‌الزحمه حسابرسی</w:t>
            </w:r>
          </w:p>
        </w:tc>
        <w:tc>
          <w:tcPr>
            <w:tcW w:type="dxa" w:w="3742"/>
          </w:tcPr>
          <w:p>
            <w:pPr>
              <w:bidi/>
              <w:jc w:val="right"/>
            </w:pPr>
            <w:r>
              <w:rPr>
                <w:rFonts w:ascii="Arial" w:hAnsi="Arial" w:cs="Arial"/>
                <w:rtl/>
              </w:rPr>
            </w:r>
            <w:r>
              <w:rPr>
                <w:rFonts w:ascii="Arial" w:hAnsi="Arial" w:cs="Arial"/>
                <w:b w:val="0"/>
                <w:sz w:val="18"/>
                <w:rtl/>
              </w:rPr>
              <w:t>بررسی واکنش حق‌الزحمه به حوادث سایبری (در حد عنوان)</w:t>
            </w:r>
          </w:p>
        </w:tc>
        <w:tc>
          <w:tcPr>
            <w:tcW w:type="dxa" w:w="1644"/>
          </w:tcPr>
          <w:p>
            <w:pPr>
              <w:bidi/>
              <w:jc w:val="right"/>
            </w:pPr>
            <w:r>
              <w:rPr>
                <w:rFonts w:ascii="Arial" w:hAnsi="Arial" w:cs="Arial"/>
                <w:rtl/>
              </w:rPr>
            </w:r>
            <w:r>
              <w:rPr>
                <w:rFonts w:ascii="Arial" w:hAnsi="Arial" w:cs="Arial"/>
                <w:b w:val="0"/>
                <w:sz w:val="18"/>
                <w:rtl/>
              </w:rPr>
              <w:t>RRJ (قیمت‌گذاری ریسک)</w:t>
            </w:r>
          </w:p>
        </w:tc>
      </w:tr>
      <w:tr>
        <w:tc>
          <w:tcPr>
            <w:tcW w:type="dxa" w:w="1928"/>
          </w:tcPr>
          <w:p>
            <w:pPr>
              <w:bidi/>
              <w:jc w:val="right"/>
            </w:pPr>
            <w:r>
              <w:rPr>
                <w:rFonts w:ascii="Arial" w:hAnsi="Arial" w:cs="Arial"/>
                <w:rtl/>
              </w:rPr>
            </w:r>
            <w:r>
              <w:rPr>
                <w:rFonts w:ascii="Arial" w:hAnsi="Arial" w:cs="Arial"/>
                <w:b w:val="0"/>
                <w:sz w:val="18"/>
                <w:rtl/>
              </w:rPr>
              <w:t>Higgs et al. (2016)</w:t>
            </w:r>
          </w:p>
        </w:tc>
        <w:tc>
          <w:tcPr>
            <w:tcW w:type="dxa" w:w="1871"/>
          </w:tcPr>
          <w:p>
            <w:pPr>
              <w:bidi/>
              <w:jc w:val="right"/>
            </w:pPr>
            <w:r>
              <w:rPr>
                <w:rFonts w:ascii="Arial" w:hAnsi="Arial" w:cs="Arial"/>
                <w:rtl/>
              </w:rPr>
            </w:r>
            <w:r>
              <w:rPr>
                <w:rFonts w:ascii="Arial" w:hAnsi="Arial" w:cs="Arial"/>
                <w:b w:val="0"/>
                <w:sz w:val="18"/>
                <w:rtl/>
              </w:rPr>
              <w:t>کمیته فناوری هیئت‌مدیره و نقض امنیتی</w:t>
            </w:r>
          </w:p>
        </w:tc>
        <w:tc>
          <w:tcPr>
            <w:tcW w:type="dxa" w:w="3742"/>
          </w:tcPr>
          <w:p>
            <w:pPr>
              <w:bidi/>
              <w:jc w:val="right"/>
            </w:pPr>
            <w:r>
              <w:rPr>
                <w:rFonts w:ascii="Arial" w:hAnsi="Arial" w:cs="Arial"/>
                <w:rtl/>
              </w:rPr>
            </w:r>
            <w:r>
              <w:rPr>
                <w:rFonts w:ascii="Arial" w:hAnsi="Arial" w:cs="Arial"/>
                <w:b w:val="0"/>
                <w:sz w:val="18"/>
                <w:rtl/>
              </w:rPr>
              <w:t>کمیته‌های جوان‌تر با گزارش بیشتر نقض و کمیته‌های باسابقه‌تر با نقض کمتر همراه‌اند</w:t>
            </w:r>
          </w:p>
        </w:tc>
        <w:tc>
          <w:tcPr>
            <w:tcW w:type="dxa" w:w="1644"/>
          </w:tcPr>
          <w:p>
            <w:pPr>
              <w:bidi/>
              <w:jc w:val="right"/>
            </w:pPr>
            <w:r>
              <w:rPr>
                <w:rFonts w:ascii="Arial" w:hAnsi="Arial" w:cs="Arial"/>
                <w:rtl/>
              </w:rPr>
            </w:r>
            <w:r>
              <w:rPr>
                <w:rFonts w:ascii="Arial" w:hAnsi="Arial" w:cs="Arial"/>
                <w:b w:val="0"/>
                <w:sz w:val="18"/>
                <w:rtl/>
              </w:rPr>
              <w:t>حاکمیت</w:t>
            </w:r>
          </w:p>
        </w:tc>
      </w:tr>
      <w:tr>
        <w:tc>
          <w:tcPr>
            <w:tcW w:type="dxa" w:w="1928"/>
          </w:tcPr>
          <w:p>
            <w:pPr>
              <w:bidi/>
              <w:jc w:val="right"/>
            </w:pPr>
            <w:r>
              <w:rPr>
                <w:rFonts w:ascii="Arial" w:hAnsi="Arial" w:cs="Arial"/>
                <w:rtl/>
              </w:rPr>
            </w:r>
            <w:r>
              <w:rPr>
                <w:rFonts w:ascii="Arial" w:hAnsi="Arial" w:cs="Arial"/>
                <w:b w:val="0"/>
                <w:sz w:val="18"/>
                <w:rtl/>
              </w:rPr>
              <w:t>Kurniawan &amp; Mulyawan (2023)</w:t>
            </w:r>
          </w:p>
        </w:tc>
        <w:tc>
          <w:tcPr>
            <w:tcW w:type="dxa" w:w="1871"/>
          </w:tcPr>
          <w:p>
            <w:pPr>
              <w:bidi/>
              <w:jc w:val="right"/>
            </w:pPr>
            <w:r>
              <w:rPr>
                <w:rFonts w:ascii="Arial" w:hAnsi="Arial" w:cs="Arial"/>
                <w:rtl/>
              </w:rPr>
            </w:r>
            <w:r>
              <w:rPr>
                <w:rFonts w:ascii="Arial" w:hAnsi="Arial" w:cs="Arial"/>
                <w:b w:val="0"/>
                <w:sz w:val="18"/>
                <w:rtl/>
              </w:rPr>
              <w:t>حسابرسان جاکارتا؛ SmartPLS</w:t>
            </w:r>
          </w:p>
        </w:tc>
        <w:tc>
          <w:tcPr>
            <w:tcW w:type="dxa" w:w="3742"/>
          </w:tcPr>
          <w:p>
            <w:pPr>
              <w:bidi/>
              <w:jc w:val="right"/>
            </w:pPr>
            <w:r>
              <w:rPr>
                <w:rFonts w:ascii="Arial" w:hAnsi="Arial" w:cs="Arial"/>
                <w:rtl/>
              </w:rPr>
            </w:r>
            <w:r>
              <w:rPr>
                <w:rFonts w:ascii="Arial" w:hAnsi="Arial" w:cs="Arial"/>
                <w:b w:val="0"/>
                <w:sz w:val="18"/>
                <w:rtl/>
              </w:rPr>
              <w:t>مدل فرایند حسابرسی امنیت سایبری؛ توانایی به‌کارگیری فناوری اثر معنادار نداشت</w:t>
            </w:r>
          </w:p>
        </w:tc>
        <w:tc>
          <w:tcPr>
            <w:tcW w:type="dxa" w:w="1644"/>
          </w:tcPr>
          <w:p>
            <w:pPr>
              <w:bidi/>
              <w:jc w:val="right"/>
            </w:pPr>
            <w:r>
              <w:rPr>
                <w:rFonts w:ascii="Arial" w:hAnsi="Arial" w:cs="Arial"/>
                <w:rtl/>
              </w:rPr>
            </w:r>
            <w:r>
              <w:rPr>
                <w:rFonts w:ascii="Arial" w:hAnsi="Arial" w:cs="Arial"/>
                <w:b w:val="0"/>
                <w:sz w:val="18"/>
                <w:rtl/>
              </w:rPr>
              <w:t>پیشینه روشی SEM</w:t>
            </w:r>
          </w:p>
        </w:tc>
      </w:tr>
      <w:tr>
        <w:tc>
          <w:tcPr>
            <w:tcW w:type="dxa" w:w="1928"/>
          </w:tcPr>
          <w:p>
            <w:pPr>
              <w:bidi/>
              <w:jc w:val="right"/>
            </w:pPr>
            <w:r>
              <w:rPr>
                <w:rFonts w:ascii="Arial" w:hAnsi="Arial" w:cs="Arial"/>
                <w:rtl/>
              </w:rPr>
            </w:r>
            <w:r>
              <w:rPr>
                <w:rFonts w:ascii="Arial" w:hAnsi="Arial" w:cs="Arial"/>
                <w:b w:val="0"/>
                <w:sz w:val="18"/>
                <w:rtl/>
              </w:rPr>
              <w:t>Cernovschi et al. (2025)</w:t>
            </w:r>
          </w:p>
        </w:tc>
        <w:tc>
          <w:tcPr>
            <w:tcW w:type="dxa" w:w="1871"/>
          </w:tcPr>
          <w:p>
            <w:pPr>
              <w:bidi/>
              <w:jc w:val="right"/>
            </w:pPr>
            <w:r>
              <w:rPr>
                <w:rFonts w:ascii="Arial" w:hAnsi="Arial" w:cs="Arial"/>
                <w:rtl/>
              </w:rPr>
            </w:r>
            <w:r>
              <w:rPr>
                <w:rFonts w:ascii="Arial" w:hAnsi="Arial" w:cs="Arial"/>
                <w:b w:val="0"/>
                <w:sz w:val="18"/>
                <w:rtl/>
              </w:rPr>
              <w:t>مرور نظام‌مند و ابزار خودارزیابی برای حسابرسی داخلی</w:t>
            </w:r>
          </w:p>
        </w:tc>
        <w:tc>
          <w:tcPr>
            <w:tcW w:type="dxa" w:w="3742"/>
          </w:tcPr>
          <w:p>
            <w:pPr>
              <w:bidi/>
              <w:jc w:val="right"/>
            </w:pPr>
            <w:r>
              <w:rPr>
                <w:rFonts w:ascii="Arial" w:hAnsi="Arial" w:cs="Arial"/>
                <w:rtl/>
              </w:rPr>
            </w:r>
            <w:r>
              <w:rPr>
                <w:rFonts w:ascii="Arial" w:hAnsi="Arial" w:cs="Arial"/>
                <w:b w:val="0"/>
                <w:sz w:val="18"/>
                <w:rtl/>
              </w:rPr>
              <w:t>پیشنهاد ابزار خودارزیابی برای ادغام امنیت سایبری در حسابرسی داخلی؛ به‌دلیل محدودیت دسترسی، تعداد مطالعات تحلیل‌شده اندک بود</w:t>
            </w:r>
          </w:p>
        </w:tc>
        <w:tc>
          <w:tcPr>
            <w:tcW w:type="dxa" w:w="1644"/>
          </w:tcPr>
          <w:p>
            <w:pPr>
              <w:bidi/>
              <w:jc w:val="right"/>
            </w:pPr>
            <w:r>
              <w:rPr>
                <w:rFonts w:ascii="Arial" w:hAnsi="Arial" w:cs="Arial"/>
                <w:rtl/>
              </w:rPr>
            </w:r>
            <w:r>
              <w:rPr>
                <w:rFonts w:ascii="Arial" w:hAnsi="Arial" w:cs="Arial"/>
                <w:b w:val="0"/>
                <w:sz w:val="18"/>
                <w:rtl/>
              </w:rPr>
              <w:t>پیشینه روشی مرور؛ شکاف</w:t>
            </w:r>
          </w:p>
        </w:tc>
      </w:tr>
      <w:tr>
        <w:tc>
          <w:tcPr>
            <w:tcW w:type="dxa" w:w="1928"/>
          </w:tcPr>
          <w:p>
            <w:pPr>
              <w:bidi/>
              <w:jc w:val="right"/>
            </w:pPr>
            <w:r>
              <w:rPr>
                <w:rFonts w:ascii="Arial" w:hAnsi="Arial" w:cs="Arial"/>
                <w:rtl/>
              </w:rPr>
            </w:r>
            <w:r>
              <w:rPr>
                <w:rFonts w:ascii="Arial" w:hAnsi="Arial" w:cs="Arial"/>
                <w:b w:val="0"/>
                <w:sz w:val="18"/>
                <w:rtl/>
              </w:rPr>
              <w:t>Sari et al. (2023)</w:t>
            </w:r>
          </w:p>
        </w:tc>
        <w:tc>
          <w:tcPr>
            <w:tcW w:type="dxa" w:w="1871"/>
          </w:tcPr>
          <w:p>
            <w:pPr>
              <w:bidi/>
              <w:jc w:val="right"/>
            </w:pPr>
            <w:r>
              <w:rPr>
                <w:rFonts w:ascii="Arial" w:hAnsi="Arial" w:cs="Arial"/>
                <w:rtl/>
              </w:rPr>
            </w:r>
            <w:r>
              <w:rPr>
                <w:rFonts w:ascii="Arial" w:hAnsi="Arial" w:cs="Arial"/>
                <w:b w:val="0"/>
                <w:sz w:val="18"/>
                <w:rtl/>
              </w:rPr>
              <w:t>شرکت‌های دولتی اندونزی؛ روش آمیخته</w:t>
            </w:r>
          </w:p>
        </w:tc>
        <w:tc>
          <w:tcPr>
            <w:tcW w:type="dxa" w:w="3742"/>
          </w:tcPr>
          <w:p>
            <w:pPr>
              <w:bidi/>
              <w:jc w:val="right"/>
            </w:pPr>
            <w:r>
              <w:rPr>
                <w:rFonts w:ascii="Arial" w:hAnsi="Arial" w:cs="Arial"/>
                <w:rtl/>
              </w:rPr>
            </w:r>
            <w:r>
              <w:rPr>
                <w:rFonts w:ascii="Arial" w:hAnsi="Arial" w:cs="Arial"/>
                <w:b w:val="0"/>
                <w:sz w:val="18"/>
                <w:rtl/>
              </w:rPr>
              <w:t>شاخص افشای مدیریت ریسک سایبری در گزارش سالانه</w:t>
            </w:r>
          </w:p>
        </w:tc>
        <w:tc>
          <w:tcPr>
            <w:tcW w:type="dxa" w:w="1644"/>
          </w:tcPr>
          <w:p>
            <w:pPr>
              <w:bidi/>
              <w:jc w:val="right"/>
            </w:pPr>
            <w:r>
              <w:rPr>
                <w:rFonts w:ascii="Arial" w:hAnsi="Arial" w:cs="Arial"/>
                <w:rtl/>
              </w:rPr>
            </w:r>
            <w:r>
              <w:rPr>
                <w:rFonts w:ascii="Arial" w:hAnsi="Arial" w:cs="Arial"/>
                <w:b w:val="0"/>
                <w:sz w:val="18"/>
                <w:rtl/>
              </w:rPr>
              <w:t>PEF (شفافیت و گزارشگری)</w:t>
            </w:r>
          </w:p>
        </w:tc>
      </w:tr>
      <w:tr>
        <w:tc>
          <w:tcPr>
            <w:tcW w:type="dxa" w:w="1928"/>
          </w:tcPr>
          <w:p>
            <w:pPr>
              <w:bidi/>
              <w:jc w:val="right"/>
            </w:pPr>
            <w:r>
              <w:rPr>
                <w:rFonts w:ascii="Arial" w:hAnsi="Arial" w:cs="Arial"/>
                <w:rtl/>
              </w:rPr>
            </w:r>
            <w:r>
              <w:rPr>
                <w:rFonts w:ascii="Arial" w:hAnsi="Arial" w:cs="Arial"/>
                <w:b w:val="0"/>
                <w:sz w:val="18"/>
                <w:rtl/>
              </w:rPr>
              <w:t>Cremer et al. (2022)</w:t>
            </w:r>
          </w:p>
        </w:tc>
        <w:tc>
          <w:tcPr>
            <w:tcW w:type="dxa" w:w="1871"/>
          </w:tcPr>
          <w:p>
            <w:pPr>
              <w:bidi/>
              <w:jc w:val="right"/>
            </w:pPr>
            <w:r>
              <w:rPr>
                <w:rFonts w:ascii="Arial" w:hAnsi="Arial" w:cs="Arial"/>
                <w:rtl/>
              </w:rPr>
            </w:r>
            <w:r>
              <w:rPr>
                <w:rFonts w:ascii="Arial" w:hAnsi="Arial" w:cs="Arial"/>
                <w:b w:val="0"/>
                <w:sz w:val="18"/>
                <w:rtl/>
              </w:rPr>
              <w:t>مرور نظام‌مند</w:t>
            </w:r>
          </w:p>
        </w:tc>
        <w:tc>
          <w:tcPr>
            <w:tcW w:type="dxa" w:w="3742"/>
          </w:tcPr>
          <w:p>
            <w:pPr>
              <w:bidi/>
              <w:jc w:val="right"/>
            </w:pPr>
            <w:r>
              <w:rPr>
                <w:rFonts w:ascii="Arial" w:hAnsi="Arial" w:cs="Arial"/>
                <w:rtl/>
              </w:rPr>
            </w:r>
            <w:r>
              <w:rPr>
                <w:rFonts w:ascii="Arial" w:hAnsi="Arial" w:cs="Arial"/>
                <w:b w:val="0"/>
                <w:sz w:val="18"/>
                <w:rtl/>
              </w:rPr>
              <w:t>5219 مطالعه، 79 مجموعه داده؛ کمبود داده باز</w:t>
            </w:r>
          </w:p>
        </w:tc>
        <w:tc>
          <w:tcPr>
            <w:tcW w:type="dxa" w:w="1644"/>
          </w:tcPr>
          <w:p>
            <w:pPr>
              <w:bidi/>
              <w:jc w:val="right"/>
            </w:pPr>
            <w:r>
              <w:rPr>
                <w:rFonts w:ascii="Arial" w:hAnsi="Arial" w:cs="Arial"/>
                <w:rtl/>
              </w:rPr>
            </w:r>
            <w:r>
              <w:rPr>
                <w:rFonts w:ascii="Arial" w:hAnsi="Arial" w:cs="Arial"/>
                <w:b w:val="0"/>
                <w:sz w:val="18"/>
                <w:rtl/>
              </w:rPr>
              <w:t>توجیه دلفی</w:t>
            </w:r>
          </w:p>
        </w:tc>
      </w:tr>
      <w:tr>
        <w:tc>
          <w:tcPr>
            <w:tcW w:type="dxa" w:w="1928"/>
          </w:tcPr>
          <w:p>
            <w:pPr>
              <w:bidi/>
              <w:jc w:val="right"/>
            </w:pPr>
            <w:r>
              <w:rPr>
                <w:rFonts w:ascii="Arial" w:hAnsi="Arial" w:cs="Arial"/>
                <w:rtl/>
              </w:rPr>
            </w:r>
            <w:r>
              <w:rPr>
                <w:rFonts w:ascii="Arial" w:hAnsi="Arial" w:cs="Arial"/>
                <w:b w:val="0"/>
                <w:sz w:val="18"/>
                <w:rtl/>
              </w:rPr>
              <w:t>Wangen et al. (2018); Ganin et al. (2020); Wang et al. (2020); Armenia et al. (2021)</w:t>
            </w:r>
          </w:p>
        </w:tc>
        <w:tc>
          <w:tcPr>
            <w:tcW w:type="dxa" w:w="1871"/>
          </w:tcPr>
          <w:p>
            <w:pPr>
              <w:bidi/>
              <w:jc w:val="right"/>
            </w:pPr>
            <w:r>
              <w:rPr>
                <w:rFonts w:ascii="Arial" w:hAnsi="Arial" w:cs="Arial"/>
                <w:rtl/>
              </w:rPr>
            </w:r>
            <w:r>
              <w:rPr>
                <w:rFonts w:ascii="Arial" w:hAnsi="Arial" w:cs="Arial"/>
                <w:b w:val="0"/>
                <w:sz w:val="18"/>
                <w:rtl/>
              </w:rPr>
              <w:t>روش‌های ارزیابی ریسک</w:t>
            </w:r>
          </w:p>
        </w:tc>
        <w:tc>
          <w:tcPr>
            <w:tcW w:type="dxa" w:w="3742"/>
          </w:tcPr>
          <w:p>
            <w:pPr>
              <w:bidi/>
              <w:jc w:val="right"/>
            </w:pPr>
            <w:r>
              <w:rPr>
                <w:rFonts w:ascii="Arial" w:hAnsi="Arial" w:cs="Arial"/>
                <w:rtl/>
              </w:rPr>
            </w:r>
            <w:r>
              <w:rPr>
                <w:rFonts w:ascii="Arial" w:hAnsi="Arial" w:cs="Arial"/>
                <w:b w:val="0"/>
                <w:sz w:val="18"/>
                <w:rtl/>
              </w:rPr>
              <w:t>کامل‌بودن روش‌ها؛ چندمعیاره؛ شبکه بیزی-FAIR؛ شبیه‌سازی پویا</w:t>
            </w:r>
          </w:p>
        </w:tc>
        <w:tc>
          <w:tcPr>
            <w:tcW w:type="dxa" w:w="1644"/>
          </w:tcPr>
          <w:p>
            <w:pPr>
              <w:bidi/>
              <w:jc w:val="right"/>
            </w:pPr>
            <w:r>
              <w:rPr>
                <w:rFonts w:ascii="Arial" w:hAnsi="Arial" w:cs="Arial"/>
                <w:rtl/>
              </w:rPr>
            </w:r>
            <w:r>
              <w:rPr>
                <w:rFonts w:ascii="Arial" w:hAnsi="Arial" w:cs="Arial"/>
                <w:b w:val="0"/>
                <w:sz w:val="18"/>
                <w:rtl/>
              </w:rPr>
              <w:t>لایه مدل ریسک</w:t>
            </w:r>
          </w:p>
        </w:tc>
      </w:tr>
    </w:tbl>
    <w:p/>
    <w:p>
      <w:pPr>
        <w:spacing w:after="80"/>
        <w:bidi/>
        <w:jc w:val="right"/>
      </w:pPr>
      <w:r>
        <w:rPr>
          <w:rFonts w:ascii="Arial" w:hAnsi="Arial" w:cs="Arial"/>
          <w:b/>
          <w:i w:val="0"/>
          <w:color w:val="1F3864"/>
          <w:sz w:val="24"/>
          <w:rtl/>
        </w:rPr>
        <w:t>2-5. از مولفه‌ها تا سازه‌ها</w:t>
      </w:r>
    </w:p>
    <w:p>
      <w:pPr>
        <w:spacing w:after="100"/>
        <w:bidi/>
        <w:jc w:val="right"/>
      </w:pPr>
      <w:r>
        <w:rPr>
          <w:rFonts w:ascii="Arial" w:hAnsi="Arial" w:cs="Arial"/>
          <w:b w:val="0"/>
          <w:i w:val="0"/>
          <w:rtl/>
        </w:rPr>
        <w:t>30 مولفه ماتریس (فایل Excel) برای مدل ساختاری در شش سازه خلاصه می‌شوند. این نگاشت پیش‌نویس است و پس از دلفی (و درصد توافق خبرگان در طبقه‌بندی هر گویه) نهایی می‌شود. سازه‌ها «میزان و کیفیت اقدام‌های ارزیابی» را می‌سنجند، نه وضعیت واقعی ایمنی سازمان.</w:t>
      </w:r>
    </w:p>
    <w:tbl>
      <w:tblPr>
        <w:tblStyle w:val="TableGrid"/>
        <w:tblW w:type="auto" w:w="0"/>
        <w:tblLayout w:type="fixed"/>
        <w:tblLook w:firstColumn="1" w:firstRow="1" w:lastColumn="0" w:lastRow="0" w:noHBand="0" w:noVBand="1" w:val="04A0"/>
        <w:bidiVisual/>
      </w:tblPr>
      <w:tblGrid>
        <w:gridCol w:w="2721"/>
        <w:gridCol w:w="4082"/>
        <w:gridCol w:w="2381"/>
      </w:tblGrid>
      <w:tr>
        <w:tc>
          <w:tcPr>
            <w:tcW w:type="dxa" w:w="2721"/>
            <w:shd w:val="clear" w:color="auto" w:fill="1F3864"/>
          </w:tcPr>
          <w:p>
            <w:pPr>
              <w:bidi/>
              <w:jc w:val="right"/>
            </w:pPr>
            <w:r>
              <w:rPr>
                <w:rFonts w:ascii="Arial" w:hAnsi="Arial" w:cs="Arial"/>
                <w:rtl/>
              </w:rPr>
            </w:r>
            <w:r>
              <w:rPr>
                <w:rFonts w:ascii="Arial" w:hAnsi="Arial" w:cs="Arial"/>
                <w:b/>
                <w:color w:val="FFFFFF"/>
                <w:sz w:val="18"/>
                <w:rtl/>
              </w:rPr>
              <w:t>سازه</w:t>
            </w:r>
          </w:p>
        </w:tc>
        <w:tc>
          <w:tcPr>
            <w:tcW w:type="dxa" w:w="4082"/>
            <w:shd w:val="clear" w:color="auto" w:fill="1F3864"/>
          </w:tcPr>
          <w:p>
            <w:pPr>
              <w:bidi/>
              <w:jc w:val="right"/>
            </w:pPr>
            <w:r>
              <w:rPr>
                <w:rFonts w:ascii="Arial" w:hAnsi="Arial" w:cs="Arial"/>
                <w:rtl/>
              </w:rPr>
            </w:r>
            <w:r>
              <w:rPr>
                <w:rFonts w:ascii="Arial" w:hAnsi="Arial" w:cs="Arial"/>
                <w:b/>
                <w:color w:val="FFFFFF"/>
                <w:sz w:val="18"/>
                <w:rtl/>
              </w:rPr>
              <w:t>تعریف</w:t>
            </w:r>
          </w:p>
        </w:tc>
        <w:tc>
          <w:tcPr>
            <w:tcW w:type="dxa" w:w="2381"/>
            <w:shd w:val="clear" w:color="auto" w:fill="1F3864"/>
          </w:tcPr>
          <w:p>
            <w:pPr>
              <w:bidi/>
              <w:jc w:val="right"/>
            </w:pPr>
            <w:r>
              <w:rPr>
                <w:rFonts w:ascii="Arial" w:hAnsi="Arial" w:cs="Arial"/>
                <w:rtl/>
              </w:rPr>
            </w:r>
            <w:r>
              <w:rPr>
                <w:rFonts w:ascii="Arial" w:hAnsi="Arial" w:cs="Arial"/>
                <w:b/>
                <w:color w:val="FFFFFF"/>
                <w:sz w:val="18"/>
                <w:rtl/>
              </w:rPr>
              <w:t>مولفه‌های ماتریس</w:t>
            </w:r>
          </w:p>
        </w:tc>
      </w:tr>
      <w:tr>
        <w:tc>
          <w:tcPr>
            <w:tcW w:type="dxa" w:w="2721"/>
          </w:tcPr>
          <w:p>
            <w:pPr>
              <w:bidi/>
              <w:jc w:val="right"/>
            </w:pPr>
            <w:r>
              <w:rPr>
                <w:rFonts w:ascii="Arial" w:hAnsi="Arial" w:cs="Arial"/>
                <w:rtl/>
              </w:rPr>
            </w:r>
            <w:r>
              <w:rPr>
                <w:rFonts w:ascii="Arial" w:hAnsi="Arial" w:cs="Arial"/>
                <w:b w:val="0"/>
                <w:sz w:val="18"/>
                <w:rtl/>
              </w:rPr>
              <w:t>TVI: شناسایی تهدید و آسیب‌پذیری</w:t>
            </w:r>
          </w:p>
        </w:tc>
        <w:tc>
          <w:tcPr>
            <w:tcW w:type="dxa" w:w="4082"/>
          </w:tcPr>
          <w:p>
            <w:pPr>
              <w:bidi/>
              <w:jc w:val="right"/>
            </w:pPr>
            <w:r>
              <w:rPr>
                <w:rFonts w:ascii="Arial" w:hAnsi="Arial" w:cs="Arial"/>
                <w:rtl/>
              </w:rPr>
            </w:r>
            <w:r>
              <w:rPr>
                <w:rFonts w:ascii="Arial" w:hAnsi="Arial" w:cs="Arial"/>
                <w:b w:val="0"/>
                <w:sz w:val="18"/>
                <w:rtl/>
              </w:rPr>
              <w:t>میزان و کیفیت شناسایی دارایی‌ها، تهدیدها و آسیب‌پذیری‌ها</w:t>
            </w:r>
          </w:p>
        </w:tc>
        <w:tc>
          <w:tcPr>
            <w:tcW w:type="dxa" w:w="2381"/>
          </w:tcPr>
          <w:p>
            <w:pPr>
              <w:bidi/>
              <w:jc w:val="right"/>
            </w:pPr>
            <w:r>
              <w:rPr>
                <w:rFonts w:ascii="Arial" w:hAnsi="Arial" w:cs="Arial"/>
                <w:rtl/>
              </w:rPr>
            </w:r>
            <w:r>
              <w:rPr>
                <w:rFonts w:ascii="Arial" w:hAnsi="Arial" w:cs="Arial"/>
                <w:b w:val="0"/>
                <w:sz w:val="18"/>
                <w:rtl/>
              </w:rPr>
              <w:t>C04، C05، C06، A01</w:t>
            </w:r>
          </w:p>
        </w:tc>
      </w:tr>
      <w:tr>
        <w:tc>
          <w:tcPr>
            <w:tcW w:type="dxa" w:w="2721"/>
          </w:tcPr>
          <w:p>
            <w:pPr>
              <w:bidi/>
              <w:jc w:val="right"/>
            </w:pPr>
            <w:r>
              <w:rPr>
                <w:rFonts w:ascii="Arial" w:hAnsi="Arial" w:cs="Arial"/>
                <w:rtl/>
              </w:rPr>
            </w:r>
            <w:r>
              <w:rPr>
                <w:rFonts w:ascii="Arial" w:hAnsi="Arial" w:cs="Arial"/>
                <w:b w:val="0"/>
                <w:sz w:val="18"/>
                <w:rtl/>
              </w:rPr>
              <w:t>CCE: ارزیابی بلوغ و اثربخشی کنترل‌ها</w:t>
            </w:r>
          </w:p>
        </w:tc>
        <w:tc>
          <w:tcPr>
            <w:tcW w:type="dxa" w:w="4082"/>
          </w:tcPr>
          <w:p>
            <w:pPr>
              <w:bidi/>
              <w:jc w:val="right"/>
            </w:pPr>
            <w:r>
              <w:rPr>
                <w:rFonts w:ascii="Arial" w:hAnsi="Arial" w:cs="Arial"/>
                <w:rtl/>
              </w:rPr>
            </w:r>
            <w:r>
              <w:rPr>
                <w:rFonts w:ascii="Arial" w:hAnsi="Arial" w:cs="Arial"/>
                <w:b w:val="0"/>
                <w:sz w:val="18"/>
                <w:rtl/>
              </w:rPr>
              <w:t>ارزیابی طراحی، پیاده‌سازی و اثربخشی عملیاتی کنترل‌ها</w:t>
            </w:r>
          </w:p>
        </w:tc>
        <w:tc>
          <w:tcPr>
            <w:tcW w:type="dxa" w:w="2381"/>
          </w:tcPr>
          <w:p>
            <w:pPr>
              <w:bidi/>
              <w:jc w:val="right"/>
            </w:pPr>
            <w:r>
              <w:rPr>
                <w:rFonts w:ascii="Arial" w:hAnsi="Arial" w:cs="Arial"/>
                <w:rtl/>
              </w:rPr>
            </w:r>
            <w:r>
              <w:rPr>
                <w:rFonts w:ascii="Arial" w:hAnsi="Arial" w:cs="Arial"/>
                <w:b w:val="0"/>
                <w:sz w:val="18"/>
                <w:rtl/>
              </w:rPr>
              <w:t>C09 تا C15، A03، A04</w:t>
            </w:r>
          </w:p>
        </w:tc>
      </w:tr>
      <w:tr>
        <w:tc>
          <w:tcPr>
            <w:tcW w:type="dxa" w:w="2721"/>
          </w:tcPr>
          <w:p>
            <w:pPr>
              <w:bidi/>
              <w:jc w:val="right"/>
            </w:pPr>
            <w:r>
              <w:rPr>
                <w:rFonts w:ascii="Arial" w:hAnsi="Arial" w:cs="Arial"/>
                <w:rtl/>
              </w:rPr>
            </w:r>
            <w:r>
              <w:rPr>
                <w:rFonts w:ascii="Arial" w:hAnsi="Arial" w:cs="Arial"/>
                <w:b w:val="0"/>
                <w:sz w:val="18"/>
                <w:rtl/>
              </w:rPr>
              <w:t>COL: همکاری و صلاحیت حسابرس–متخصص</w:t>
            </w:r>
          </w:p>
        </w:tc>
        <w:tc>
          <w:tcPr>
            <w:tcW w:type="dxa" w:w="4082"/>
          </w:tcPr>
          <w:p>
            <w:pPr>
              <w:bidi/>
              <w:jc w:val="right"/>
            </w:pPr>
            <w:r>
              <w:rPr>
                <w:rFonts w:ascii="Arial" w:hAnsi="Arial" w:cs="Arial"/>
                <w:rtl/>
              </w:rPr>
            </w:r>
            <w:r>
              <w:rPr>
                <w:rFonts w:ascii="Arial" w:hAnsi="Arial" w:cs="Arial"/>
                <w:b w:val="0"/>
                <w:sz w:val="18"/>
                <w:rtl/>
              </w:rPr>
              <w:t>دانش فنی حسابرس، مشارکت متخصص و هماهنگی نقش‌ها</w:t>
            </w:r>
          </w:p>
        </w:tc>
        <w:tc>
          <w:tcPr>
            <w:tcW w:type="dxa" w:w="2381"/>
          </w:tcPr>
          <w:p>
            <w:pPr>
              <w:bidi/>
              <w:jc w:val="right"/>
            </w:pPr>
            <w:r>
              <w:rPr>
                <w:rFonts w:ascii="Arial" w:hAnsi="Arial" w:cs="Arial"/>
                <w:rtl/>
              </w:rPr>
            </w:r>
            <w:r>
              <w:rPr>
                <w:rFonts w:ascii="Arial" w:hAnsi="Arial" w:cs="Arial"/>
                <w:b w:val="0"/>
                <w:sz w:val="18"/>
                <w:rtl/>
              </w:rPr>
              <w:t>C01، A05، A06</w:t>
            </w:r>
          </w:p>
        </w:tc>
      </w:tr>
      <w:tr>
        <w:tc>
          <w:tcPr>
            <w:tcW w:type="dxa" w:w="2721"/>
          </w:tcPr>
          <w:p>
            <w:pPr>
              <w:bidi/>
              <w:jc w:val="right"/>
            </w:pPr>
            <w:r>
              <w:rPr>
                <w:rFonts w:ascii="Arial" w:hAnsi="Arial" w:cs="Arial"/>
                <w:rtl/>
              </w:rPr>
            </w:r>
            <w:r>
              <w:rPr>
                <w:rFonts w:ascii="Arial" w:hAnsi="Arial" w:cs="Arial"/>
                <w:b w:val="0"/>
                <w:sz w:val="18"/>
                <w:rtl/>
              </w:rPr>
              <w:t>RRJ: قضاوت احتمال، پیامد و ریسک باقیمانده</w:t>
            </w:r>
          </w:p>
        </w:tc>
        <w:tc>
          <w:tcPr>
            <w:tcW w:type="dxa" w:w="4082"/>
          </w:tcPr>
          <w:p>
            <w:pPr>
              <w:bidi/>
              <w:jc w:val="right"/>
            </w:pPr>
            <w:r>
              <w:rPr>
                <w:rFonts w:ascii="Arial" w:hAnsi="Arial" w:cs="Arial"/>
                <w:rtl/>
              </w:rPr>
            </w:r>
            <w:r>
              <w:rPr>
                <w:rFonts w:ascii="Arial" w:hAnsi="Arial" w:cs="Arial"/>
                <w:b w:val="0"/>
                <w:sz w:val="18"/>
                <w:rtl/>
              </w:rPr>
              <w:t>برآورد، رتبه‌بندی و اولویت‌بندی ریسک با لحاظ کنترل‌ها</w:t>
            </w:r>
          </w:p>
        </w:tc>
        <w:tc>
          <w:tcPr>
            <w:tcW w:type="dxa" w:w="2381"/>
          </w:tcPr>
          <w:p>
            <w:pPr>
              <w:bidi/>
              <w:jc w:val="right"/>
            </w:pPr>
            <w:r>
              <w:rPr>
                <w:rFonts w:ascii="Arial" w:hAnsi="Arial" w:cs="Arial"/>
                <w:rtl/>
              </w:rPr>
            </w:r>
            <w:r>
              <w:rPr>
                <w:rFonts w:ascii="Arial" w:hAnsi="Arial" w:cs="Arial"/>
                <w:b w:val="0"/>
                <w:sz w:val="18"/>
                <w:rtl/>
              </w:rPr>
              <w:t>C07، C08، A02</w:t>
            </w:r>
          </w:p>
        </w:tc>
      </w:tr>
      <w:tr>
        <w:tc>
          <w:tcPr>
            <w:tcW w:type="dxa" w:w="2721"/>
          </w:tcPr>
          <w:p>
            <w:pPr>
              <w:bidi/>
              <w:jc w:val="right"/>
            </w:pPr>
            <w:r>
              <w:rPr>
                <w:rFonts w:ascii="Arial" w:hAnsi="Arial" w:cs="Arial"/>
                <w:rtl/>
              </w:rPr>
            </w:r>
            <w:r>
              <w:rPr>
                <w:rFonts w:ascii="Arial" w:hAnsi="Arial" w:cs="Arial"/>
                <w:b w:val="0"/>
                <w:sz w:val="18"/>
                <w:rtl/>
              </w:rPr>
              <w:t>MOL: پایش مستمر و یادگیری سازمانی</w:t>
            </w:r>
          </w:p>
        </w:tc>
        <w:tc>
          <w:tcPr>
            <w:tcW w:type="dxa" w:w="4082"/>
          </w:tcPr>
          <w:p>
            <w:pPr>
              <w:bidi/>
              <w:jc w:val="right"/>
            </w:pPr>
            <w:r>
              <w:rPr>
                <w:rFonts w:ascii="Arial" w:hAnsi="Arial" w:cs="Arial"/>
                <w:rtl/>
              </w:rPr>
            </w:r>
            <w:r>
              <w:rPr>
                <w:rFonts w:ascii="Arial" w:hAnsi="Arial" w:cs="Arial"/>
                <w:b w:val="0"/>
                <w:sz w:val="18"/>
                <w:rtl/>
              </w:rPr>
              <w:t>بازارزیابی، پایش، یادگیری از حادثه و بهبود</w:t>
            </w:r>
          </w:p>
        </w:tc>
        <w:tc>
          <w:tcPr>
            <w:tcW w:type="dxa" w:w="2381"/>
          </w:tcPr>
          <w:p>
            <w:pPr>
              <w:bidi/>
              <w:jc w:val="right"/>
            </w:pPr>
            <w:r>
              <w:rPr>
                <w:rFonts w:ascii="Arial" w:hAnsi="Arial" w:cs="Arial"/>
                <w:rtl/>
              </w:rPr>
            </w:r>
            <w:r>
              <w:rPr>
                <w:rFonts w:ascii="Arial" w:hAnsi="Arial" w:cs="Arial"/>
                <w:b w:val="0"/>
                <w:sz w:val="18"/>
                <w:rtl/>
              </w:rPr>
              <w:t>C16، C17، C18، C20</w:t>
            </w:r>
          </w:p>
        </w:tc>
      </w:tr>
      <w:tr>
        <w:tc>
          <w:tcPr>
            <w:tcW w:type="dxa" w:w="2721"/>
          </w:tcPr>
          <w:p>
            <w:pPr>
              <w:bidi/>
              <w:jc w:val="right"/>
            </w:pPr>
            <w:r>
              <w:rPr>
                <w:rFonts w:ascii="Arial" w:hAnsi="Arial" w:cs="Arial"/>
                <w:rtl/>
              </w:rPr>
            </w:r>
            <w:r>
              <w:rPr>
                <w:rFonts w:ascii="Arial" w:hAnsi="Arial" w:cs="Arial"/>
                <w:b w:val="0"/>
                <w:sz w:val="18"/>
                <w:rtl/>
              </w:rPr>
              <w:t>PEF: اثربخشی فرایند ارزیابی</w:t>
            </w:r>
          </w:p>
        </w:tc>
        <w:tc>
          <w:tcPr>
            <w:tcW w:type="dxa" w:w="4082"/>
          </w:tcPr>
          <w:p>
            <w:pPr>
              <w:bidi/>
              <w:jc w:val="right"/>
            </w:pPr>
            <w:r>
              <w:rPr>
                <w:rFonts w:ascii="Arial" w:hAnsi="Arial" w:cs="Arial"/>
                <w:rtl/>
              </w:rPr>
            </w:r>
            <w:r>
              <w:rPr>
                <w:rFonts w:ascii="Arial" w:hAnsi="Arial" w:cs="Arial"/>
                <w:b w:val="0"/>
                <w:sz w:val="18"/>
                <w:rtl/>
              </w:rPr>
              <w:t>کامل‌بودن، به‌موقع‌بودن گزارش، اولویت‌بندی و پیگیری</w:t>
            </w:r>
          </w:p>
        </w:tc>
        <w:tc>
          <w:tcPr>
            <w:tcW w:type="dxa" w:w="2381"/>
          </w:tcPr>
          <w:p>
            <w:pPr>
              <w:bidi/>
              <w:jc w:val="right"/>
            </w:pPr>
            <w:r>
              <w:rPr>
                <w:rFonts w:ascii="Arial" w:hAnsi="Arial" w:cs="Arial"/>
                <w:rtl/>
              </w:rPr>
            </w:r>
            <w:r>
              <w:rPr>
                <w:rFonts w:ascii="Arial" w:hAnsi="Arial" w:cs="Arial"/>
                <w:b w:val="0"/>
                <w:sz w:val="18"/>
                <w:rtl/>
              </w:rPr>
              <w:t>C21، A07، A08، A09</w:t>
            </w:r>
          </w:p>
        </w:tc>
      </w:tr>
      <w:tr>
        <w:tc>
          <w:tcPr>
            <w:tcW w:type="dxa" w:w="2721"/>
          </w:tcPr>
          <w:p>
            <w:pPr>
              <w:bidi/>
              <w:jc w:val="right"/>
            </w:pPr>
            <w:r>
              <w:rPr>
                <w:rFonts w:ascii="Arial" w:hAnsi="Arial" w:cs="Arial"/>
                <w:rtl/>
              </w:rPr>
            </w:r>
            <w:r>
              <w:rPr>
                <w:rFonts w:ascii="Arial" w:hAnsi="Arial" w:cs="Arial"/>
                <w:b w:val="0"/>
                <w:sz w:val="18"/>
                <w:rtl/>
              </w:rPr>
              <w:t>متغیرهای زمینه‌ای/کنترلی</w:t>
            </w:r>
          </w:p>
        </w:tc>
        <w:tc>
          <w:tcPr>
            <w:tcW w:type="dxa" w:w="4082"/>
          </w:tcPr>
          <w:p>
            <w:pPr>
              <w:bidi/>
              <w:jc w:val="right"/>
            </w:pPr>
            <w:r>
              <w:rPr>
                <w:rFonts w:ascii="Arial" w:hAnsi="Arial" w:cs="Arial"/>
                <w:rtl/>
              </w:rPr>
            </w:r>
            <w:r>
              <w:rPr>
                <w:rFonts w:ascii="Arial" w:hAnsi="Arial" w:cs="Arial"/>
                <w:b w:val="0"/>
                <w:sz w:val="18"/>
                <w:rtl/>
              </w:rPr>
              <w:t>سیاست و حدود ارزیابی، الزام قانونی، اندازه، صنعت، سابقه</w:t>
            </w:r>
          </w:p>
        </w:tc>
        <w:tc>
          <w:tcPr>
            <w:tcW w:type="dxa" w:w="2381"/>
          </w:tcPr>
          <w:p>
            <w:pPr>
              <w:bidi/>
              <w:jc w:val="right"/>
            </w:pPr>
            <w:r>
              <w:rPr>
                <w:rFonts w:ascii="Arial" w:hAnsi="Arial" w:cs="Arial"/>
                <w:rtl/>
              </w:rPr>
            </w:r>
            <w:r>
              <w:rPr>
                <w:rFonts w:ascii="Arial" w:hAnsi="Arial" w:cs="Arial"/>
                <w:b w:val="0"/>
                <w:sz w:val="18"/>
                <w:rtl/>
              </w:rPr>
              <w:t>C02، C03، C19 و ویژگی‌های جمعیتی</w:t>
            </w:r>
          </w:p>
        </w:tc>
      </w:tr>
    </w:tbl>
    <w:p/>
    <w:p>
      <w:pPr>
        <w:spacing w:after="140"/>
        <w:bidi/>
        <w:jc w:val="right"/>
      </w:pPr>
      <w:r>
        <w:rPr>
          <w:rFonts w:ascii="Arial" w:hAnsi="Arial" w:cs="Arial"/>
          <w:b/>
          <w:i w:val="0"/>
          <w:color w:val="1F3864"/>
          <w:sz w:val="30"/>
          <w:rtl/>
        </w:rPr>
        <w:t>3. مدل مفهومی و فرضیه‌ها</w:t>
      </w:r>
    </w:p>
    <w:p>
      <w:pPr>
        <w:spacing w:after="100"/>
        <w:bidi/>
        <w:jc w:val="right"/>
      </w:pPr>
      <w:r>
        <w:rPr>
          <w:rFonts w:ascii="Arial" w:hAnsi="Arial" w:cs="Arial"/>
          <w:b w:val="0"/>
          <w:i w:val="0"/>
          <w:rtl/>
        </w:rPr>
        <w:t>فرضیه‌ها مربوط به مقاله دوم (مدل ساختاری) هستند. مقاله اول (دلفی) بر پرسش‌های RQ1 تا RQ3 تکیه می‌کند و آزمون آماری فرضیه‌ای ندارد.</w:t>
      </w:r>
    </w:p>
    <w:p>
      <w:pPr>
        <w:jc w:val="center"/>
      </w:pPr>
      <w:r>
        <w:drawing>
          <wp:inline xmlns:a="http://schemas.openxmlformats.org/drawingml/2006/main" xmlns:pic="http://schemas.openxmlformats.org/drawingml/2006/picture">
            <wp:extent cx="5580000" cy="3241294"/>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580000" cy="3241294"/>
                    </a:xfrm>
                    <a:prstGeom prst="rect"/>
                  </pic:spPr>
                </pic:pic>
              </a:graphicData>
            </a:graphic>
          </wp:inline>
        </w:drawing>
      </w:r>
    </w:p>
    <w:p>
      <w:pPr>
        <w:spacing w:after="100"/>
        <w:bidi/>
        <w:jc w:val="center"/>
      </w:pPr>
      <w:r>
        <w:rPr>
          <w:rFonts w:ascii="Arial" w:hAnsi="Arial" w:cs="Arial"/>
          <w:b w:val="0"/>
          <w:i w:val="0"/>
          <w:color w:val="5A5A5A"/>
          <w:sz w:val="18"/>
          <w:rtl/>
        </w:rPr>
        <w:t>شکل 1. مدل ساختاری پیشنهادی (علامت‌ها و نام سازه‌ها انگلیسی است تا با خروجی نرم‌افزار PLS هماهنگ باشد).</w:t>
      </w:r>
    </w:p>
    <w:tbl>
      <w:tblPr>
        <w:tblStyle w:val="TableGrid"/>
        <w:tblW w:type="auto" w:w="0"/>
        <w:tblLayout w:type="fixed"/>
        <w:tblLook w:firstColumn="1" w:firstRow="1" w:lastColumn="0" w:lastRow="0" w:noHBand="0" w:noVBand="1" w:val="04A0"/>
        <w:bidiVisual/>
      </w:tblPr>
      <w:tblGrid>
        <w:gridCol w:w="1304"/>
        <w:gridCol w:w="3061"/>
        <w:gridCol w:w="4819"/>
      </w:tblGrid>
      <w:tr>
        <w:tc>
          <w:tcPr>
            <w:tcW w:type="dxa" w:w="1304"/>
            <w:shd w:val="clear" w:color="auto" w:fill="1F3864"/>
          </w:tcPr>
          <w:p>
            <w:pPr>
              <w:bidi/>
              <w:jc w:val="right"/>
            </w:pPr>
            <w:r>
              <w:rPr>
                <w:rFonts w:ascii="Arial" w:hAnsi="Arial" w:cs="Arial"/>
                <w:rtl/>
              </w:rPr>
            </w:r>
            <w:r>
              <w:rPr>
                <w:rFonts w:ascii="Arial" w:hAnsi="Arial" w:cs="Arial"/>
                <w:b/>
                <w:color w:val="FFFFFF"/>
                <w:sz w:val="18"/>
                <w:rtl/>
              </w:rPr>
              <w:t>فرضیه</w:t>
            </w:r>
          </w:p>
        </w:tc>
        <w:tc>
          <w:tcPr>
            <w:tcW w:type="dxa" w:w="3061"/>
            <w:shd w:val="clear" w:color="auto" w:fill="1F3864"/>
          </w:tcPr>
          <w:p>
            <w:pPr>
              <w:bidi/>
              <w:jc w:val="right"/>
            </w:pPr>
            <w:r>
              <w:rPr>
                <w:rFonts w:ascii="Arial" w:hAnsi="Arial" w:cs="Arial"/>
                <w:rtl/>
              </w:rPr>
            </w:r>
            <w:r>
              <w:rPr>
                <w:rFonts w:ascii="Arial" w:hAnsi="Arial" w:cs="Arial"/>
                <w:b/>
                <w:color w:val="FFFFFF"/>
                <w:sz w:val="18"/>
                <w:rtl/>
              </w:rPr>
              <w:t>متن</w:t>
            </w:r>
          </w:p>
        </w:tc>
        <w:tc>
          <w:tcPr>
            <w:tcW w:type="dxa" w:w="4819"/>
            <w:shd w:val="clear" w:color="auto" w:fill="1F3864"/>
          </w:tcPr>
          <w:p>
            <w:pPr>
              <w:bidi/>
              <w:jc w:val="right"/>
            </w:pPr>
            <w:r>
              <w:rPr>
                <w:rFonts w:ascii="Arial" w:hAnsi="Arial" w:cs="Arial"/>
                <w:rtl/>
              </w:rPr>
            </w:r>
            <w:r>
              <w:rPr>
                <w:rFonts w:ascii="Arial" w:hAnsi="Arial" w:cs="Arial"/>
                <w:b/>
                <w:color w:val="FFFFFF"/>
                <w:sz w:val="18"/>
                <w:rtl/>
              </w:rPr>
              <w:t>مبنا</w:t>
            </w:r>
          </w:p>
        </w:tc>
      </w:tr>
      <w:tr>
        <w:tc>
          <w:tcPr>
            <w:tcW w:type="dxa" w:w="1304"/>
          </w:tcPr>
          <w:p>
            <w:pPr>
              <w:bidi/>
              <w:jc w:val="right"/>
            </w:pPr>
            <w:r>
              <w:rPr>
                <w:rFonts w:ascii="Arial" w:hAnsi="Arial" w:cs="Arial"/>
                <w:rtl/>
              </w:rPr>
            </w:r>
            <w:r>
              <w:rPr>
                <w:rFonts w:ascii="Arial" w:hAnsi="Arial" w:cs="Arial"/>
                <w:b w:val="0"/>
                <w:sz w:val="18"/>
                <w:rtl/>
              </w:rPr>
              <w:t>H1</w:t>
            </w:r>
          </w:p>
        </w:tc>
        <w:tc>
          <w:tcPr>
            <w:tcW w:type="dxa" w:w="3061"/>
          </w:tcPr>
          <w:p>
            <w:pPr>
              <w:bidi/>
              <w:jc w:val="right"/>
            </w:pPr>
            <w:r>
              <w:rPr>
                <w:rFonts w:ascii="Arial" w:hAnsi="Arial" w:cs="Arial"/>
                <w:rtl/>
              </w:rPr>
            </w:r>
            <w:r>
              <w:rPr>
                <w:rFonts w:ascii="Arial" w:hAnsi="Arial" w:cs="Arial"/>
                <w:b w:val="0"/>
                <w:sz w:val="18"/>
                <w:rtl/>
              </w:rPr>
              <w:t>شناسایی تهدید و آسیب‌پذیری (TVI) بر قضاوت ریسک (RRJ) اثر مثبت دارد.</w:t>
            </w:r>
          </w:p>
        </w:tc>
        <w:tc>
          <w:tcPr>
            <w:tcW w:type="dxa" w:w="4819"/>
          </w:tcPr>
          <w:p>
            <w:pPr>
              <w:bidi/>
              <w:jc w:val="right"/>
            </w:pPr>
            <w:r>
              <w:rPr>
                <w:rFonts w:ascii="Arial" w:hAnsi="Arial" w:cs="Arial"/>
                <w:rtl/>
              </w:rPr>
            </w:r>
            <w:r>
              <w:rPr>
                <w:rFonts w:ascii="Arial" w:hAnsi="Arial" w:cs="Arial"/>
                <w:b w:val="0"/>
                <w:sz w:val="18"/>
                <w:rtl/>
              </w:rPr>
              <w:t>ISA 315 شناخت محیط IT و ریسک‌های ناشی از آن را پیش از ارزیابی ریسک تحریف می‌خواهد؛ در ISO/IEC 27005:2022 شناسایی ریسک پیش از تحلیل و ارزیابی می‌آید؛ NIST CSF 2.0 ارزیابی ریسک را در Identify قرار می‌دهد؛ Wangen et al. (2018) و Ganin et al. (2020) بر پوشش کامل تهدید، آسیب‌پذیری و پیامد تأکید دارند.</w:t>
            </w:r>
          </w:p>
        </w:tc>
      </w:tr>
      <w:tr>
        <w:tc>
          <w:tcPr>
            <w:tcW w:type="dxa" w:w="1304"/>
          </w:tcPr>
          <w:p>
            <w:pPr>
              <w:bidi/>
              <w:jc w:val="right"/>
            </w:pPr>
            <w:r>
              <w:rPr>
                <w:rFonts w:ascii="Arial" w:hAnsi="Arial" w:cs="Arial"/>
                <w:rtl/>
              </w:rPr>
            </w:r>
            <w:r>
              <w:rPr>
                <w:rFonts w:ascii="Arial" w:hAnsi="Arial" w:cs="Arial"/>
                <w:b w:val="0"/>
                <w:sz w:val="18"/>
                <w:rtl/>
              </w:rPr>
              <w:t>H2</w:t>
            </w:r>
          </w:p>
        </w:tc>
        <w:tc>
          <w:tcPr>
            <w:tcW w:type="dxa" w:w="3061"/>
          </w:tcPr>
          <w:p>
            <w:pPr>
              <w:bidi/>
              <w:jc w:val="right"/>
            </w:pPr>
            <w:r>
              <w:rPr>
                <w:rFonts w:ascii="Arial" w:hAnsi="Arial" w:cs="Arial"/>
                <w:rtl/>
              </w:rPr>
            </w:r>
            <w:r>
              <w:rPr>
                <w:rFonts w:ascii="Arial" w:hAnsi="Arial" w:cs="Arial"/>
                <w:b w:val="0"/>
                <w:sz w:val="18"/>
                <w:rtl/>
              </w:rPr>
              <w:t>ارزیابی بلوغ و اثربخشی کنترل‌ها (CCE) بر قضاوت ریسک (RRJ) اثر مثبت دارد.</w:t>
            </w:r>
          </w:p>
        </w:tc>
        <w:tc>
          <w:tcPr>
            <w:tcW w:type="dxa" w:w="4819"/>
          </w:tcPr>
          <w:p>
            <w:pPr>
              <w:bidi/>
              <w:jc w:val="right"/>
            </w:pPr>
            <w:r>
              <w:rPr>
                <w:rFonts w:ascii="Arial" w:hAnsi="Arial" w:cs="Arial"/>
                <w:rtl/>
              </w:rPr>
            </w:r>
            <w:r>
              <w:rPr>
                <w:rFonts w:ascii="Arial" w:hAnsi="Arial" w:cs="Arial"/>
                <w:b w:val="0"/>
                <w:sz w:val="18"/>
                <w:rtl/>
              </w:rPr>
              <w:t>ISA 315 ارزیابی طراحی و اجرای کنترل‌های مرتبط و GITC را می‌خواهد؛ ریسک باقیمانده بدون ارزیابی کنترل معنا ندارد؛ Chen et al. (2025) از وارد شدن ضعف کنترل در اظهارنظر حسابرس شواهد دارند.</w:t>
            </w:r>
          </w:p>
        </w:tc>
      </w:tr>
      <w:tr>
        <w:tc>
          <w:tcPr>
            <w:tcW w:type="dxa" w:w="1304"/>
          </w:tcPr>
          <w:p>
            <w:pPr>
              <w:bidi/>
              <w:jc w:val="right"/>
            </w:pPr>
            <w:r>
              <w:rPr>
                <w:rFonts w:ascii="Arial" w:hAnsi="Arial" w:cs="Arial"/>
                <w:rtl/>
              </w:rPr>
            </w:r>
            <w:r>
              <w:rPr>
                <w:rFonts w:ascii="Arial" w:hAnsi="Arial" w:cs="Arial"/>
                <w:b w:val="0"/>
                <w:sz w:val="18"/>
                <w:rtl/>
              </w:rPr>
              <w:t>H3</w:t>
            </w:r>
          </w:p>
        </w:tc>
        <w:tc>
          <w:tcPr>
            <w:tcW w:type="dxa" w:w="3061"/>
          </w:tcPr>
          <w:p>
            <w:pPr>
              <w:bidi/>
              <w:jc w:val="right"/>
            </w:pPr>
            <w:r>
              <w:rPr>
                <w:rFonts w:ascii="Arial" w:hAnsi="Arial" w:cs="Arial"/>
                <w:rtl/>
              </w:rPr>
            </w:r>
            <w:r>
              <w:rPr>
                <w:rFonts w:ascii="Arial" w:hAnsi="Arial" w:cs="Arial"/>
                <w:b w:val="0"/>
                <w:sz w:val="18"/>
                <w:rtl/>
              </w:rPr>
              <w:t>همکاری و صلاحیت حسابرس–متخصص (COL) بر قضاوت ریسک (RRJ) اثر مثبت دارد.</w:t>
            </w:r>
          </w:p>
        </w:tc>
        <w:tc>
          <w:tcPr>
            <w:tcW w:type="dxa" w:w="4819"/>
          </w:tcPr>
          <w:p>
            <w:pPr>
              <w:bidi/>
              <w:jc w:val="right"/>
            </w:pPr>
            <w:r>
              <w:rPr>
                <w:rFonts w:ascii="Arial" w:hAnsi="Arial" w:cs="Arial"/>
                <w:rtl/>
              </w:rPr>
            </w:r>
            <w:r>
              <w:rPr>
                <w:rFonts w:ascii="Arial" w:hAnsi="Arial" w:cs="Arial"/>
                <w:b w:val="0"/>
                <w:sz w:val="18"/>
                <w:rtl/>
              </w:rPr>
              <w:t>Slapničar et al. (2026)، Alzeban et al. (2025)، Islam et al. (2018)، Steinbart et al. (2018) و Kahyaoğlu &amp; Çalıyurt (2018)؛ ISA 620 درباره استفاده از کارشناس.</w:t>
            </w:r>
          </w:p>
        </w:tc>
      </w:tr>
      <w:tr>
        <w:tc>
          <w:tcPr>
            <w:tcW w:type="dxa" w:w="1304"/>
          </w:tcPr>
          <w:p>
            <w:pPr>
              <w:bidi/>
              <w:jc w:val="right"/>
            </w:pPr>
            <w:r>
              <w:rPr>
                <w:rFonts w:ascii="Arial" w:hAnsi="Arial" w:cs="Arial"/>
                <w:rtl/>
              </w:rPr>
            </w:r>
            <w:r>
              <w:rPr>
                <w:rFonts w:ascii="Arial" w:hAnsi="Arial" w:cs="Arial"/>
                <w:b w:val="0"/>
                <w:sz w:val="18"/>
                <w:rtl/>
              </w:rPr>
              <w:t>H4a/H4b</w:t>
            </w:r>
          </w:p>
        </w:tc>
        <w:tc>
          <w:tcPr>
            <w:tcW w:type="dxa" w:w="3061"/>
          </w:tcPr>
          <w:p>
            <w:pPr>
              <w:bidi/>
              <w:jc w:val="right"/>
            </w:pPr>
            <w:r>
              <w:rPr>
                <w:rFonts w:ascii="Arial" w:hAnsi="Arial" w:cs="Arial"/>
                <w:rtl/>
              </w:rPr>
            </w:r>
            <w:r>
              <w:rPr>
                <w:rFonts w:ascii="Arial" w:hAnsi="Arial" w:cs="Arial"/>
                <w:b w:val="0"/>
                <w:sz w:val="18"/>
                <w:rtl/>
              </w:rPr>
              <w:t>COL رابطه TVI→RRJ (H4a) و CCE→RRJ (H4b) را تقویت می‌کند.</w:t>
            </w:r>
          </w:p>
        </w:tc>
        <w:tc>
          <w:tcPr>
            <w:tcW w:type="dxa" w:w="4819"/>
          </w:tcPr>
          <w:p>
            <w:pPr>
              <w:bidi/>
              <w:jc w:val="right"/>
            </w:pPr>
            <w:r>
              <w:rPr>
                <w:rFonts w:ascii="Arial" w:hAnsi="Arial" w:cs="Arial"/>
                <w:rtl/>
              </w:rPr>
            </w:r>
            <w:r>
              <w:rPr>
                <w:rFonts w:ascii="Arial" w:hAnsi="Arial" w:cs="Arial"/>
                <w:b w:val="0"/>
                <w:sz w:val="18"/>
                <w:rtl/>
              </w:rPr>
              <w:t>داده فنی وقتی به قضاوت تبدیل می‌شود که تفسیر صلاحیت‌دار و هماهنگ شود (منطق توانمندی‌های پویا). شواهد مستقیم کم است؛ این فرضیه نوآورانه و اکتشافی است.</w:t>
            </w:r>
          </w:p>
        </w:tc>
      </w:tr>
      <w:tr>
        <w:tc>
          <w:tcPr>
            <w:tcW w:type="dxa" w:w="1304"/>
          </w:tcPr>
          <w:p>
            <w:pPr>
              <w:bidi/>
              <w:jc w:val="right"/>
            </w:pPr>
            <w:r>
              <w:rPr>
                <w:rFonts w:ascii="Arial" w:hAnsi="Arial" w:cs="Arial"/>
                <w:rtl/>
              </w:rPr>
            </w:r>
            <w:r>
              <w:rPr>
                <w:rFonts w:ascii="Arial" w:hAnsi="Arial" w:cs="Arial"/>
                <w:b w:val="0"/>
                <w:sz w:val="18"/>
                <w:rtl/>
              </w:rPr>
              <w:t>H5</w:t>
            </w:r>
          </w:p>
        </w:tc>
        <w:tc>
          <w:tcPr>
            <w:tcW w:type="dxa" w:w="3061"/>
          </w:tcPr>
          <w:p>
            <w:pPr>
              <w:bidi/>
              <w:jc w:val="right"/>
            </w:pPr>
            <w:r>
              <w:rPr>
                <w:rFonts w:ascii="Arial" w:hAnsi="Arial" w:cs="Arial"/>
                <w:rtl/>
              </w:rPr>
            </w:r>
            <w:r>
              <w:rPr>
                <w:rFonts w:ascii="Arial" w:hAnsi="Arial" w:cs="Arial"/>
                <w:b w:val="0"/>
                <w:sz w:val="18"/>
                <w:rtl/>
              </w:rPr>
              <w:t>قضاوت ریسک (RRJ) بر اثربخشی فرایند (PEF) اثر مثبت دارد.</w:t>
            </w:r>
          </w:p>
        </w:tc>
        <w:tc>
          <w:tcPr>
            <w:tcW w:type="dxa" w:w="4819"/>
          </w:tcPr>
          <w:p>
            <w:pPr>
              <w:bidi/>
              <w:jc w:val="right"/>
            </w:pPr>
            <w:r>
              <w:rPr>
                <w:rFonts w:ascii="Arial" w:hAnsi="Arial" w:cs="Arial"/>
                <w:rtl/>
              </w:rPr>
            </w:r>
            <w:r>
              <w:rPr>
                <w:rFonts w:ascii="Arial" w:hAnsi="Arial" w:cs="Arial"/>
                <w:b w:val="0"/>
                <w:sz w:val="18"/>
                <w:rtl/>
              </w:rPr>
              <w:t>اولویت‌بندی و گزارش نتیجه، خروجی قضاوت ریسک است؛ ساختار برنامه‌ریزی، اجرا و گزارشگری در Slapničar et al. (2022)؛ ISA 260 و 265 درباره ارتباط یافته‌ها.</w:t>
            </w:r>
          </w:p>
        </w:tc>
      </w:tr>
      <w:tr>
        <w:tc>
          <w:tcPr>
            <w:tcW w:type="dxa" w:w="1304"/>
          </w:tcPr>
          <w:p>
            <w:pPr>
              <w:bidi/>
              <w:jc w:val="right"/>
            </w:pPr>
            <w:r>
              <w:rPr>
                <w:rFonts w:ascii="Arial" w:hAnsi="Arial" w:cs="Arial"/>
                <w:rtl/>
              </w:rPr>
            </w:r>
            <w:r>
              <w:rPr>
                <w:rFonts w:ascii="Arial" w:hAnsi="Arial" w:cs="Arial"/>
                <w:b w:val="0"/>
                <w:sz w:val="18"/>
                <w:rtl/>
              </w:rPr>
              <w:t>H6</w:t>
            </w:r>
          </w:p>
        </w:tc>
        <w:tc>
          <w:tcPr>
            <w:tcW w:type="dxa" w:w="3061"/>
          </w:tcPr>
          <w:p>
            <w:pPr>
              <w:bidi/>
              <w:jc w:val="right"/>
            </w:pPr>
            <w:r>
              <w:rPr>
                <w:rFonts w:ascii="Arial" w:hAnsi="Arial" w:cs="Arial"/>
                <w:rtl/>
              </w:rPr>
            </w:r>
            <w:r>
              <w:rPr>
                <w:rFonts w:ascii="Arial" w:hAnsi="Arial" w:cs="Arial"/>
                <w:b w:val="0"/>
                <w:sz w:val="18"/>
                <w:rtl/>
              </w:rPr>
              <w:t>قضاوت ریسک (RRJ) بر پایش مستمر و یادگیری (MOL) اثر مثبت دارد.</w:t>
            </w:r>
          </w:p>
        </w:tc>
        <w:tc>
          <w:tcPr>
            <w:tcW w:type="dxa" w:w="4819"/>
          </w:tcPr>
          <w:p>
            <w:pPr>
              <w:bidi/>
              <w:jc w:val="right"/>
            </w:pPr>
            <w:r>
              <w:rPr>
                <w:rFonts w:ascii="Arial" w:hAnsi="Arial" w:cs="Arial"/>
                <w:rtl/>
              </w:rPr>
            </w:r>
            <w:r>
              <w:rPr>
                <w:rFonts w:ascii="Arial" w:hAnsi="Arial" w:cs="Arial"/>
                <w:b w:val="0"/>
                <w:sz w:val="18"/>
                <w:rtl/>
              </w:rPr>
              <w:t>قضاوت ریسک بازارزیابی و پایش را تحریک می‌کند؛ NIST ID.IM؛ بندهای ارزیابی عملکرد و بهبود در ISO/IEC 27001:2022؛ Armenia et al. (2021) درباره ضرورت رویکرد پویا.</w:t>
            </w:r>
          </w:p>
        </w:tc>
      </w:tr>
      <w:tr>
        <w:tc>
          <w:tcPr>
            <w:tcW w:type="dxa" w:w="1304"/>
          </w:tcPr>
          <w:p>
            <w:pPr>
              <w:bidi/>
              <w:jc w:val="right"/>
            </w:pPr>
            <w:r>
              <w:rPr>
                <w:rFonts w:ascii="Arial" w:hAnsi="Arial" w:cs="Arial"/>
                <w:rtl/>
              </w:rPr>
            </w:r>
            <w:r>
              <w:rPr>
                <w:rFonts w:ascii="Arial" w:hAnsi="Arial" w:cs="Arial"/>
                <w:b w:val="0"/>
                <w:sz w:val="18"/>
                <w:rtl/>
              </w:rPr>
              <w:t>H7</w:t>
            </w:r>
          </w:p>
        </w:tc>
        <w:tc>
          <w:tcPr>
            <w:tcW w:type="dxa" w:w="3061"/>
          </w:tcPr>
          <w:p>
            <w:pPr>
              <w:bidi/>
              <w:jc w:val="right"/>
            </w:pPr>
            <w:r>
              <w:rPr>
                <w:rFonts w:ascii="Arial" w:hAnsi="Arial" w:cs="Arial"/>
                <w:rtl/>
              </w:rPr>
            </w:r>
            <w:r>
              <w:rPr>
                <w:rFonts w:ascii="Arial" w:hAnsi="Arial" w:cs="Arial"/>
                <w:b w:val="0"/>
                <w:sz w:val="18"/>
                <w:rtl/>
              </w:rPr>
              <w:t>پایش مستمر و یادگیری (MOL) بر اثربخشی فرایند (PEF) اثر مثبت دارد.</w:t>
            </w:r>
          </w:p>
        </w:tc>
        <w:tc>
          <w:tcPr>
            <w:tcW w:type="dxa" w:w="4819"/>
          </w:tcPr>
          <w:p>
            <w:pPr>
              <w:bidi/>
              <w:jc w:val="right"/>
            </w:pPr>
            <w:r>
              <w:rPr>
                <w:rFonts w:ascii="Arial" w:hAnsi="Arial" w:cs="Arial"/>
                <w:rtl/>
              </w:rPr>
            </w:r>
            <w:r>
              <w:rPr>
                <w:rFonts w:ascii="Arial" w:hAnsi="Arial" w:cs="Arial"/>
                <w:b w:val="0"/>
                <w:sz w:val="18"/>
                <w:rtl/>
              </w:rPr>
              <w:t>Chen et al. (2025) از یادگیری بین‌صاحبکاری؛ Alzeban et al. (2025) درباره تاب‌آوری.</w:t>
            </w:r>
          </w:p>
        </w:tc>
      </w:tr>
      <w:tr>
        <w:tc>
          <w:tcPr>
            <w:tcW w:type="dxa" w:w="1304"/>
          </w:tcPr>
          <w:p>
            <w:pPr>
              <w:bidi/>
              <w:jc w:val="right"/>
            </w:pPr>
            <w:r>
              <w:rPr>
                <w:rFonts w:ascii="Arial" w:hAnsi="Arial" w:cs="Arial"/>
                <w:rtl/>
              </w:rPr>
            </w:r>
            <w:r>
              <w:rPr>
                <w:rFonts w:ascii="Arial" w:hAnsi="Arial" w:cs="Arial"/>
                <w:b w:val="0"/>
                <w:sz w:val="18"/>
                <w:rtl/>
              </w:rPr>
              <w:t>H8a/H8b</w:t>
            </w:r>
          </w:p>
        </w:tc>
        <w:tc>
          <w:tcPr>
            <w:tcW w:type="dxa" w:w="3061"/>
          </w:tcPr>
          <w:p>
            <w:pPr>
              <w:bidi/>
              <w:jc w:val="right"/>
            </w:pPr>
            <w:r>
              <w:rPr>
                <w:rFonts w:ascii="Arial" w:hAnsi="Arial" w:cs="Arial"/>
                <w:rtl/>
              </w:rPr>
            </w:r>
            <w:r>
              <w:rPr>
                <w:rFonts w:ascii="Arial" w:hAnsi="Arial" w:cs="Arial"/>
                <w:b w:val="0"/>
                <w:sz w:val="18"/>
                <w:rtl/>
              </w:rPr>
              <w:t>RRJ رابطه TVI→PEF (H8a) و CCE→PEF (H8b) را میانجی‌گری می‌کند.</w:t>
            </w:r>
          </w:p>
        </w:tc>
        <w:tc>
          <w:tcPr>
            <w:tcW w:type="dxa" w:w="4819"/>
          </w:tcPr>
          <w:p>
            <w:pPr>
              <w:bidi/>
              <w:jc w:val="right"/>
            </w:pPr>
            <w:r>
              <w:rPr>
                <w:rFonts w:ascii="Arial" w:hAnsi="Arial" w:cs="Arial"/>
                <w:rtl/>
              </w:rPr>
            </w:r>
            <w:r>
              <w:rPr>
                <w:rFonts w:ascii="Arial" w:hAnsi="Arial" w:cs="Arial"/>
                <w:b w:val="0"/>
                <w:sz w:val="18"/>
                <w:rtl/>
              </w:rPr>
              <w:t>اثر شناسایی و ارزیابی کنترل بر اثربخشی از مسیر قضاوت ریسک می‌گذرد (آزمون با بوت‌استرپ اثر غیرمستقیم).</w:t>
            </w:r>
          </w:p>
        </w:tc>
      </w:tr>
      <w:tr>
        <w:tc>
          <w:tcPr>
            <w:tcW w:type="dxa" w:w="1304"/>
          </w:tcPr>
          <w:p>
            <w:pPr>
              <w:bidi/>
              <w:jc w:val="right"/>
            </w:pPr>
            <w:r>
              <w:rPr>
                <w:rFonts w:ascii="Arial" w:hAnsi="Arial" w:cs="Arial"/>
                <w:rtl/>
              </w:rPr>
            </w:r>
            <w:r>
              <w:rPr>
                <w:rFonts w:ascii="Arial" w:hAnsi="Arial" w:cs="Arial"/>
                <w:b w:val="0"/>
                <w:sz w:val="18"/>
                <w:rtl/>
              </w:rPr>
              <w:t>H9</w:t>
            </w:r>
          </w:p>
        </w:tc>
        <w:tc>
          <w:tcPr>
            <w:tcW w:type="dxa" w:w="3061"/>
          </w:tcPr>
          <w:p>
            <w:pPr>
              <w:bidi/>
              <w:jc w:val="right"/>
            </w:pPr>
            <w:r>
              <w:rPr>
                <w:rFonts w:ascii="Arial" w:hAnsi="Arial" w:cs="Arial"/>
                <w:rtl/>
              </w:rPr>
            </w:r>
            <w:r>
              <w:rPr>
                <w:rFonts w:ascii="Arial" w:hAnsi="Arial" w:cs="Arial"/>
                <w:b w:val="0"/>
                <w:sz w:val="18"/>
                <w:rtl/>
              </w:rPr>
              <w:t>COL بر PEF اثر مستقیم مثبت دارد.</w:t>
            </w:r>
          </w:p>
        </w:tc>
        <w:tc>
          <w:tcPr>
            <w:tcW w:type="dxa" w:w="4819"/>
          </w:tcPr>
          <w:p>
            <w:pPr>
              <w:bidi/>
              <w:jc w:val="right"/>
            </w:pPr>
            <w:r>
              <w:rPr>
                <w:rFonts w:ascii="Arial" w:hAnsi="Arial" w:cs="Arial"/>
                <w:rtl/>
              </w:rPr>
            </w:r>
            <w:r>
              <w:rPr>
                <w:rFonts w:ascii="Arial" w:hAnsi="Arial" w:cs="Arial"/>
                <w:b w:val="0"/>
                <w:sz w:val="18"/>
                <w:rtl/>
              </w:rPr>
              <w:t>همکاری و صلاحیت علاوه بر قضاوت، به ارتباط و پیگیری هم کمک می‌کند (Slapničar et al. 2026؛ Alzeban et al. 2025).</w:t>
            </w:r>
          </w:p>
        </w:tc>
      </w:tr>
      <w:tr>
        <w:tc>
          <w:tcPr>
            <w:tcW w:type="dxa" w:w="1304"/>
          </w:tcPr>
          <w:p>
            <w:pPr>
              <w:bidi/>
              <w:jc w:val="right"/>
            </w:pPr>
            <w:r>
              <w:rPr>
                <w:rFonts w:ascii="Arial" w:hAnsi="Arial" w:cs="Arial"/>
                <w:rtl/>
              </w:rPr>
            </w:r>
            <w:r>
              <w:rPr>
                <w:rFonts w:ascii="Arial" w:hAnsi="Arial" w:cs="Arial"/>
                <w:b w:val="0"/>
                <w:sz w:val="18"/>
                <w:rtl/>
              </w:rPr>
              <w:t>H10</w:t>
            </w:r>
          </w:p>
        </w:tc>
        <w:tc>
          <w:tcPr>
            <w:tcW w:type="dxa" w:w="3061"/>
          </w:tcPr>
          <w:p>
            <w:pPr>
              <w:bidi/>
              <w:jc w:val="right"/>
            </w:pPr>
            <w:r>
              <w:rPr>
                <w:rFonts w:ascii="Arial" w:hAnsi="Arial" w:cs="Arial"/>
                <w:rtl/>
              </w:rPr>
            </w:r>
            <w:r>
              <w:rPr>
                <w:rFonts w:ascii="Arial" w:hAnsi="Arial" w:cs="Arial"/>
                <w:b w:val="0"/>
                <w:sz w:val="18"/>
                <w:rtl/>
              </w:rPr>
              <w:t>قدرت مسیرهای مدل بین گروه سازمان و گروه حسابرس تفاوت دارد.</w:t>
            </w:r>
          </w:p>
        </w:tc>
        <w:tc>
          <w:tcPr>
            <w:tcW w:type="dxa" w:w="4819"/>
          </w:tcPr>
          <w:p>
            <w:pPr>
              <w:bidi/>
              <w:jc w:val="right"/>
            </w:pPr>
            <w:r>
              <w:rPr>
                <w:rFonts w:ascii="Arial" w:hAnsi="Arial" w:cs="Arial"/>
                <w:rtl/>
              </w:rPr>
            </w:r>
            <w:r>
              <w:rPr>
                <w:rFonts w:ascii="Arial" w:hAnsi="Arial" w:cs="Arial"/>
                <w:b w:val="0"/>
                <w:sz w:val="18"/>
                <w:rtl/>
              </w:rPr>
              <w:t>عدم تقارن اطلاعات (نمایندگی) و تفاوت نقش‌ها؛ فرضیه غیرجهت‌دار است و با تحلیل چندگروهی (MICOM و MGA) آزمون می‌شود.</w:t>
            </w:r>
          </w:p>
        </w:tc>
      </w:tr>
    </w:tbl>
    <w:p/>
    <w:p>
      <w:pPr>
        <w:spacing w:after="80"/>
        <w:bidi/>
        <w:jc w:val="right"/>
      </w:pPr>
      <w:r>
        <w:rPr>
          <w:rFonts w:ascii="Arial" w:hAnsi="Arial" w:cs="Arial"/>
          <w:b/>
          <w:i w:val="0"/>
          <w:color w:val="1F3864"/>
          <w:sz w:val="24"/>
          <w:rtl/>
        </w:rPr>
        <w:t>3-1. ملاحظات عملیاتی</w:t>
      </w:r>
    </w:p>
    <w:p>
      <w:pPr>
        <w:spacing w:after="40"/>
        <w:bidi/>
        <w:jc w:val="right"/>
      </w:pPr>
      <w:r>
        <w:rPr>
          <w:rFonts w:ascii="Arial" w:hAnsi="Arial" w:cs="Arial"/>
          <w:rtl/>
        </w:rPr>
        <w:t>• اندازه‌گیری: گویه‌ها از مولفه‌های اعتبارسنجی‌شده دلفی ساخته می‌شوند. مولفه‌ها اغلب شاخص‌های شکل‌دهنده‌اند؛ نوع اندازه‌گیری (بازتابی یا شکل‌دهنده) هر سازه از ابتدا مشخص و توجیه شود.</w:t>
      </w:r>
    </w:p>
    <w:p>
      <w:pPr>
        <w:spacing w:after="40"/>
        <w:bidi/>
        <w:jc w:val="right"/>
      </w:pPr>
      <w:r>
        <w:rPr>
          <w:rFonts w:ascii="Arial" w:hAnsi="Arial" w:cs="Arial"/>
          <w:rtl/>
        </w:rPr>
        <w:t>• گروه (سازمان در برابر حسابرس) متغیر طبقه‌ای برای MGA است؛ قبل از مقایسه، ثبات اندازه‌گیری (MICOM) بررسی می‌شود.</w:t>
      </w:r>
    </w:p>
    <w:p>
      <w:pPr>
        <w:spacing w:after="40"/>
        <w:bidi/>
        <w:jc w:val="right"/>
      </w:pPr>
      <w:r>
        <w:rPr>
          <w:rFonts w:ascii="Arial" w:hAnsi="Arial" w:cs="Arial"/>
          <w:rtl/>
        </w:rPr>
        <w:t>• کنترل‌ها: اندازه، صنعت، سابقه، گواهینامه حرفه‌ای، نوع حسابرس.</w:t>
      </w:r>
    </w:p>
    <w:p>
      <w:pPr>
        <w:spacing w:after="40"/>
        <w:bidi/>
        <w:jc w:val="right"/>
      </w:pPr>
      <w:r>
        <w:rPr>
          <w:rFonts w:ascii="Arial" w:hAnsi="Arial" w:cs="Arial"/>
          <w:rtl/>
        </w:rPr>
        <w:t>• سوگیری روش مشترک: ناشناس‌بودن، آزمون VIF کامل و در صورت نیاز روش نشانگر مارکر.</w:t>
      </w:r>
    </w:p>
    <w:p>
      <w:pPr>
        <w:spacing w:after="20"/>
      </w:pPr>
    </w:p>
    <w:p>
      <w:pPr>
        <w:spacing w:after="140"/>
        <w:bidi/>
        <w:jc w:val="right"/>
      </w:pPr>
      <w:r>
        <w:rPr>
          <w:rFonts w:ascii="Arial" w:hAnsi="Arial" w:cs="Arial"/>
          <w:b/>
          <w:i w:val="0"/>
          <w:color w:val="1F3864"/>
          <w:sz w:val="30"/>
          <w:rtl/>
        </w:rPr>
        <w:t>4. نوآوری و سهم پژوهش</w:t>
      </w:r>
    </w:p>
    <w:p>
      <w:pPr>
        <w:spacing w:after="100"/>
        <w:bidi/>
        <w:jc w:val="right"/>
      </w:pPr>
      <w:r>
        <w:rPr>
          <w:rFonts w:ascii="Arial" w:hAnsi="Arial" w:cs="Arial"/>
          <w:b w:val="0"/>
          <w:i w:val="0"/>
          <w:rtl/>
        </w:rPr>
        <w:t>ادعاها محتاطانه و بر پایه جست‌وجوهای انجام‌شده نوشته شده‌اند و باید قبل از ارسال با جست‌وجوی تازه تأیید شوند.</w:t>
      </w:r>
    </w:p>
    <w:p>
      <w:pPr>
        <w:spacing w:after="40"/>
        <w:bidi/>
        <w:jc w:val="right"/>
      </w:pPr>
      <w:r>
        <w:rPr>
          <w:rFonts w:ascii="Arial" w:hAnsi="Arial" w:cs="Arial"/>
          <w:rtl/>
        </w:rPr>
        <w:t>• مدل دو‌دیدگاهی: مولفه‌ها هم از دید سازمان مورد رسیدگی و هم از دید حسابرس شناسایی و اعتبارسنجی می‌شوند و مولفه‌های مشترک پل بین دو دیدگاه‌اند. این کار چارچوب‌های سازمان‌محور (NIST، ISO، SOC for Cybersecurity) و استانداردهای حسابرسی (ISA 315 و مرتبط) را در یک مدل ادغام می‌کند.</w:t>
      </w:r>
    </w:p>
    <w:p>
      <w:pPr>
        <w:spacing w:after="40"/>
        <w:bidi/>
        <w:jc w:val="right"/>
      </w:pPr>
      <w:r>
        <w:rPr>
          <w:rFonts w:ascii="Arial" w:hAnsi="Arial" w:cs="Arial"/>
          <w:rtl/>
        </w:rPr>
        <w:t>• ترکیب سه لایه: مدل ریسک، چرخه مدیریت و لایه اطمینان‌بخشی در یک مدل، در حالی که بسیاری از پژوهش‌های بررسی‌شده فقط یک لایه را پوشش می‌دهند.</w:t>
      </w:r>
    </w:p>
    <w:p>
      <w:pPr>
        <w:spacing w:after="40"/>
        <w:bidi/>
        <w:jc w:val="right"/>
      </w:pPr>
      <w:r>
        <w:rPr>
          <w:rFonts w:ascii="Arial" w:hAnsi="Arial" w:cs="Arial"/>
          <w:rtl/>
        </w:rPr>
        <w:t>• بومی‌سازی: اعتبارسنجی با خبرگان ایرانی در محیط مقرراتی و تحریمی، برای اقتصادی نوظهور که شواهد خاص ارزیابی ریسک سایبری در حسابرسی آن محدود است.</w:t>
      </w:r>
    </w:p>
    <w:p>
      <w:pPr>
        <w:spacing w:after="40"/>
        <w:bidi/>
        <w:jc w:val="right"/>
      </w:pPr>
      <w:r>
        <w:rPr>
          <w:rFonts w:ascii="Arial" w:hAnsi="Arial" w:cs="Arial"/>
          <w:rtl/>
        </w:rPr>
        <w:t>• ماتریس ردیابی‌پذیر: هر مولفه به بند‌های استانداردهای تأییدشده و پیشینه ارجاع داده می‌شود (فایل Excel).</w:t>
      </w:r>
    </w:p>
    <w:p>
      <w:pPr>
        <w:spacing w:after="40"/>
        <w:bidi/>
        <w:jc w:val="right"/>
      </w:pPr>
      <w:r>
        <w:rPr>
          <w:rFonts w:ascii="Arial" w:hAnsi="Arial" w:cs="Arial"/>
          <w:rtl/>
        </w:rPr>
        <w:t>• از مولفه به ساختار: مسیر مشخص از دلفی (اعتبارسنجی و طبقه‌بندی گویه‌ها) به مدل ساختاری، با فرضیه‌های جدید درباره نقش تعدیل‌گر همکاری حسابرس–متخصص (H4) و تفاوت دو گروه (H10).</w:t>
      </w:r>
    </w:p>
    <w:p>
      <w:pPr>
        <w:spacing w:after="40"/>
        <w:bidi/>
        <w:jc w:val="right"/>
      </w:pPr>
      <w:r>
        <w:rPr>
          <w:rFonts w:ascii="Arial" w:hAnsi="Arial" w:cs="Arial"/>
          <w:rtl/>
        </w:rPr>
        <w:t>• سهم عملی: ابزاری برای حسابرسان، مدیران امنیت، حسابرسان داخلی و نهادهای ناظر برای طراحی برنامه ارزیابی ریسک سایبری و تدوین الزامات.</w:t>
      </w:r>
    </w:p>
    <w:p>
      <w:pPr>
        <w:spacing w:after="20"/>
      </w:pPr>
    </w:p>
    <w:p>
      <w:pPr>
        <w:spacing w:after="140"/>
        <w:bidi/>
        <w:jc w:val="right"/>
      </w:pPr>
      <w:r>
        <w:rPr>
          <w:rFonts w:ascii="Arial" w:hAnsi="Arial" w:cs="Arial"/>
          <w:b/>
          <w:i w:val="0"/>
          <w:color w:val="1F3864"/>
          <w:sz w:val="30"/>
          <w:rtl/>
        </w:rPr>
        <w:t>5. محدودیت‌های ادعا و گام‌های بعدی</w:t>
      </w:r>
    </w:p>
    <w:p>
      <w:pPr>
        <w:spacing w:after="40"/>
        <w:bidi/>
        <w:jc w:val="right"/>
      </w:pPr>
      <w:r>
        <w:rPr>
          <w:rFonts w:ascii="Arial" w:hAnsi="Arial" w:cs="Arial"/>
          <w:rtl/>
        </w:rPr>
        <w:t>• ادعای «نبود پژوهش ایرانی» موقتی است. جست‌وجوی فارسی (SID، Magiran، ISC، Civilica) با کلیدواژه‌های حسابرسی امنیت سایبری، ارزیابی ریسک سایبری و حسابرسی فناوری اطلاعات باید انجام و مستند شود.</w:t>
      </w:r>
    </w:p>
    <w:p>
      <w:pPr>
        <w:spacing w:after="40"/>
        <w:bidi/>
        <w:jc w:val="right"/>
      </w:pPr>
      <w:r>
        <w:rPr>
          <w:rFonts w:ascii="Arial" w:hAnsi="Arial" w:cs="Arial"/>
          <w:rtl/>
        </w:rPr>
        <w:t>• متن کامل مقالات کلیدی (به‌ویژه Slapničar et al. 2026، Chen et al. 2025 و Alzeban et al. 2025) را بخوانید و اعداد و یافته‌های دقیق را از متن بردارید.</w:t>
      </w:r>
    </w:p>
    <w:p>
      <w:pPr>
        <w:spacing w:after="40"/>
        <w:bidi/>
        <w:jc w:val="right"/>
      </w:pPr>
      <w:r>
        <w:rPr>
          <w:rFonts w:ascii="Arial" w:hAnsi="Arial" w:cs="Arial"/>
          <w:rtl/>
        </w:rPr>
        <w:t>• [IR-1] و [IR-2] برای ارجاع نهایی هنوز نویسنده و عنوان کامل ندارند؛ مشخصات را از منبع بردارید.</w:t>
      </w:r>
    </w:p>
    <w:p>
      <w:pPr>
        <w:spacing w:after="40"/>
        <w:bidi/>
        <w:jc w:val="right"/>
      </w:pPr>
      <w:r>
        <w:rPr>
          <w:rFonts w:ascii="Arial" w:hAnsi="Arial" w:cs="Arial"/>
          <w:rtl/>
        </w:rPr>
        <w:t>• ماتریس و بندهای استانداردها را با متن رسمی تطبیق دهید (شیت منابع_رسمی).</w:t>
      </w:r>
    </w:p>
    <w:p>
      <w:pPr>
        <w:spacing w:after="40"/>
        <w:bidi/>
        <w:jc w:val="right"/>
      </w:pPr>
      <w:r>
        <w:rPr>
          <w:rFonts w:ascii="Arial" w:hAnsi="Arial" w:cs="Arial"/>
          <w:rtl/>
        </w:rPr>
        <w:t>• پیش از ارسال، جست‌وجوی منابع تازه (2026 تا زمان ارسال) را تکرار کنید.</w:t>
      </w:r>
    </w:p>
    <w:p>
      <w:pPr>
        <w:spacing w:after="20"/>
      </w:pPr>
    </w:p>
    <w:p>
      <w:pPr>
        <w:spacing w:after="140"/>
        <w:bidi/>
        <w:jc w:val="right"/>
      </w:pPr>
      <w:r>
        <w:rPr>
          <w:rFonts w:ascii="Arial" w:hAnsi="Arial" w:cs="Arial"/>
          <w:b/>
          <w:i w:val="0"/>
          <w:color w:val="1F3864"/>
          <w:sz w:val="30"/>
          <w:rtl/>
        </w:rPr>
        <w:t>منابع</w:t>
      </w:r>
    </w:p>
    <w:p>
      <w:pPr>
        <w:spacing w:after="100"/>
        <w:bidi/>
        <w:jc w:val="right"/>
      </w:pPr>
      <w:r>
        <w:rPr>
          <w:rFonts w:ascii="Arial" w:hAnsi="Arial" w:cs="Arial"/>
          <w:b w:val="0"/>
          <w:i w:val="0"/>
          <w:color w:val="5A5A5A"/>
          <w:sz w:val="18"/>
          <w:rtl/>
        </w:rPr>
        <w:t>وضعیت هر منبع: V = مشخصات کتاب‌شناختی با جست‌وجو تأیید شد؛ P = بخشی تأیید شد (توضیح در قلاب)؛ K = منبع کلاسیک که در این جلسه دوباره جست‌وجو نشد.</w:t>
      </w:r>
    </w:p>
    <w:p>
      <w:pPr>
        <w:spacing w:after="60"/>
        <w:jc w:val="left"/>
      </w:pPr>
      <w:r>
        <w:rPr>
          <w:b w:val="0"/>
          <w:i w:val="0"/>
          <w:sz w:val="18"/>
        </w:rPr>
        <w:t>[P] Alzeban, A., Al-Hajaya, K., Sawan, N., Chammaa, H., &amp; Foster, J. (2025). The quality of cybersecurity audits: Do synergies among the chief audit executive, IT governance and internal audit functions matter? Managerial Auditing Journal. [volume, pages and DOI to be confirmed]</w:t>
      </w:r>
    </w:p>
    <w:p>
      <w:pPr>
        <w:spacing w:after="60"/>
        <w:jc w:val="left"/>
      </w:pPr>
      <w:r>
        <w:rPr>
          <w:b w:val="0"/>
          <w:i w:val="0"/>
          <w:sz w:val="18"/>
        </w:rPr>
        <w:t>[V] Armenia, S., Angelini, M., Nonino, F., Palombi, G., &amp; Schlitzer, M. F. (2021). A dynamic simulation approach to support the evaluation of cyber risks and security investments in SMEs. Decision Support Systems, 147, 113580. https://doi.org/10.1016/j.dss.2021.113580</w:t>
      </w:r>
    </w:p>
    <w:p>
      <w:pPr>
        <w:spacing w:after="60"/>
        <w:jc w:val="left"/>
      </w:pPr>
      <w:r>
        <w:rPr>
          <w:b w:val="0"/>
          <w:i w:val="0"/>
          <w:sz w:val="18"/>
        </w:rPr>
        <w:t>[K] Barney, J. (1991). Firm resources and sustained competitive advantage. Journal of Management, 17(1), 99–120.</w:t>
      </w:r>
    </w:p>
    <w:p>
      <w:pPr>
        <w:spacing w:after="60"/>
        <w:jc w:val="left"/>
      </w:pPr>
      <w:r>
        <w:rPr>
          <w:b w:val="0"/>
          <w:i w:val="0"/>
          <w:sz w:val="18"/>
        </w:rPr>
        <w:t>[V] Bedard, J. C., Graham, L., &amp; Jackson, C. (2005). Information systems risk and audit planning. International Journal of Auditing, 9, 147–163. https://doi.org/10.1111/j.1099-1123.2005.00267.x</w:t>
      </w:r>
    </w:p>
    <w:p>
      <w:pPr>
        <w:spacing w:after="60"/>
        <w:jc w:val="left"/>
      </w:pPr>
      <w:r>
        <w:rPr>
          <w:b w:val="0"/>
          <w:i w:val="0"/>
          <w:sz w:val="18"/>
        </w:rPr>
        <w:t>[V] Cernovschi, C.-R., Ciubotariu, M.-S., &amp; Mihăilă, S. (2025). Integrating cybersecurity into internal audit through a self-assessment tool based on a systematic literature review. Economy and Sociology, (1), 43–54. https://doi.org/10.36004/nier.es.2025.1-08</w:t>
      </w:r>
    </w:p>
    <w:p>
      <w:pPr>
        <w:spacing w:after="60"/>
        <w:jc w:val="left"/>
      </w:pPr>
      <w:r>
        <w:rPr>
          <w:b w:val="0"/>
          <w:i w:val="0"/>
          <w:sz w:val="18"/>
        </w:rPr>
        <w:t>[P] Chen, X., et al. (2025). Fortifying the nonbreached: Auditors' role in cybersecurity risk management. Auditing: A Journal of Practice &amp; Theory. Advance online publication, 18 August 2025. [author list, volume, pages and DOI to be confirmed]</w:t>
      </w:r>
    </w:p>
    <w:p>
      <w:pPr>
        <w:spacing w:after="60"/>
        <w:jc w:val="left"/>
      </w:pPr>
      <w:r>
        <w:rPr>
          <w:b w:val="0"/>
          <w:i w:val="0"/>
          <w:sz w:val="18"/>
        </w:rPr>
        <w:t>[V] 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jc w:val="left"/>
      </w:pPr>
      <w:r>
        <w:rPr>
          <w:b w:val="0"/>
          <w:i w:val="0"/>
          <w:sz w:val="18"/>
        </w:rPr>
        <w:t>[K] DiMaggio, P. J., &amp; Powell, W. W. (1983). The iron cage revisited: Institutional isomorphism and collective rationality in organizational fields. American Sociological Review, 48(2), 147–160.</w:t>
      </w:r>
    </w:p>
    <w:p>
      <w:pPr>
        <w:spacing w:after="60"/>
        <w:jc w:val="left"/>
      </w:pPr>
      <w:r>
        <w:rPr>
          <w:b w:val="0"/>
          <w:i w:val="0"/>
          <w:sz w:val="18"/>
        </w:rPr>
        <w:t>[K] Donaldson, L. (2001). The contingency theory of organizations. Sage.</w:t>
      </w:r>
    </w:p>
    <w:p>
      <w:pPr>
        <w:spacing w:after="60"/>
        <w:jc w:val="left"/>
      </w:pPr>
      <w:r>
        <w:rPr>
          <w:b w:val="0"/>
          <w:i w:val="0"/>
          <w:sz w:val="18"/>
        </w:rPr>
        <w:t>[V] Ganin, A. A., Quach, P., Panwar, M., Collier, Z. A., Keisler, J. M., Marchese, D., &amp; Linkov, I. (2020). Multicriteria decision framework for cybersecurity risk assessment and management. Risk Analysis, 40(1), 183–199. [DOI to be confirmed]</w:t>
      </w:r>
    </w:p>
    <w:p>
      <w:pPr>
        <w:spacing w:after="60"/>
        <w:jc w:val="left"/>
      </w:pPr>
      <w:r>
        <w:rPr>
          <w:b w:val="0"/>
          <w:i w:val="0"/>
          <w:sz w:val="18"/>
        </w:rPr>
        <w:t>[V] Gordon, L. A., &amp; Loeb, M. P. (2002). The economics of information security investment. ACM Transactions on Information and System Security, 5(4), 438–457. https://doi.org/10.1145/581271.581274</w:t>
      </w:r>
    </w:p>
    <w:p>
      <w:pPr>
        <w:spacing w:after="60"/>
        <w:jc w:val="left"/>
      </w:pPr>
      <w:r>
        <w:rPr>
          <w:b w:val="0"/>
          <w:i w:val="0"/>
          <w:sz w:val="18"/>
        </w:rPr>
        <w:t>[V] Hermanson, D. R., Hill, M. C., &amp; Ivancevich, D. M. (2000). Information technology-related activities of internal auditors. Journal of Information Systems, 14(Supplement), 40–53.</w:t>
      </w:r>
    </w:p>
    <w:p>
      <w:pPr>
        <w:spacing w:after="60"/>
        <w:jc w:val="left"/>
      </w:pPr>
      <w:r>
        <w:rPr>
          <w:b w:val="0"/>
          <w:i w:val="0"/>
          <w:sz w:val="18"/>
        </w:rPr>
        <w:t>[V] Higgs, J. L., Pinsker, R. E., Smith, T. J., &amp; Young, G. R. (2016). The relationship between board-level technology committees and reported security breaches. Journal of Information Systems, 30(3), 79–98. https://doi.org/10.2308/isys-51402</w:t>
      </w:r>
    </w:p>
    <w:p>
      <w:pPr>
        <w:spacing w:after="60"/>
        <w:jc w:val="left"/>
      </w:pPr>
      <w:r>
        <w:rPr>
          <w:b w:val="0"/>
          <w:i w:val="0"/>
          <w:sz w:val="18"/>
        </w:rPr>
        <w:t>[V] Islam, M. S., Farah, N., &amp; Stafford, T. F. (2018). Factors associated with security/cybersecurity audit by internal audit function: An international study. Managerial Auditing Journal, 33(4), 377–409. https://doi.org/10.1108/MAJ-07-2017-1595</w:t>
      </w:r>
    </w:p>
    <w:p>
      <w:pPr>
        <w:spacing w:after="60"/>
        <w:jc w:val="left"/>
      </w:pPr>
      <w:r>
        <w:rPr>
          <w:b w:val="0"/>
          <w:i w:val="0"/>
          <w:sz w:val="18"/>
        </w:rPr>
        <w:t>[K] Jensen, M. C., &amp; Meckling, W. H. (1976). Theory of the firm: Managerial behavior, agency costs and ownership structure. Journal of Financial Economics, 3(4), 305–360.</w:t>
      </w:r>
    </w:p>
    <w:p>
      <w:pPr>
        <w:spacing w:after="60"/>
        <w:jc w:val="left"/>
      </w:pPr>
      <w:r>
        <w:rPr>
          <w:b w:val="0"/>
          <w:i w:val="0"/>
          <w:sz w:val="18"/>
        </w:rPr>
        <w:t>[V] Kahyaoğlu, S. B., &amp; Çalıyurt, K. (2018). Cyber security assurance process from the internal audit perspective. Managerial Auditing Journal, 33(4), 360–376. https://doi.org/10.1108/MAJ-02-2018-1804</w:t>
      </w:r>
    </w:p>
    <w:p>
      <w:pPr>
        <w:spacing w:after="60"/>
        <w:jc w:val="left"/>
      </w:pPr>
      <w:r>
        <w:rPr>
          <w:b w:val="0"/>
          <w:i w:val="0"/>
          <w:sz w:val="18"/>
        </w:rPr>
        <w:t>[P] Kurniawan, Y., &amp; Mulyawan, A. N. (2023). The role of external auditors in improving cybersecurity of the companies through internal control in financial reporting. Journal of System and Management Sciences. [author order, volume and pages to be confirmed]</w:t>
      </w:r>
    </w:p>
    <w:p>
      <w:pPr>
        <w:spacing w:after="60"/>
        <w:jc w:val="left"/>
      </w:pPr>
      <w:r>
        <w:rPr>
          <w:b w:val="0"/>
          <w:i w:val="0"/>
          <w:sz w:val="18"/>
        </w:rPr>
        <w:t>[V] Li, H., No, W. G., &amp; Boritz, J. E. (2020). Are external auditors concerned about cyber incidents? Evidence from audit fees. Auditing: A Journal of Practice &amp; Theory, 39(1), 151–171.</w:t>
      </w:r>
    </w:p>
    <w:p>
      <w:pPr>
        <w:spacing w:after="60"/>
        <w:jc w:val="left"/>
      </w:pPr>
      <w:r>
        <w:rPr>
          <w:b w:val="0"/>
          <w:i w:val="0"/>
          <w:sz w:val="18"/>
        </w:rPr>
        <w:t>[V] Sari, Y. P., Suhardjanto, D., Probohudono, A. N., &amp; Honggowati, S. (2023). Cyber risk management disclosure of state-owned enterprises. Jurnal Dinamika Akuntansi, 15(2), 180–190. https://doi.org/10.15294/jda.v15i2.44817</w:t>
      </w:r>
    </w:p>
    <w:p>
      <w:pPr>
        <w:spacing w:after="60"/>
        <w:jc w:val="left"/>
      </w:pPr>
      <w:r>
        <w:rPr>
          <w:b w:val="0"/>
          <w:i w:val="0"/>
          <w:sz w:val="18"/>
        </w:rPr>
        <w:t>[V] Slapničar, S., Vuko, T., Čular, M., &amp; Drašček, M. (2022). Effectiveness of cybersecurity audit. International Journal of Accounting Information Systems, 44, 100548. https://doi.org/10.1016/j.accinf.2021.100548</w:t>
      </w:r>
    </w:p>
    <w:p>
      <w:pPr>
        <w:spacing w:after="60"/>
        <w:jc w:val="left"/>
      </w:pPr>
      <w:r>
        <w:rPr>
          <w:b w:val="0"/>
          <w:i w:val="0"/>
          <w:sz w:val="18"/>
        </w:rPr>
        <w:t>[P] Slapničar, S., Vuko, T., Čular, M., &amp; Drašček, M. (2026). Collaborating across boundaries: Toward an integrated cyber risk assessment by internal auditors and cybersecurity professionals. Contemporary Accounting Research, 43(2), 1034–1063. https://doi.org/10.1111/1911-3846.70052 [abstract not read; cited at title level]</w:t>
      </w:r>
    </w:p>
    <w:p>
      <w:pPr>
        <w:spacing w:after="60"/>
        <w:jc w:val="left"/>
      </w:pPr>
      <w:r>
        <w:rPr>
          <w:b w:val="0"/>
          <w:i w:val="0"/>
          <w:sz w:val="18"/>
        </w:rPr>
        <w:t>[V] 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jc w:val="left"/>
      </w:pPr>
      <w:r>
        <w:rPr>
          <w:b w:val="0"/>
          <w:i w:val="0"/>
          <w:sz w:val="18"/>
        </w:rPr>
        <w:t>[K] Teece, D. J., Pisano, G., &amp; Shuen, A. (1997). Dynamic capabilities and strategic management. Strategic Management Journal, 18(7), 509–533.</w:t>
      </w:r>
    </w:p>
    <w:p>
      <w:pPr>
        <w:spacing w:after="60"/>
        <w:jc w:val="left"/>
      </w:pPr>
      <w:r>
        <w:rPr>
          <w:b w:val="0"/>
          <w:i w:val="0"/>
          <w:sz w:val="18"/>
        </w:rPr>
        <w:t>[V] Vuko, T., Slapničar, S., Čular, M., &amp; Drašček, M. (2024). Key drivers of cybersecurity audit effectiveness: A neo-institutional perspective. International Journal of Auditing, 29(1), 188–206. https://doi.org/10.1111/ijau.12365</w:t>
      </w:r>
    </w:p>
    <w:p>
      <w:pPr>
        <w:spacing w:after="60"/>
        <w:jc w:val="left"/>
      </w:pPr>
      <w:r>
        <w:rPr>
          <w:b w:val="0"/>
          <w:i w:val="0"/>
          <w:sz w:val="18"/>
        </w:rPr>
        <w:t>[V] Wang, J., Neil, M., &amp; Fenton, N. (2020). A Bayesian network approach for cybersecurity risk assessment implementing and extending the FAIR model. Computers &amp; Security, 89, 101659. https://doi.org/10.1016/j.cose.2019.101659</w:t>
      </w:r>
    </w:p>
    <w:p>
      <w:pPr>
        <w:spacing w:after="60"/>
        <w:jc w:val="left"/>
      </w:pPr>
      <w:r>
        <w:rPr>
          <w:b w:val="0"/>
          <w:i w:val="0"/>
          <w:sz w:val="18"/>
        </w:rPr>
        <w:t>[V] Wangen, G., Hallstensen, C., &amp; Snekkenes, E. (2018). A framework for estimating information security risk assessment method completeness: Core Unified Risk Framework, CURF. International Journal of Information Security, 17(6), 681–699. https://doi.org/10.1007/s10207-017-0382-0</w:t>
      </w:r>
    </w:p>
    <w:p>
      <w:pPr>
        <w:spacing w:after="60"/>
        <w:jc w:val="left"/>
      </w:pPr>
      <w:r>
        <w:rPr>
          <w:b/>
          <w:i w:val="0"/>
          <w:sz w:val="20"/>
        </w:rPr>
        <w:t>Standards and frameworks</w:t>
      </w:r>
    </w:p>
    <w:p>
      <w:pPr>
        <w:spacing w:after="60"/>
        <w:jc w:val="left"/>
      </w:pPr>
      <w:r>
        <w:rPr>
          <w:b w:val="0"/>
          <w:i w:val="0"/>
          <w:sz w:val="18"/>
        </w:rPr>
        <w:t>AICPA. (2017). 2017 Trust Services Criteria for Security, Availability, Processing Integrity, Confidentiality, and Privacy (With Revised Points of Focus—2022). TSP Section 100.</w:t>
      </w:r>
    </w:p>
    <w:p>
      <w:pPr>
        <w:spacing w:after="60"/>
        <w:jc w:val="left"/>
      </w:pPr>
      <w:r>
        <w:rPr>
          <w:b w:val="0"/>
          <w:i w:val="0"/>
          <w:sz w:val="18"/>
        </w:rPr>
        <w:t>AICPA. (2017). Description Criteria for Management's Description of an Entity's Cybersecurity Risk Management Program (DC section 100) — SOC for Cybersecurity.</w:t>
      </w:r>
    </w:p>
    <w:p>
      <w:pPr>
        <w:spacing w:after="60"/>
        <w:jc w:val="left"/>
      </w:pPr>
      <w:r>
        <w:rPr>
          <w:b w:val="0"/>
          <w:i w:val="0"/>
          <w:sz w:val="18"/>
        </w:rPr>
        <w:t>COSO. (2017). Enterprise Risk Management — Integrating with Strategy and Performance. [not re-checked in this session]</w:t>
      </w:r>
    </w:p>
    <w:p>
      <w:pPr>
        <w:spacing w:after="60"/>
        <w:jc w:val="left"/>
      </w:pPr>
      <w:r>
        <w:rPr>
          <w:b w:val="0"/>
          <w:i w:val="0"/>
          <w:sz w:val="18"/>
        </w:rPr>
        <w:t>IAASB. International Standard on Auditing 315 (Revised 2019), Identifying and Assessing the Risks of Material Misstatement (effective for periods beginning on or after 15 December 2021).</w:t>
      </w:r>
    </w:p>
    <w:p>
      <w:pPr>
        <w:spacing w:after="60"/>
        <w:jc w:val="left"/>
      </w:pPr>
      <w:r>
        <w:rPr>
          <w:b w:val="0"/>
          <w:i w:val="0"/>
          <w:sz w:val="18"/>
        </w:rPr>
        <w:t>IAASB. ISA 200, 240, 250, 260, 265, 330, 402, 500, 620 — current editions to be confirmed on iaasb.org.</w:t>
      </w:r>
    </w:p>
    <w:p>
      <w:pPr>
        <w:spacing w:after="60"/>
        <w:jc w:val="left"/>
      </w:pPr>
      <w:r>
        <w:rPr>
          <w:b w:val="0"/>
          <w:i w:val="0"/>
          <w:sz w:val="18"/>
        </w:rPr>
        <w:t>IIA. (2024). Global Internal Audit Standards (issued 9 January 2024; effective 9 January 2025).</w:t>
      </w:r>
    </w:p>
    <w:p>
      <w:pPr>
        <w:spacing w:after="60"/>
        <w:jc w:val="left"/>
      </w:pPr>
      <w:r>
        <w:rPr>
          <w:b w:val="0"/>
          <w:i w:val="0"/>
          <w:sz w:val="18"/>
        </w:rPr>
        <w:t>IIA. (2025). Cybersecurity Topical Requirement (issued 5 February 2025; effective 5 February 2026).</w:t>
      </w:r>
    </w:p>
    <w:p>
      <w:pPr>
        <w:spacing w:after="60"/>
        <w:jc w:val="left"/>
      </w:pPr>
      <w:r>
        <w:rPr>
          <w:b w:val="0"/>
          <w:i w:val="0"/>
          <w:sz w:val="18"/>
        </w:rPr>
        <w:t>IIA. (2020). The IIA's Three Lines Model. [the position paper has since been superseded; check the current IIA statement before citing]</w:t>
      </w:r>
    </w:p>
    <w:p>
      <w:pPr>
        <w:spacing w:after="60"/>
        <w:jc w:val="left"/>
      </w:pPr>
      <w:r>
        <w:rPr>
          <w:b w:val="0"/>
          <w:i w:val="0"/>
          <w:sz w:val="18"/>
        </w:rPr>
        <w:t>ISACA. (2019). COBIT 2019 Framework. [not re-checked in this session]</w:t>
      </w:r>
    </w:p>
    <w:p>
      <w:pPr>
        <w:spacing w:after="60"/>
        <w:jc w:val="left"/>
      </w:pPr>
      <w:r>
        <w:rPr>
          <w:b w:val="0"/>
          <w:i w:val="0"/>
          <w:sz w:val="18"/>
        </w:rPr>
        <w:t>ISO. (2018). ISO 31000:2018 Risk management — Guidelines.</w:t>
      </w:r>
    </w:p>
    <w:p>
      <w:pPr>
        <w:spacing w:after="60"/>
        <w:jc w:val="left"/>
      </w:pPr>
      <w:r>
        <w:rPr>
          <w:b w:val="0"/>
          <w:i w:val="0"/>
          <w:sz w:val="18"/>
        </w:rPr>
        <w:t>ISO/IEC. (2022). ISO/IEC 27001:2022 Information security, cybersecurity and privacy protection — Information security management systems — Requirements.</w:t>
      </w:r>
    </w:p>
    <w:p>
      <w:pPr>
        <w:spacing w:after="60"/>
        <w:jc w:val="left"/>
      </w:pPr>
      <w:r>
        <w:rPr>
          <w:b w:val="0"/>
          <w:i w:val="0"/>
          <w:sz w:val="18"/>
        </w:rPr>
        <w:t>ISO/IEC. (2022). ISO/IEC 27002:2022 Information security controls.</w:t>
      </w:r>
    </w:p>
    <w:p>
      <w:pPr>
        <w:spacing w:after="60"/>
        <w:jc w:val="left"/>
      </w:pPr>
      <w:r>
        <w:rPr>
          <w:b w:val="0"/>
          <w:i w:val="0"/>
          <w:sz w:val="18"/>
        </w:rPr>
        <w:t>ISO/IEC. (2022). ISO/IEC 27005:2022 Information security, cybersecurity and privacy protection — Guidance on managing information security risks (4th ed.).</w:t>
      </w:r>
    </w:p>
    <w:p>
      <w:pPr>
        <w:spacing w:after="60"/>
        <w:jc w:val="left"/>
      </w:pPr>
      <w:r>
        <w:rPr>
          <w:b w:val="0"/>
          <w:i w:val="0"/>
          <w:sz w:val="18"/>
        </w:rPr>
        <w:t>NIST. (2024). The NIST Cybersecurity Framework (CSF) 2.0 (NIST CSWP 29). https://doi.org/10.6028/NIST.CSWP.29</w:t>
      </w:r>
    </w:p>
    <w:p>
      <w:pPr>
        <w:spacing w:after="60"/>
        <w:jc w:val="left"/>
      </w:pPr>
      <w:r>
        <w:rPr>
          <w:b w:val="0"/>
          <w:i w:val="0"/>
          <w:sz w:val="18"/>
        </w:rPr>
        <w:t>NIST. (2012). Guide for Conducting Risk Assessments (SP 800-30 Rev. 1). [not re-checked in this session]</w:t>
      </w:r>
    </w:p>
    <w:p>
      <w:pPr>
        <w:spacing w:after="60"/>
        <w:jc w:val="left"/>
      </w:pPr>
      <w:r>
        <w:rPr>
          <w:b w:val="0"/>
          <w:i w:val="0"/>
          <w:sz w:val="18"/>
        </w:rPr>
        <w:t>NIST. (2025). Incident Response Recommendations and Considerations for Cybersecurity Risk Management: A CSF 2.0 Community Profile (SP 800-61 Rev. 3).</w:t>
      </w:r>
    </w:p>
    <w:p>
      <w:pPr>
        <w:spacing w:after="60"/>
        <w:jc w:val="left"/>
      </w:pPr>
      <w:r>
        <w:rPr>
          <w:b/>
          <w:i w:val="0"/>
          <w:sz w:val="20"/>
        </w:rPr>
        <w:t>Leads still to be completed</w:t>
      </w:r>
    </w:p>
    <w:p>
      <w:pPr>
        <w:spacing w:after="60"/>
        <w:jc w:val="left"/>
      </w:pPr>
      <w:r>
        <w:rPr>
          <w:b w:val="0"/>
          <w:i w:val="0"/>
          <w:sz w:val="18"/>
        </w:rPr>
        <w:t>[IR-1] 2024 interview study on the IT audit process in Iranian banking, published in Management Approaches (Rahyaftha-ye Modiriyat), vol. 13, issue 50 (Autumn 2024); authors, title and pages to be completed (found at ims.atu.ac.ir).</w:t>
      </w:r>
    </w:p>
    <w:p>
      <w:pPr>
        <w:spacing w:after="60"/>
        <w:jc w:val="left"/>
      </w:pPr>
      <w:r>
        <w:rPr>
          <w:b w:val="0"/>
          <w:i w:val="0"/>
          <w:sz w:val="18"/>
        </w:rPr>
        <w:t>[IR-2] Study on obstacles to implementing IT audit in Iran (Persian title: موانع اجرای حسابرسی فناوری اطلاعات در ایران); authors, journal and year to be completed (found at ensani.ir/fa/article/558666).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