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rFonts w:ascii="Tahoma" w:hAnsi="Tahoma" w:cs="Tahoma"/>
          <w:sz w:val="21"/>
          <w:szCs w:val="21"/>
          <w:rtl/>
        </w:rPr>
        <w:t xml:space="preserve">راهنمای جمع‌آوری داده: سال‌های مالی ۱۳۸۰ تا ۱۴۰۳</w:t>
      </w:r>
    </w:p>
    <w:p>
      <w:pPr>
        <w:pStyle w:val="Subtitle"/>
        <w:bidi/>
      </w:pPr>
      <w:r>
        <w:rPr>
          <w:rFonts w:ascii="Tahoma" w:hAnsi="Tahoma" w:cs="Tahoma"/>
          <w:sz w:val="21"/>
          <w:szCs w:val="21"/>
          <w:rtl/>
        </w:rPr>
        <w:t xml:space="preserve">برای مقاله انحراف ساختار سرمایه، توانایی مدیریت و کارایی سرمایه‌گذاری</w:t>
      </w:r>
    </w:p>
    <w:bookmarkStart w:id="9" w:name="آیا-این-بازه-زمانی-مرسوم-است"/>
    <w:p>
      <w:pPr>
        <w:pStyle w:val="Heading1"/>
        <w:bidi/>
      </w:pPr>
      <w:r>
        <w:rPr>
          <w:rFonts w:ascii="Tahoma" w:hAnsi="Tahoma" w:cs="Tahoma"/>
          <w:sz w:val="21"/>
          <w:szCs w:val="21"/>
          <w:rtl/>
        </w:rPr>
        <w:t xml:space="preserve">۱. آیا این بازه زمانی مرسوم است؟</w:t>
      </w:r>
    </w:p>
    <w:p>
      <w:pPr>
        <w:bidi/>
      </w:pPr>
      <w:r>
        <w:rPr>
          <w:rFonts w:ascii="Tahoma" w:hAnsi="Tahoma" w:cs="Tahoma"/>
          <w:sz w:val="21"/>
          <w:szCs w:val="21"/>
          <w:rtl/>
        </w:rPr>
        <w:t xml:space="preserve">بله. پژوهش‌های بین‌المللی کارایی سرمایه‌گذاری و ساختار سرمایه معمولاً دوره‌های ۱۵ تا ۳۰ ساله دارند. پژوهش‌های ایرانی بیشتر ۵ تا ۱۲ سال را بررسی می‌کنند، و دلیلش فقط دسترسی به داده است. دوره‌ی طولانی‌تر سه مزیت دارد:</w:t>
      </w:r>
    </w:p>
    <w:p>
      <w:pPr>
        <w:pStyle w:val="Compact"/>
        <w:numPr>
          <w:ilvl w:val="0"/>
          <w:numId w:val="1001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توان آماری بیشتر.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این برای اثرهای تعاملی (فرضیه‌های H2 و H3) مهم است.</w:t>
      </w:r>
    </w:p>
    <w:p>
      <w:pPr>
        <w:pStyle w:val="Compact"/>
        <w:numPr>
          <w:ilvl w:val="0"/>
          <w:numId w:val="1001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سوگیری کمتر در برآوردگرهای پویا.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سوگیری اثر ثابت (Nickell) با افزایش تعداد سال‌ها کوچک می‌شود.</w:t>
      </w:r>
    </w:p>
    <w:p>
      <w:pPr>
        <w:pStyle w:val="Compact"/>
        <w:numPr>
          <w:ilvl w:val="0"/>
          <w:numId w:val="1001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پوشش چند دوره‌ی اقتصادی متفاوت.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رونق دهه‌ی ۱۳۸۰، تحریم ۱۳۹۰–۱۳۹۲، برجام و تحریم دوباره از ۱۳۹۷. این تعمیم‌پذیری نتایج را بیشتر می‌کند.</w:t>
      </w:r>
    </w:p>
    <w:p>
      <w:pPr>
        <w:bidi/>
      </w:pPr>
      <w:r>
        <w:rPr>
          <w:rFonts w:ascii="Tahoma" w:hAnsi="Tahoma" w:cs="Tahoma"/>
          <w:sz w:val="21"/>
          <w:szCs w:val="21"/>
          <w:rtl/>
        </w:rPr>
        <w:t xml:space="preserve">داور احتمالاً دو چیز را می‌پرسد. هر دو در طرح پژوهش پیش‌بینی شده‌اند:</w:t>
      </w:r>
    </w:p>
    <w:p>
      <w:pPr>
        <w:pStyle w:val="Compact"/>
        <w:numPr>
          <w:ilvl w:val="0"/>
          <w:numId w:val="1002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تغییرات ساختاری.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آیا رابطه در طول دوره ثابت مانده است؟ اثر ثابت سال در همه‌ی مدل‌ها هست، و آزمون حساسیت S10 دوره‌ی ۱۳۹۵–۱۴۰۳ را جداگانه برآورد می‌کند.</w:t>
      </w:r>
    </w:p>
    <w:p>
      <w:pPr>
        <w:pStyle w:val="Compact"/>
        <w:numPr>
          <w:ilvl w:val="0"/>
          <w:numId w:val="1002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تعداد ابزارهای GMM.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با سال‌های بیشتر، تعداد ابزارها زیاد می‌شود. ابزارها در کد فشرده (collapsed) شده‌اند، پس تعدادشان با طول دوره زیاد نمی‌شود.</w:t>
      </w:r>
    </w:p>
    <w:bookmarkEnd w:id="9"/>
    <w:bookmarkStart w:id="10" w:name="غربالگری-شرکتها-خودکار-در-stata"/>
    <w:p>
      <w:pPr>
        <w:pStyle w:val="Heading1"/>
        <w:bidi/>
      </w:pPr>
      <w:r>
        <w:rPr>
          <w:rFonts w:ascii="Tahoma" w:hAnsi="Tahoma" w:cs="Tahoma"/>
          <w:sz w:val="21"/>
          <w:szCs w:val="21"/>
          <w:rtl/>
        </w:rPr>
        <w:t xml:space="preserve">۲. غربالگری شرکت‌ها: خودکار در Stata</w:t>
      </w:r>
    </w:p>
    <w:p>
      <w:pPr>
        <w:bidi/>
      </w:pPr>
      <w:r>
        <w:rPr>
          <w:rFonts w:ascii="Tahoma" w:hAnsi="Tahoma" w:cs="Tahoma"/>
          <w:sz w:val="21"/>
          <w:szCs w:val="21"/>
          <w:rtl/>
        </w:rPr>
        <w:t xml:space="preserve">غربالگری را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b/>
          <w:bCs/>
          <w:sz w:val="21"/>
          <w:szCs w:val="21"/>
          <w:rtl/>
        </w:rPr>
        <w:t xml:space="preserve">کد انجام می‌دهد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(فایل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05_screening.do</w:t>
      </w:r>
      <w:r>
        <w:rPr>
          <w:rFonts w:ascii="Tahoma" w:hAnsi="Tahoma" w:cs="Tahoma"/>
          <w:sz w:val="21"/>
          <w:szCs w:val="21"/>
          <w:rtl/>
        </w:rPr>
        <w:t xml:space="preserve">). شما فقط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b/>
          <w:bCs/>
          <w:sz w:val="21"/>
          <w:szCs w:val="21"/>
          <w:rtl/>
        </w:rPr>
        <w:t xml:space="preserve">همه‌ی داده‌ها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را در یک فایل می‌ریزید: هر دو بازار (بورس و فرابورس) و همه‌ی صنایع، بدون حذف هیچ شرکتی.</w:t>
      </w:r>
    </w:p>
    <w:tbl>
      <w:tblPr>
        <w:tblStyle w:val="Table"/>
        <w:bidiVisual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مرحله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کار کد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دلیل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همه‌ی سال-شرکت‌های ۱۳۸۰ تا ۱۴۰۳؛ ردیف‌های تکراری (یک شرکت، یک سال) گزارش و حذف می‌شوند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شرکت‌هایی که دیرتر پذیرفته یا زودتر خارج شده‌اند هم می‌مانند (پنل نامتوازن؛ جلوگیری از سوگیری بقا)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حذف سال-شرکت‌های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فرابورس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(ستون Market)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نمونه، شرکت‌های بورس تهران است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حذف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شرکت‌های مالی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از روی نام صنعت: بانک، بیمه، لیزینگ، سرمایه‌گذاری، هلدینگ و چندرشته‌ای، کارگزاری، صندوق، واسطه‌گری مالی، مؤسسات اعتباری، تأمین سرمایه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ساختار سرمایه و دارایی‌های آن‌ها قابل مقایسه نیست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حذف سال-شرکت‌های با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حقوق صاحبان سهام ≤ ۰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(در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Style w:val="VerbatimChar"/>
                <w:rFonts w:ascii="Tahoma" w:hAnsi="Tahoma" w:cs="Tahoma"/>
                <w:sz w:val="21"/>
                <w:szCs w:val="21"/>
                <w:rtl/>
              </w:rPr>
              <w:t xml:space="preserve">20_build.do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اهرم هدف تعریف نمی‌شود</w:t>
            </w:r>
          </w:p>
        </w:tc>
      </w:tr>
    </w:tbl>
    <w:p>
      <w:pPr>
        <w:pStyle w:val="Compact"/>
        <w:numPr>
          <w:ilvl w:val="0"/>
          <w:numId w:val="1003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سال مالی: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همه‌ی شرکت‌ها پایان اسفند هستند. در متن به‌عنوان ویژگی نمونه می‌آید، نه مرحله‌ی حذف.</w:t>
      </w:r>
    </w:p>
    <w:p>
      <w:pPr>
        <w:pStyle w:val="Compact"/>
        <w:numPr>
          <w:ilvl w:val="0"/>
          <w:numId w:val="1003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حداقل تعداد سال: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اعمال نمی‌شود. هر سال-شرکتی که داده‌ی سال‌های قبل را داشته باشد خودکار وارد برآورد می‌شود.</w:t>
      </w:r>
    </w:p>
    <w:p>
      <w:pPr>
        <w:pStyle w:val="Compact"/>
        <w:numPr>
          <w:ilvl w:val="0"/>
          <w:numId w:val="1003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توقف نماد: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داده‌اش در دسترس نیست و اعمال نمی‌شود. در بخش محدودیت‌ها یک جمله می‌آید.</w:t>
      </w:r>
    </w:p>
    <w:p>
      <w:p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خروجی‌ها:</w:t>
      </w:r>
    </w:p>
    <w:p>
      <w:pPr>
        <w:pStyle w:val="Compact"/>
        <w:numPr>
          <w:ilvl w:val="0"/>
          <w:numId w:val="1004"/>
        </w:numPr>
        <w:bidi/>
      </w:pPr>
      <w:r>
        <w:rPr>
          <w:rFonts w:ascii="Tahoma" w:hAnsi="Tahoma" w:cs="Tahoma"/>
          <w:sz w:val="21"/>
          <w:szCs w:val="21"/>
          <w:rtl/>
        </w:rPr>
        <w:t xml:space="preserve">برگه‌ی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T0_sample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در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Tables.xlsx</w:t>
      </w:r>
      <w:r>
        <w:rPr>
          <w:rFonts w:ascii="Tahoma" w:hAnsi="Tahoma" w:cs="Tahoma"/>
          <w:sz w:val="21"/>
          <w:szCs w:val="21"/>
          <w:rtl/>
        </w:rPr>
        <w:t xml:space="preserve">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b/>
          <w:bCs/>
          <w:sz w:val="21"/>
          <w:szCs w:val="21"/>
          <w:rtl/>
        </w:rPr>
        <w:t xml:space="preserve">جدول کامل غربالگری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با تعداد شرکت و سال-شرکت در هر مرحله، آماده برای بخش 3.1 مقاله.</w:t>
      </w:r>
    </w:p>
    <w:p>
      <w:pPr>
        <w:pStyle w:val="Compact"/>
        <w:numPr>
          <w:ilvl w:val="0"/>
          <w:numId w:val="1004"/>
        </w:numPr>
        <w:bidi/>
      </w:pPr>
      <w:r>
        <w:rPr>
          <w:rFonts w:ascii="Tahoma" w:hAnsi="Tahoma" w:cs="Tahoma"/>
          <w:sz w:val="21"/>
          <w:szCs w:val="21"/>
          <w:rtl/>
        </w:rPr>
        <w:t xml:space="preserve">فایل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Screening_check.xlsx</w:t>
      </w:r>
      <w:r>
        <w:rPr>
          <w:rFonts w:ascii="Tahoma" w:hAnsi="Tahoma" w:cs="Tahoma"/>
          <w:sz w:val="21"/>
          <w:szCs w:val="21"/>
          <w:rtl/>
        </w:rPr>
        <w:t xml:space="preserve">: فهرست صنایع حذف‌شده به‌عنوان مالی، فهرست صنایع باقی‌مانده، و ردیف‌های تکراری.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b/>
          <w:bCs/>
          <w:sz w:val="21"/>
          <w:szCs w:val="21"/>
          <w:rtl/>
        </w:rPr>
        <w:t xml:space="preserve">بعد از اولین اجرا حتماً فهرست صنایع حذف‌شده را نگاه کنید.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اگر صنعتی اشتباه حذف یا نگه داشته شده، کلمه‌ها یا کدهای صنعت را در بخش 0 فایل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00_run_all.do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(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SCR_FINWORDS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و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SCR_FINCODES</w:t>
      </w:r>
      <w:r>
        <w:rPr>
          <w:rFonts w:ascii="Tahoma" w:hAnsi="Tahoma" w:cs="Tahoma"/>
          <w:sz w:val="21"/>
          <w:szCs w:val="21"/>
          <w:rtl/>
        </w:rPr>
        <w:t xml:space="preserve">) اصلاح کنید.</w:t>
      </w:r>
    </w:p>
    <w:p>
      <w:pPr>
        <w:pStyle w:val="Compact"/>
        <w:numPr>
          <w:ilvl w:val="0"/>
          <w:numId w:val="1004"/>
        </w:numPr>
        <w:bidi/>
      </w:pPr>
      <w:r>
        <w:rPr>
          <w:rFonts w:ascii="Tahoma" w:hAnsi="Tahoma" w:cs="Tahoma"/>
          <w:sz w:val="21"/>
          <w:szCs w:val="21"/>
          <w:rtl/>
        </w:rPr>
        <w:t xml:space="preserve">در لاگ: میانه‌ی جمع دارایی‌ها برای هر سال (برای پیدا کردن تغییر واحد پول)، تعداد داده‌های ناموجود، و سهم CFI منفی (برای کنترل علامت).</w:t>
      </w:r>
    </w:p>
    <w:bookmarkEnd w:id="10"/>
    <w:bookmarkStart w:id="11" w:name="ساختار-فایل"/>
    <w:p>
      <w:pPr>
        <w:pStyle w:val="Heading1"/>
        <w:bidi/>
      </w:pPr>
      <w:r>
        <w:rPr>
          <w:rFonts w:ascii="Tahoma" w:hAnsi="Tahoma" w:cs="Tahoma"/>
          <w:sz w:val="21"/>
          <w:szCs w:val="21"/>
          <w:rtl/>
        </w:rPr>
        <w:t xml:space="preserve">۳. ساختار فایل</w:t>
      </w:r>
    </w:p>
    <w:p>
      <w:pPr>
        <w:bidi/>
      </w:pPr>
      <w:r>
        <w:rPr>
          <w:rFonts w:ascii="Tahoma" w:hAnsi="Tahoma" w:cs="Tahoma"/>
          <w:sz w:val="21"/>
          <w:szCs w:val="21"/>
          <w:rtl/>
        </w:rPr>
        <w:t xml:space="preserve">نام فایل: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b/>
          <w:bCs/>
          <w:sz w:val="21"/>
          <w:szCs w:val="21"/>
          <w:rtl/>
        </w:rPr>
        <w:t xml:space="preserve">Raw_All_Data.xlsx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در پوشه‌ی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C:/Users/Rohi/Desktop/Data</w:t>
      </w:r>
      <w:r>
        <w:rPr>
          <w:rFonts w:ascii="Tahoma" w:hAnsi="Tahoma" w:cs="Tahoma"/>
          <w:sz w:val="21"/>
          <w:szCs w:val="21"/>
          <w:rtl/>
        </w:rPr>
        <w:t xml:space="preserve">. یک برگه، یک ردیف برای هر شرکت در هر سال.</w:t>
      </w:r>
    </w:p>
    <w:p>
      <w:p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نام ستون‌های شناسه (ردیف اول فایل) را این‌طور بنویسید:</w:t>
      </w:r>
    </w:p>
    <w:tbl>
      <w:tblPr>
        <w:tblStyle w:val="Table"/>
        <w:bidiVisual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ستون فعلی شما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نام در فایل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شرکت (firm)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Firm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شرکت (firmcode)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FirmCode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سال مالی (year)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Year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کد صنعت جزئی (industry)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IndDetail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کدصنعت کلی (ind)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IndID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صنعت (industry)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Industry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طبقه (category)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Category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بازار (x1)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Market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نماد (x2)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Symbol</w:t>
            </w:r>
          </w:p>
        </w:tc>
      </w:tr>
    </w:tbl>
    <w:p>
      <w:pPr>
        <w:bidi/>
      </w:pPr>
      <w:r>
        <w:rPr>
          <w:rFonts w:ascii="Tahoma" w:hAnsi="Tahoma" w:cs="Tahoma"/>
          <w:sz w:val="21"/>
          <w:szCs w:val="21"/>
          <w:rtl/>
        </w:rPr>
        <w:t xml:space="preserve">دو ستون با نام یکسان industry نباید در فایل بماند. ستون‌های مالی با نام‌های بخش ۴ می‌آیند.</w:t>
      </w:r>
    </w:p>
    <w:p>
      <w:pPr>
        <w:pStyle w:val="Compact"/>
        <w:numPr>
          <w:ilvl w:val="0"/>
          <w:numId w:val="1005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واحد پول یکسان در همه‌ی سال‌ها: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میلیون ریال.</w:t>
      </w:r>
    </w:p>
    <w:p>
      <w:pPr>
        <w:pStyle w:val="Compact"/>
        <w:numPr>
          <w:ilvl w:val="0"/>
          <w:numId w:val="1005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داده‌ی ناموجود = خانه‌ی خالی، نه صفر.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صفر فقط وقتی که مقدار واقعاً صفر است.</w:t>
      </w:r>
    </w:p>
    <w:p>
      <w:pPr>
        <w:pStyle w:val="Compact"/>
        <w:numPr>
          <w:ilvl w:val="0"/>
          <w:numId w:val="1005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صورت‌های مالی جداگانه‌ی شرکت اصلی</w:t>
      </w:r>
      <w:r>
        <w:rPr>
          <w:rFonts w:ascii="Tahoma" w:hAnsi="Tahoma" w:cs="Tahoma"/>
          <w:sz w:val="21"/>
          <w:szCs w:val="21"/>
          <w:rtl/>
        </w:rPr>
        <w:t xml:space="preserve">، نه تلفیقی، در همه‌ی سال‌ها.</w:t>
      </w:r>
    </w:p>
    <w:p>
      <w:pPr>
        <w:pStyle w:val="Compact"/>
        <w:numPr>
          <w:ilvl w:val="0"/>
          <w:numId w:val="1005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ارقام حسابرسی‌شده‌ی گزارش همان سال</w:t>
      </w:r>
      <w:r>
        <w:rPr>
          <w:rFonts w:ascii="Tahoma" w:hAnsi="Tahoma" w:cs="Tahoma"/>
          <w:sz w:val="21"/>
          <w:szCs w:val="21"/>
          <w:rtl/>
        </w:rPr>
        <w:t xml:space="preserve">؛ اگر تجدیدارائه‌شده استفاده می‌کنید، در همه‌ی سال‌ها.</w:t>
      </w:r>
    </w:p>
    <w:p>
      <w:pPr>
        <w:pStyle w:val="Compact"/>
        <w:numPr>
          <w:ilvl w:val="0"/>
          <w:numId w:val="1005"/>
        </w:num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علامت جریان‌های نقدی: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ورودی مثبت، خروجی منفی.</w:t>
      </w:r>
    </w:p>
    <w:bookmarkEnd w:id="11"/>
    <w:bookmarkStart w:id="18" w:name="فهرست-متغیرها"/>
    <w:p>
      <w:pPr>
        <w:pStyle w:val="Heading1"/>
        <w:bidi/>
      </w:pPr>
      <w:r>
        <w:rPr>
          <w:rFonts w:ascii="Tahoma" w:hAnsi="Tahoma" w:cs="Tahoma"/>
          <w:sz w:val="21"/>
          <w:szCs w:val="21"/>
          <w:rtl/>
        </w:rPr>
        <w:t xml:space="preserve">۴. فهرست متغیرها</w:t>
      </w:r>
    </w:p>
    <w:bookmarkStart w:id="12" w:name="شناسهها"/>
    <w:p>
      <w:pPr>
        <w:pStyle w:val="Heading2"/>
        <w:bidi/>
      </w:pPr>
      <w:r>
        <w:rPr>
          <w:rFonts w:ascii="Tahoma" w:hAnsi="Tahoma" w:cs="Tahoma"/>
          <w:sz w:val="21"/>
          <w:szCs w:val="21"/>
          <w:rtl/>
        </w:rPr>
        <w:t xml:space="preserve">۴.۱ شناسه‌ها</w:t>
      </w:r>
    </w:p>
    <w:tbl>
      <w:tblPr>
        <w:tblStyle w:val="Table"/>
        <w:bidiVisual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ستون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تعریف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توضیح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FirmCode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کد شرکت در پایگاه داده (ستون firmcode فایل شما)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نماد شرکت‌ها در طول ۲۴ سال گاهی عوض شده است، ولی کد شرکت در پایگاه داده ثابت می‌ماند.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Symbol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نماد معاملاتی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برای هر شرکت در همه‌ی سال‌ها همان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آخرین نماد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را بنویسید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Year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سال مالی شمسی (سالی که در اسفندش سال مالی تمام می‌شود)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۱۳۸۰ تا ۱۴۰۳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Industry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نام صنعت (متناظر با کد صنعت کلی)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طبقه‌بندی صنایع بورس تهران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IndID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کد صنعت کلی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(نه کد جزئی)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کد جزئی صنایع خیلی کوچک می‌سازد. مدل سرمایه‌گذاری هر صنعت-سال را با دست‌کم ۱۰ شرکت جداگانه برآورد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Age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سن شرکت در سال t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سال مالی منهای سال تأسیس، از اساسنامه یا Codal</w:t>
            </w:r>
          </w:p>
        </w:tc>
      </w:tr>
    </w:tbl>
    <w:bookmarkEnd w:id="12"/>
    <w:bookmarkStart w:id="13" w:name="کلان-اقتصادی"/>
    <w:p>
      <w:pPr>
        <w:pStyle w:val="Heading2"/>
        <w:bidi/>
      </w:pPr>
      <w:r>
        <w:rPr>
          <w:rFonts w:ascii="Tahoma" w:hAnsi="Tahoma" w:cs="Tahoma"/>
          <w:sz w:val="21"/>
          <w:szCs w:val="21"/>
          <w:rtl/>
        </w:rPr>
        <w:t xml:space="preserve">۴.۲ کلان اقتصادی</w:t>
      </w:r>
    </w:p>
    <w:tbl>
      <w:tblPr>
        <w:tblStyle w:val="Table"/>
        <w:bidiVisual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ستون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تعریف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منبع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INF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نرخ تورم سالانه‌ی شاخص قیمت مصرف‌کننده برای سال t (فروردین تا اسفند)، به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درصد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بانک مرکزی. همه‌ی سال‌ها از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یک منبع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(بانک مرکزی یا مرکز آمار، نه ترکیب آن‌ها). برای همه‌ی شرکت‌های یک سال یکسان است.</w:t>
            </w:r>
          </w:p>
        </w:tc>
      </w:tr>
    </w:tbl>
    <w:bookmarkEnd w:id="13"/>
    <w:bookmarkStart w:id="14" w:name="ترازنامه-پایان-سال-مالی"/>
    <w:p>
      <w:pPr>
        <w:pStyle w:val="Heading2"/>
        <w:bidi/>
      </w:pPr>
      <w:r>
        <w:rPr>
          <w:rFonts w:ascii="Tahoma" w:hAnsi="Tahoma" w:cs="Tahoma"/>
          <w:sz w:val="21"/>
          <w:szCs w:val="21"/>
          <w:rtl/>
        </w:rPr>
        <w:t xml:space="preserve">۴.۳ ترازنامه (پایان سال مالی)</w:t>
      </w:r>
    </w:p>
    <w:tbl>
      <w:tblPr>
        <w:tblStyle w:val="Table"/>
        <w:bidiVisual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ستون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قلم صورت مالی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کاربرد در مدل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TA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جمع دارایی‌ها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مقیاس همه‌ی نسبت‌ها، اندازه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TD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جمع بدهی‌ها (جاری و غیرجاری)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اهرم TDA = TD/TA.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همان تعریفی که در فایل فعلی داشتید.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BV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جمع حقوق صاحبان سهام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نسبت ارزش بازار به دفتری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PPE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دارایی‌های ثابت مشهود،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خالص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(بعد از استهلاک انباشته)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سرمایه‌گذاری تعهدی (R6)، وثیقه، دارایی‌های مشهود، DEA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IA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دارایی‌های نامشهود، خالص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سرمایه‌گذاری تعهدی، DEA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INV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موجودی مواد و کالا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وثیقه (COL)</w:t>
            </w:r>
          </w:p>
        </w:tc>
      </w:tr>
    </w:tbl>
    <w:bookmarkEnd w:id="14"/>
    <w:bookmarkStart w:id="15" w:name="صورت-سود-و-زیان"/>
    <w:p>
      <w:pPr>
        <w:pStyle w:val="Heading2"/>
        <w:bidi/>
      </w:pPr>
      <w:r>
        <w:rPr>
          <w:rFonts w:ascii="Tahoma" w:hAnsi="Tahoma" w:cs="Tahoma"/>
          <w:sz w:val="21"/>
          <w:szCs w:val="21"/>
          <w:rtl/>
        </w:rPr>
        <w:t xml:space="preserve">۴.۴ صورت سود و زیان</w:t>
      </w:r>
    </w:p>
    <w:tbl>
      <w:tblPr>
        <w:tblStyle w:val="Table"/>
        <w:bidiVisual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ستون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قلم صورت مالی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کاربرد در مدل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Sales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درآمدهای عملیاتی (فروش خالص)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رشد فروش، خروجی DEA، نوسان فروش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COGS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بهای تمام‌شده‌ی درآمدهای عملیاتی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ورودی DEA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SGA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هزینه‌های فروش، اداری و عمومی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ورودی DEA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OI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سود (زیان) عملیاتی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سودآوری، متغیر زیان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FinExp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هزینه‌های مالی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بار بهره (IOB) در مدل اهرم هدف</w:t>
            </w:r>
          </w:p>
        </w:tc>
      </w:tr>
    </w:tbl>
    <w:bookmarkEnd w:id="15"/>
    <w:bookmarkStart w:id="16" w:name="صورت-جریان-وجوه-نقد-مهمترین-بخش"/>
    <w:p>
      <w:pPr>
        <w:pStyle w:val="Heading2"/>
        <w:bidi/>
      </w:pPr>
      <w:r>
        <w:rPr>
          <w:rFonts w:ascii="Tahoma" w:hAnsi="Tahoma" w:cs="Tahoma"/>
          <w:sz w:val="21"/>
          <w:szCs w:val="21"/>
          <w:rtl/>
        </w:rPr>
        <w:t xml:space="preserve">۴.۵ صورت جریان وجوه نقد: مهم‌ترین بخش</w:t>
      </w:r>
    </w:p>
    <w:tbl>
      <w:tblPr>
        <w:tblStyle w:val="Table"/>
        <w:bidiVisual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ستون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تعریف (طبقه‌بندی ۳ گانه)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CFO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جریان خالص ورود (خروج) نقد حاصل از فعالیت‌های عملیاتی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CFI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جریان خالص ورود (خروج) نقد حاصل از فعالیت‌های سرمایه‌گذاری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CFF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جریان خالص ورود (خروج) نقد حاصل از فعالیت‌های تأمین مالی</w:t>
            </w:r>
          </w:p>
        </w:tc>
      </w:tr>
    </w:tbl>
    <w:p>
      <w:pPr>
        <w:bidi/>
      </w:pPr>
      <w:r>
        <w:rPr>
          <w:rFonts w:ascii="Tahoma" w:hAnsi="Tahoma" w:cs="Tahoma"/>
          <w:sz w:val="21"/>
          <w:szCs w:val="21"/>
          <w:rtl/>
        </w:rPr>
        <w:t xml:space="preserve">فکر می‌کنم استاندارد حسابداری شماره‌ی ۲ ایران حدود سال ۱۳۹۸ بازنگری شد و صورت جریان وجوه نقد از ۵ طبقه به ۳ طبقه رسید. سال دقیق این تغییر را در منبع داده‌تان چک کنید.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b/>
          <w:bCs/>
          <w:sz w:val="21"/>
          <w:szCs w:val="21"/>
          <w:rtl/>
        </w:rPr>
        <w:t xml:space="preserve">سال‌های قبل از آن باید به ۳ طبقه تبدیل شوند</w:t>
      </w:r>
      <w:r>
        <w:rPr>
          <w:rFonts w:ascii="Tahoma" w:hAnsi="Tahoma" w:cs="Tahoma"/>
          <w:sz w:val="21"/>
          <w:szCs w:val="21"/>
          <w:rtl/>
        </w:rPr>
        <w:t xml:space="preserve">، وگرنه متغیر سرمایه‌گذاری و چرخه‌ی عمر Dickinson در دو بخش دوره تعریف متفاوتی خواهند داشت:</w:t>
      </w:r>
    </w:p>
    <w:tbl>
      <w:tblPr>
        <w:tblStyle w:val="Table"/>
        <w:bidiVisual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طبقه‌ی قدیم (۵ گانه)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به کدام ستون اضافه شود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فعالیت‌های عملیاتی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CFO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مالیات بر درآمد پرداختی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CFO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سود سهام دریافتی و سود دریافتی بابت سپرده‌ها و سرمایه‌گذاری‌ها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CFI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سود پرداختی بابت تسهیلات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CFF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سود سهام پرداختی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CFF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فعالیت‌های سرمایه‌گذاری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CFI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فعالیت‌های تأمین مالی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CFF</w:t>
            </w:r>
          </w:p>
        </w:tc>
      </w:tr>
    </w:tbl>
    <w:p>
      <w:pPr>
        <w:bidi/>
      </w:pPr>
      <w:r>
        <w:rPr>
          <w:rFonts w:ascii="Tahoma" w:hAnsi="Tahoma" w:cs="Tahoma"/>
          <w:sz w:val="21"/>
          <w:szCs w:val="21"/>
          <w:rtl/>
        </w:rPr>
        <w:t xml:space="preserve">این تبدیل همان روشی است که خود استاندارد جدید برای ارقام مقایسه‌ای به کار برده است. اگر پایگاه داده‌تان (مثلاً ره‌آورد نوین) سال‌های قدیم را خودش به ۳ طبقه تبدیل کرده، فقط این را برای چند شرکت با Codal مقایسه و تأیید کنید.</w:t>
      </w:r>
    </w:p>
    <w:p>
      <w:p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آزمون کنترلی: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برای هر سال-شرکت، CFO + CFI + CFF باید با تغییر وجه نقد (به‌علاوه‌ی اثر نرخ ارز) برابر باشد.</w:t>
      </w:r>
    </w:p>
    <w:bookmarkEnd w:id="16"/>
    <w:bookmarkStart w:id="17" w:name="بازار"/>
    <w:p>
      <w:pPr>
        <w:pStyle w:val="Heading2"/>
        <w:bidi/>
      </w:pPr>
      <w:r>
        <w:rPr>
          <w:rFonts w:ascii="Tahoma" w:hAnsi="Tahoma" w:cs="Tahoma"/>
          <w:sz w:val="21"/>
          <w:szCs w:val="21"/>
          <w:rtl/>
        </w:rPr>
        <w:t xml:space="preserve">۴.۶ بازار</w:t>
      </w:r>
    </w:p>
    <w:tbl>
      <w:tblPr>
        <w:tblStyle w:val="Table"/>
        <w:bidiVisual/>
        <w:tblW w:type="pct" w:w="500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ستون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تعریف</w:t>
            </w:r>
          </w:p>
        </w:tc>
        <w:tc>
          <w:tcPr>
            <w:shd w:val="clear" w:color="auto" w:fill="E8ECF3"/>
          </w:tcPr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sz w:val="21"/>
                <w:szCs w:val="21"/>
                <w:rtl/>
              </w:rPr>
              <w:t xml:space="preserve">توضیح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MV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ارزش بازار حقوق صاحبان سهام در پایان سال مالی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Fonts w:ascii="Tahoma" w:hAnsi="Tahoma" w:cs="Tahoma"/>
                <w:sz w:val="21"/>
                <w:szCs w:val="21"/>
                <w:rtl/>
              </w:rPr>
              <w:t xml:space="preserve">تعداد سهام منتشرشده × قیمت پایانی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1"/>
                <w:szCs w:val="21"/>
                <w:rtl/>
              </w:rPr>
              <w:t xml:space="preserve">آخرین روز معاملاتی اسفند</w:t>
            </w:r>
            <w:r>
              <w:rPr>
                <w:rFonts w:ascii="Tahoma" w:hAnsi="Tahoma" w:cs="Tahoma"/>
                <w:sz w:val="21"/>
                <w:szCs w:val="21"/>
                <w:rtl/>
              </w:rPr>
              <w:t xml:space="preserve">. اگر نماد بسته بوده، آخرین قیمت قبل از توقف. واحد: میلیون ریال.</w:t>
            </w:r>
          </w:p>
        </w:tc>
      </w:tr>
    </w:tbl>
    <w:bookmarkEnd w:id="17"/>
    <w:bookmarkEnd w:id="18"/>
    <w:bookmarkStart w:id="19" w:name="چکلیست-پیش-از-اجرا"/>
    <w:p>
      <w:pPr>
        <w:pStyle w:val="Heading1"/>
        <w:bidi/>
      </w:pPr>
      <w:r>
        <w:rPr>
          <w:rFonts w:ascii="Tahoma" w:hAnsi="Tahoma" w:cs="Tahoma"/>
          <w:sz w:val="21"/>
          <w:szCs w:val="21"/>
          <w:rtl/>
        </w:rPr>
        <w:t xml:space="preserve">۵. چک‌لیست پیش از اجرا</w:t>
      </w:r>
    </w:p>
    <w:p>
      <w:pPr>
        <w:pStyle w:val="Compact"/>
        <w:numPr>
          <w:ilvl w:val="0"/>
          <w:numId w:val="1006"/>
        </w:numPr>
        <w:bidi/>
      </w:pPr>
      <w:r>
        <w:rPr>
          <w:rFonts w:ascii="Tahoma" w:hAnsi="Tahoma" w:cs="Tahoma"/>
          <w:sz w:val="21"/>
          <w:szCs w:val="21"/>
          <w:rtl/>
        </w:rPr>
        <w:t xml:space="preserve">نام ستون‌ها دقیقاً مطابق بخش ۳ و ۴.</w:t>
      </w:r>
    </w:p>
    <w:p>
      <w:pPr>
        <w:pStyle w:val="Compact"/>
        <w:numPr>
          <w:ilvl w:val="0"/>
          <w:numId w:val="1006"/>
        </w:numPr>
        <w:bidi/>
      </w:pPr>
      <w:r>
        <w:rPr>
          <w:rFonts w:ascii="Tahoma" w:hAnsi="Tahoma" w:cs="Tahoma"/>
          <w:sz w:val="21"/>
          <w:szCs w:val="21"/>
          <w:rtl/>
        </w:rPr>
        <w:t xml:space="preserve">همه‌ی شرکت‌ها و هر دو بازار در فایل باشند؛ چیزی را دستی حذف نکنید.</w:t>
      </w:r>
    </w:p>
    <w:p>
      <w:pPr>
        <w:pStyle w:val="Compact"/>
        <w:numPr>
          <w:ilvl w:val="0"/>
          <w:numId w:val="1006"/>
        </w:numPr>
        <w:bidi/>
      </w:pPr>
      <w:r>
        <w:rPr>
          <w:rFonts w:ascii="Tahoma" w:hAnsi="Tahoma" w:cs="Tahoma"/>
          <w:sz w:val="21"/>
          <w:szCs w:val="21"/>
          <w:rtl/>
        </w:rPr>
        <w:t xml:space="preserve">واحد همه‌ی ارقام میلیون ریال باشد.</w:t>
      </w:r>
    </w:p>
    <w:p>
      <w:pPr>
        <w:pStyle w:val="Compact"/>
        <w:numPr>
          <w:ilvl w:val="0"/>
          <w:numId w:val="1006"/>
        </w:numPr>
        <w:bidi/>
      </w:pPr>
      <w:r>
        <w:rPr>
          <w:rFonts w:ascii="Tahoma" w:hAnsi="Tahoma" w:cs="Tahoma"/>
          <w:sz w:val="21"/>
          <w:szCs w:val="21"/>
          <w:rtl/>
        </w:rPr>
        <w:t xml:space="preserve">جریان‌های نقدی سال‌های قبل از تغییر استاندارد به ۳ طبقه تبدیل شده باشند و علامتشان درست باشد.</w:t>
      </w:r>
    </w:p>
    <w:p>
      <w:pPr>
        <w:pStyle w:val="Compact"/>
        <w:numPr>
          <w:ilvl w:val="0"/>
          <w:numId w:val="1006"/>
        </w:numPr>
        <w:bidi/>
      </w:pPr>
      <w:r>
        <w:rPr>
          <w:rFonts w:ascii="Tahoma" w:hAnsi="Tahoma" w:cs="Tahoma"/>
          <w:sz w:val="21"/>
          <w:szCs w:val="21"/>
          <w:rtl/>
        </w:rPr>
        <w:t xml:space="preserve">خانه‌های ناموجود خالی باشند، نه صفر.</w:t>
      </w:r>
    </w:p>
    <w:bookmarkEnd w:id="19"/>
    <w:bookmarkStart w:id="20" w:name="اجرا"/>
    <w:p>
      <w:pPr>
        <w:pStyle w:val="Heading1"/>
        <w:bidi/>
      </w:pPr>
      <w:r>
        <w:rPr>
          <w:rFonts w:ascii="Tahoma" w:hAnsi="Tahoma" w:cs="Tahoma"/>
          <w:sz w:val="21"/>
          <w:szCs w:val="21"/>
          <w:rtl/>
        </w:rPr>
        <w:t xml:space="preserve">۶. اجرا</w:t>
      </w:r>
    </w:p>
    <w:p>
      <w:pPr>
        <w:bidi/>
      </w:pPr>
      <w:r>
        <w:rPr>
          <w:rStyle w:val="VerbatimChar"/>
          <w:rFonts w:ascii="Tahoma" w:hAnsi="Tahoma" w:cs="Tahoma"/>
          <w:sz w:val="21"/>
          <w:szCs w:val="21"/>
          <w:rtl/>
        </w:rPr>
        <w:t xml:space="preserve">Raw_All_Data.xlsx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را در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C:/Users/Rohi/Desktop/Data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بگذارید و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Style w:val="VerbatimChar"/>
          <w:rFonts w:ascii="Tahoma" w:hAnsi="Tahoma" w:cs="Tahoma"/>
          <w:sz w:val="21"/>
          <w:szCs w:val="21"/>
          <w:rtl/>
        </w:rPr>
        <w:t xml:space="preserve">00_run_all.do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را اجرا کنید. کد اول غربالگری می‌کند، بعد همه‌ی مدل‌ها را برآورد می‌کند. سال اول داده (۱۳۸۰) سال پایه است و برآورد مدل‌ها از ۱۳۸۳ شروع می‌شود. دوره‌ی قبلی در آزمون حساسیت S10 گزارش می‌شود.</w:t>
      </w:r>
    </w:p>
    <w:p>
      <w:pPr>
        <w:bidi/>
      </w:pPr>
      <w:r>
        <w:rPr>
          <w:rFonts w:ascii="Tahoma" w:hAnsi="Tahoma" w:cs="Tahoma"/>
          <w:b/>
          <w:bCs/>
          <w:sz w:val="21"/>
          <w:szCs w:val="21"/>
          <w:rtl/>
        </w:rPr>
        <w:t xml:space="preserve">قرار ما از قبل:</w:t>
      </w:r>
      <w:r>
        <w:rPr>
          <w:rFonts w:ascii="Tahoma" w:hAnsi="Tahoma" w:cs="Tahoma"/>
          <w:sz w:val="21"/>
          <w:szCs w:val="21"/>
          <w:rtl/>
        </w:rPr>
        <w:t xml:space="preserve"> </w:t>
      </w:r>
      <w:r>
        <w:rPr>
          <w:rFonts w:ascii="Tahoma" w:hAnsi="Tahoma" w:cs="Tahoma"/>
          <w:sz w:val="21"/>
          <w:szCs w:val="21"/>
          <w:rtl/>
        </w:rPr>
        <w:t xml:space="preserve">نمونه‌ی کامل ۱۳۸۰–۱۴۰۳ نمونه‌ی اصلی مقاله است و نتیجه‌اش هر چه باشد گزارش می‌شود.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2A4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1F2A44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2A4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2A4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جمع‌آوری داده: سال‌های مالی ۱۳۸۰ تا ۱۴۰۳</dc:title>
  <dc:creator/>
  <dc:language>fa-IR</dc:language>
  <cp:keywords/>
  <dcterms:created xsi:type="dcterms:W3CDTF">2026-10-01T12:09:17Z</dcterms:created>
  <dcterms:modified xsi:type="dcterms:W3CDTF">2026-10-01T12:09:17Z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برای مقاله انحراف ساختار سرمایه، توانایی مدیریت و کارایی سرمایه‌گذاری</vt:lpwstr>
  </property>
</Properties>
</file>