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bidi/>
        <w:jc w:val="center"/>
      </w:pPr>
      <w:r>
        <w:rPr>
          <w:rFonts w:ascii="Arial" w:hAnsi="Arial" w:cs="Arial"/>
          <w:b w:val="0"/>
          <w:i w:val="0"/>
          <w:color w:val="5A5A5A"/>
          <w:sz w:val="19"/>
          <w:rtl/>
        </w:rPr>
        <w:t>مقاله اول از دو مقاله: مقدمه و مبانی نظری</w:t>
      </w:r>
    </w:p>
    <w:p>
      <w:pPr>
        <w:spacing w:after="200" w:line="288" w:lineRule="auto"/>
        <w:bidi/>
        <w:jc w:val="center"/>
      </w:pPr>
      <w:r>
        <w:rPr>
          <w:rFonts w:ascii="Arial" w:hAnsi="Arial" w:cs="Arial"/>
          <w:b/>
          <w:i w:val="0"/>
          <w:color w:val="1F3864"/>
          <w:sz w:val="26"/>
          <w:rtl/>
        </w:rPr>
        <w:t>عنوان کاری: مولفه‌های ارزیابی ریسک سایبری در حسابرسی: یک مطالعه دلفی دوپانلی در ایران</w:t>
      </w:r>
    </w:p>
    <w:p>
      <w:pPr>
        <w:spacing w:after="140" w:line="288" w:lineRule="auto"/>
        <w:bidi/>
        <w:jc w:val="right"/>
      </w:pPr>
      <w:r>
        <w:rPr>
          <w:rFonts w:ascii="Arial" w:hAnsi="Arial" w:cs="Arial"/>
          <w:b/>
          <w:i w:val="0"/>
          <w:color w:val="1F3864"/>
          <w:sz w:val="30"/>
          <w:rtl/>
        </w:rPr>
        <w:t>1. مقدمه</w:t>
      </w:r>
    </w:p>
    <w:p>
      <w:pPr>
        <w:spacing w:after="140" w:line="360" w:lineRule="auto"/>
        <w:bidi/>
        <w:jc w:val="right"/>
      </w:pPr>
      <w:r>
        <w:rPr>
          <w:rFonts w:ascii="Arial" w:hAnsi="Arial" w:cs="Arial"/>
          <w:b w:val="0"/>
          <w:i w:val="0"/>
          <w:rtl/>
        </w:rPr>
        <w:t>اظهارنظر حسابرسی دربارهٔ اعداد است و حادثهٔ سایبری رویدادی در سیستم‌ها. فاصلهٔ این دو کوتاه است و کوتاه‌تر هم می‌شود. هر رقم در صورت‌های مالی از میان برنامه‌ها، واسط‌ها و پایگاه‌های داده‌ای گذشته که یک مهاجم می‌تواند آن‌ها را دستکاری، رمزگذاری یا استخراج کند، و بیشتر کنترل‌های داخلی که حسابرس ممکن است به آن‌ها تکیه کند را فناوری اطلاعات (IT) اجرا، پشتیبانی یا پایش می‌کند. ریسک سایبری بنابراین از سه مسیر به حسابرسی می‌رسد: اتکاپذیری اطلاعاتی که حسابرس رسیدگی می‌کند، اتکاپذیری کنترل‌هایی که ممکن است به آن‌ها تکیه کند، و توان واحد تجاری برای ادامهٔ فعالیت که بر قضاوت‌های تداوم فعالیت و افشا اثر می‌گذارد.</w:t>
      </w:r>
    </w:p>
    <w:p>
      <w:pPr>
        <w:spacing w:after="140" w:line="360" w:lineRule="auto"/>
        <w:bidi/>
        <w:jc w:val="right"/>
      </w:pPr>
      <w:r>
        <w:rPr>
          <w:rFonts w:ascii="Arial" w:hAnsi="Arial" w:cs="Arial"/>
          <w:b w:val="0"/>
          <w:i w:val="0"/>
          <w:rtl/>
        </w:rPr>
        <w:t>تدوین‌کنندگان استاندارد این مسیرها را به رسمیت شناخته‌اند. ISA 315 (بازنگری 2019) که برای دوره‌های مالی شروع‌شده از 15 دسامبر 2021 به بعد لازم‌الاجراست، از حسابرس می‌خواهد محیط IT واحد مورد رسیدگی را بشناسد، برنامه‌های IT و کنترل‌های عمومی IT مهم برای پردازش اطلاعات را مشخص کند و ریسک‌های ناشی از IT را در چارچوب ارزیابی ریسک تحریف با اهمیت شناسایی و ارزیابی کند (IAASB, 2019). این بازنگری ارزیابی ریسک ذاتی را از ریسک کنترل جدا می‌کند، عوامل ریسک ذاتی مانند پیچیدگی، ذهنی‌بودن و تغییر را معرفی می‌کند و ریسک را طیفی می‌بیند؛ و اگر حسابرس قصد آزمون اثربخشی عملیاتی کنترل‌ها را نداشته باشد، ریسک تحریف با اهمیت برابر با ریسک ذاتی است. پس تصمیم به اتکا نکردن به کنترل‌ها، محیط IT را از ارزیابی ریسک بیرون نمی‌برد. حسابرسی داخلی نیز موازی حرکت کرده است: استانداردهای جهانی حسابرسی داخلی از 9 ژانویه 2025 لازم‌الاجرا شد (IIA, 2024) و «الزام موضوعی امنیت سایبری» که 5 فوریه 2025 صادر شد و از 5 فوریه 2026 اجرایی است، بر هر مأموریتی که جزء امنیت سایبری دارد اعمال می‌شود (IIA, 2025).</w:t>
      </w:r>
    </w:p>
    <w:p>
      <w:pPr>
        <w:spacing w:after="140" w:line="360" w:lineRule="auto"/>
        <w:bidi/>
        <w:jc w:val="right"/>
      </w:pPr>
      <w:r>
        <w:rPr>
          <w:rFonts w:ascii="Arial" w:hAnsi="Arial" w:cs="Arial"/>
          <w:b w:val="0"/>
          <w:i w:val="0"/>
          <w:rtl/>
        </w:rPr>
        <w:t>آنچه استانداردها فراهم نمی‌کنند محتوای ارزیابی ریسک سایبری است. استانداردها می‌گویند حسابرس چه چیزی را باید بشناسد؛ نمی‌گویند کدام تهدیدها، آسیب‌پذیری‌ها، توانمندی‌های کنترلی و ترتیبات حاکمیتی ارزیابی را می‌سازند. این محتوا از چارچوب‌هایی وام گرفته می‌شود که برای هدف دیگری نوشته شده‌اند. NIST CSF 2.0 پیامدهای امنیت سایبری را در شش کارکرد سازمان می‌دهد و در آخرین نسخه حاکمیت را به کارکردی مستقل ارتقا می‌دهد (NIST, 2024). ISO/IEC 27005:2022 مدیریت ریسک امنیت اطلاعات را با ISO/IEC 27001:2022 و ISO 31000:2018 همسو می‌کند، «اثر» را با «پیامد» جایگزین می‌کند و سناریوی ریسک را در کنار تمایز شناسایی رویدادمحور و دارایی‌محور معرفی می‌کند (ISO/IEC, 2022). معیارهای توصیف AICPA به واحد تجاری اجازه می‌دهند برنامه مدیریت ریسک سایبری خود، شامل ساختار حاکمیتی و فرایند ارزیابی ریسک، را در یک مأموریت رسیدگی داوطلبانه منتقل کند (AICPA, 2017). هر یک از این‌ها در خدمت سازمانی است که می‌خواهد ریسک سایبری را مدیریت کند یا نشان دهد که مدیریت می‌کند.</w:t>
      </w:r>
    </w:p>
    <w:p>
      <w:pPr>
        <w:spacing w:after="140" w:line="360" w:lineRule="auto"/>
        <w:bidi/>
        <w:jc w:val="right"/>
      </w:pPr>
      <w:r>
        <w:rPr>
          <w:rFonts w:ascii="Arial" w:hAnsi="Arial" w:cs="Arial"/>
          <w:b w:val="0"/>
          <w:i w:val="0"/>
          <w:rtl/>
        </w:rPr>
        <w:t>وام‌گرفتن یک مسئله ترجمه می‌آفریند که ادبیات هنوز آن را نام‌گذاری نکرده است. ریسک حسابرس ریسکی برای ارائه منصفانه صورت‌های مالی است و در سطح ادعاها، گروه‌های معاملات و برنامه‌های IT پردازش‌کننده آن‌ها قرار دارد. ریسک سایبری سازمان ریسکی برای اهداف امنیتی است و در سطح دارایی‌ها، سناریوها و توانمندی‌های سازمانی قرار دارد. بین این دو سه ترجمه لازم است: ترجمه هدف (از محرمانگی، یکپارچگی و دسترس‌پذیری به ارائه منصفانه)، ترجمه واحد تحلیل (از دارایی یا سناریو به ادعا) و ترجمه شواهد (از توصیف سازمان از برنامه خود به شواهدی که حسابرس به دست می‌آورد و ارزیابی می‌کند). به‌نظر ما حرفه روایت مورد توافقی از این ترجمه‌ها ندارد؛ پس هر حسابرس آن‌ها را به‌صورت خصوصی انجام می‌دهد و ارزیابی‌ها ممکن است میان حسابرسان، موسسات و محیط‌ها به دلایلی تفاوت کنند که هیچ استانداردی توضیح نمی‌دهد.</w:t>
      </w:r>
    </w:p>
    <w:p>
      <w:pPr>
        <w:spacing w:after="140" w:line="360" w:lineRule="auto"/>
        <w:bidi/>
        <w:jc w:val="right"/>
      </w:pPr>
      <w:r>
        <w:rPr>
          <w:rFonts w:ascii="Arial" w:hAnsi="Arial" w:cs="Arial"/>
          <w:b w:val="0"/>
          <w:i w:val="0"/>
          <w:rtl/>
        </w:rPr>
        <w:t>پژوهش‌های تجربی را می‌توان سه موج پرسش خواند که دور این مسئله می‌چرخند بی‌آنکه آن را جدا کنند. موج اول پرسید حسابرسان با ریسک IT چه می‌کنند. Hermanson et al. (2000) با پیمایش بیش از صد مدیر حسابرسی داخلی نشان دادند توجه بر ریسک‌های سنتی IT (حفاظت از دارایی، پردازش برنامه‌ها و یکپارچگی داده) متمرکز است و توسعه و تحصیل سیستم کمتر مورد توجه قرار می‌گیرد، و Bedard et al. (2005) بررسی کردند ریسک سیستم‌های اطلاعاتی چگونه وارد برنامه‌ریزی حسابرسی می‌شود. موج دوم پرسید اطمینان‌بخشی دربارهٔ امنیت سایبری چگونه باید سازمان یابد و چه چیزی میزان انجام آن را توضیح می‌دهد. Kahyaoğlu &amp; Çalıyurt (2018) فرایند اطمینان‌بخشی را از چهار چارچوب (COBIT، ISO، AICPA و NIST) استخراج کردند و برای حسابرسی داخلی نقشی محوری قائل شدند؛ Islam et al. (2018) میزان حسابرسی امنیت سایبری را به ویژگی‌های واحد حسابرسی داخلی، حاکمیت و کارکرد ریسک مرتبط کردند؛ و Steinbart et al. (2018) از این مشاهده آغاز کردند که شواهد تجربی دربارهٔ سهم حسابرسی داخلی در امنیت اطلاعات اندک است. موج سوم پرسید حسابرسی چقدر خوب است و چرا. Slapničar et al. (2022) اثربخشی حسابرسی امنیت سایبری را از راه برنامه‌ریزی، اجرا و گزارشگری سنجیدند، Vuko et al. (2024) عوامل آن را با لنز نو‌نهادگرا بررسی کردند و Li et al. (2020) پرسیدند آیا حسابرسان مستقل از راه حق‌الزحمه به حوادث سایبری واکنش نشان می‌دهند.</w:t>
      </w:r>
    </w:p>
    <w:p>
      <w:pPr>
        <w:spacing w:after="140" w:line="360" w:lineRule="auto"/>
        <w:bidi/>
        <w:jc w:val="right"/>
      </w:pPr>
      <w:r>
        <w:rPr>
          <w:rFonts w:ascii="Arial" w:hAnsi="Arial" w:cs="Arial"/>
          <w:b w:val="0"/>
          <w:i w:val="0"/>
          <w:rtl/>
        </w:rPr>
        <w:t>سرنخ در موج سوم است. Slapničar et al. (2022) میانگین شاخص 58 از 100 و پیوند قوی میان برنامه‌ریزی و اجرا را گزارش می‌کنند، اما پیوند ضعیف‌تر هر دو با گزارشگری به هیئت‌مدیره؛ و شاخص آن‌ها همان‌گونه که انتظار می‌رفت با بلوغ مدیریت ریسک سایبری همراه بود، اما با احتمال حمله موفق نه. این را می‌توان گزاره‌ای دربارهٔ خود سازه خواند، نه دربارهٔ تلاش: یا آنچه اندازه‌گیری می‌شود آنچه یک ارزیابی را خوب می‌کند نمی‌گیرد، یا پیامدی که می‌توانست آن را اعتبارسنجی کند آن‌قدر نادر و کم‌مشاهده است که نمی‌تواند معیار باشد. در هر دو حالت، حوزه هنوز نمی‌تواند بگوید یک ارزیابی اثربخش باید چه مولفه‌هایی داشته باشد و در نتیجه نمی‌تواند آن را ارزیابی، آموزش یا استانداردسازی کند.</w:t>
      </w:r>
    </w:p>
    <w:p>
      <w:pPr>
        <w:spacing w:after="140" w:line="360" w:lineRule="auto"/>
        <w:bidi/>
        <w:jc w:val="right"/>
      </w:pPr>
      <w:r>
        <w:rPr>
          <w:rFonts w:ascii="Arial" w:hAnsi="Arial" w:cs="Arial"/>
          <w:b w:val="0"/>
          <w:i w:val="0"/>
          <w:rtl/>
        </w:rPr>
        <w:t>ادبیات موازی دربارهٔ روش‌های ارزیابی ریسک به دشواری مکملی می‌رسد. روش‌ها در میزان پوشش شناسایی، برآورد و ارزیابی ریسک تفاوت دارند (Wangen et al., 2018)؛ مدل‌های تحلیل تصمیم و احتمالاتی برای ادغام تهدید، آسیب‌پذیری و پیامد پیشنهاد شده‌اند (Ganin et al., 2020; Wang et al., 2020)؛ و دیدگاه‌های مبتنی بر چارچوب به‌خاطر ارائه تصویری ایستا که پویایی سازمان و تهدید را نادیده می‌گیرد نقد شده‌اند (Armenia et al., 2021). با این حال کمی‌سازی به داده محدود است: یک مرور نظام‌مند از 5219 مطالعه فقط 79 مجموعه داده یافت (Cremer et al., 2022). بنابراین در بیشتر محیط‌های حسابرسی، ارزیابی ریسک سایبری قضاوت حرفه‌ای ساختاریافته است و خواهد ماند، و کیفیت قضاوت به این بستگی دارد که چه چیزی قضاوت می‌شود. ادبیات حسابرسی بررسی می‌کند چه مقدار ارزیابی و توسط چه کسی انجام می‌شود؛ ادبیات روش‌ها بررسی می‌کند ریسک چگونه مدل می‌شود؛ هیچ‌کدام مجموعه مولفه‌هایی را که یک ارزیابی مبتنی بر قضاوت توسط حسابرس باید پوشش دهد مشخص نمی‌کند.</w:t>
      </w:r>
    </w:p>
    <w:p>
      <w:pPr>
        <w:spacing w:after="140" w:line="360" w:lineRule="auto"/>
        <w:bidi/>
        <w:jc w:val="right"/>
      </w:pPr>
      <w:r>
        <w:rPr>
          <w:rFonts w:ascii="Arial" w:hAnsi="Arial" w:cs="Arial"/>
          <w:b w:val="0"/>
          <w:i w:val="0"/>
          <w:rtl/>
        </w:rPr>
        <w:t>دو ویژگی دیگر مسئله را تیزتر می‌کند. نخست اینکه پرسش ذاتاً دوطرفه است. سازمان دانش سیستم‌های خود را دارد؛ حسابرس مسئولیت اظهارنظر را؛ و هر یک با اطلاعات، انگیزه‌ها و محدودیت‌های متفاوتی روبه‌رو است. هرجا دو طرف در اینکه چه چیزی مهم است توافق دارند، اتکا، ارتباط و هماهنگی شدنی می‌شود؛ هرجا فاصله دارند، شکافی در ارزیابی باز می‌شود که هیچ پژوهش تک‌طرفه‌ای آن را نشان نمی‌دهد. مطالعات پیشین یک طرف یا آمیزه‌ای از نقش‌ها را نمونه گرفته‌اند: مدیران حسابرسی داخلی در Hermanson et al. (2000)، حسابرسان و مدیران ارشد حسابرسی در Slapničar et al. (2022) و واحدهای حسابرسی داخلی در Islam et al. (2018). تا آنجا که می‌دانیم، هیچ‌کدام هر دو طرف را بر پایه یک مجموعه مولفه مشترک نمی‌سنجند.</w:t>
      </w:r>
    </w:p>
    <w:p>
      <w:pPr>
        <w:spacing w:after="140" w:line="360" w:lineRule="auto"/>
        <w:bidi/>
        <w:jc w:val="right"/>
      </w:pPr>
      <w:r>
        <w:rPr>
          <w:rFonts w:ascii="Arial" w:hAnsi="Arial" w:cs="Arial"/>
          <w:b w:val="0"/>
          <w:i w:val="0"/>
          <w:rtl/>
        </w:rPr>
        <w:t>ویژگی دوم زمینه است. نظریه نهادی می‌گوید پذیرش استانداردها به فشارهای قانونی، تقلیدی و هنجاری پاسخ می‌دهد (DiMaggio &amp; Powell, 1983) و نظریه اقتضایی می‌گوید سودمندی رویه‌های کنترلی به شرایط سازمان بستگی دارد (Donaldson, 2001). مولفه‌هایی که در محیط‌هایی با حرفه بالغ حسابرسی IT، متخصص در دسترس، سازوکارهای اطمینان‌بخشی جاافتاده و افشای معمول حوادث اعتبارسنجی شده‌اند، فرض‌های پنهانی درباره شرایط توانمندساز دارند. هرجا این شرایط فرق کند، یک مولفه ممکن است مهم بماند ولی غیرقابل اجرا شود، یا فقط به شکل تغییریافته قابل اجرا باشد؛ یعنی اهمیت و قابلیت اجرا باید جدا سنجیده شوند. واحدهای تجاری و حسابرسان ایرانی در شرایط مقرراتی، زیرساختی و تحریمی کار می‌کنند که با محیطی که بیشتر شواهد بالا در آن گردآوری شده تفاوت دارد. تا آنجا که می‌دانیم، مطالعه‌ای از هر دو طرف بررسی نکرده است که ارزیابی ریسک سایبری در حسابرسی ایران از چه مولفه‌هایی تشکیل می‌شود.</w:t>
      </w:r>
    </w:p>
    <w:p>
      <w:pPr>
        <w:spacing w:after="140" w:line="360" w:lineRule="auto"/>
        <w:bidi/>
        <w:jc w:val="right"/>
      </w:pPr>
      <w:r>
        <w:rPr>
          <w:rFonts w:ascii="Arial" w:hAnsi="Arial" w:cs="Arial"/>
          <w:b w:val="0"/>
          <w:i w:val="0"/>
          <w:rtl/>
        </w:rPr>
        <w:t>این مشاهدات در یک شکاف به هم می‌رسند: سازه ارزیابی ریسک سایبری در حسابرسی کم‌مشخص (مجموعه مولفه‌های مورد توافق ندارد)، یک‌طرفه (هر بار از یک نقطه دید بررسی شده) و آزمون‌نشده در زمینه (منتقل‌شدنی فرض شده) است. سه شاخه این شکاف را به‌ترتیب و با سه پرسش پاسخ می‌دهیم. RQ1: چه مولفه‌هایی از ارزیابی ریسک سایبری در حسابرسی در چارچوب‌های بین‌المللی، استانداردهای حسابرسی و پیشینه پژوهش آمده‌اند؟ RQ2: خبرگان ایرانی کدام مولفه‌ها را مهم و قابل اجرا می‌دانند و چه مولفه‌های بومی می‌افزایند؟ RQ3: دیدگاه سازمان‌های مورد رسیدگی و دیدگاه حسابرسان در اهمیتی که به مولفه‌ها می‌دهند چه تفاوتی دارد؟ هر انتخاب طرح پاسخ یک شاخه است. ترکیب نظام‌مند و نگاشت با منابع AICPA، NIST، ISO و استانداردهای حسابرسی به کم‌مشخص‌بودن پاسخ می‌دهد و 30 مولفه کاندید در هفت بُعد می‌دهد. دو پانل خبره، یکی از سازمان‌های مورد رسیدگی و یکی از حسابرسان، که همان مولفه‌ها را امتیاز می‌دهند، به یک‌طرفه‌بودن پاسخ می‌دهند. امتیازدهی جدا برای اهمیت و قابلیت اجرا همراه با پرسش‌های باز به زمینه پاسخ می‌دهد. طرح دلفی را انتخاب می‌کنیم چون کمبود داده (Cremer et al., 2022) اجماع آگاهانه را بهترین معیار موجود برای اعتبارسنجی سازه‌ای می‌گذارد که مولفه‌هایش هنوز با پیامد آزمون‌پذیر نیست.</w:t>
      </w:r>
    </w:p>
    <w:p>
      <w:pPr>
        <w:spacing w:after="140" w:line="360" w:lineRule="auto"/>
        <w:bidi/>
        <w:jc w:val="right"/>
      </w:pPr>
      <w:r>
        <w:rPr>
          <w:rFonts w:ascii="Arial" w:hAnsi="Arial" w:cs="Arial"/>
          <w:b w:val="0"/>
          <w:i w:val="0"/>
          <w:color w:val="C00000"/>
          <w:rtl/>
        </w:rPr>
        <w:t>[دو یا سه جمله درباره یافته‌های اصلی پس از تکمیل تحلیل اضافه شود: مولفه‌هایی که به اجماع رسیدند، مولفه‌هایی که خبرگان افزودند، مولفه‌هایی که مهم ولی غیرقابل‌اجرا ارزیابی شدند و بیشترین شکاف بین دو پانل.]</w:t>
      </w:r>
    </w:p>
    <w:p>
      <w:pPr>
        <w:spacing w:after="140" w:line="360" w:lineRule="auto"/>
        <w:bidi/>
        <w:jc w:val="right"/>
      </w:pPr>
      <w:r>
        <w:rPr>
          <w:rFonts w:ascii="Arial" w:hAnsi="Arial" w:cs="Arial"/>
          <w:b w:val="0"/>
          <w:i w:val="0"/>
          <w:rtl/>
        </w:rPr>
        <w:t>این مطالعه چهار سهم دارد. نخست، مسئله ترجمه را نام می‌گذارد و ساختار می‌دهد: ارزیابی ریسک سایبری در حسابرسی را در مدل ریسک، چرخه مدیریت و لایه اطمینان‌بخشی سازمان می‌دهد و هر مولفه را در آن‌ها جای می‌دهد. دوم، نخستین شواهد دوطرفه را دربارهٔ آنچه سازمان و حسابرس هر یک جزء ارزیابی می‌دانند فراهم می‌کند و نشان می‌دهد کجا هم‌گرا و کجا واگرا هستند. سوم، اهمیت را از قابلیت اجرا جدا می‌کند در محیطی که شرایط توانمندساز آن با فرض بیشتر پژوهش‌های پیشین فرق دارد؛ این کار یافته‌ها را به راهنمایی تبدیل می‌کند که نشان می‌دهد استاندارد، آموزش و مقررات کجا باید سرمایه‌گذاری کنند. چهارم، مجموعه مولفه اعتبارسنجی‌شده‌ای می‌دهد که مبنای اندازه‌گیری برای مقیاس‌سازی و پژوهش بعدی دربارهٔ روابط ساختاری میان مولفه‌هاست. برای حسابرسان و موسسات حسابرسی، مولفه‌ها مبنایی ساختاریافته برای برنامه‌ریزی ارزیابی ریسک سایبری است؛ برای سازمان‌ها، تصویری از آنچه حسابرسان احتمالاً بررسی می‌کنند؛ و برای نهادهای ناظر و حرفه‌ای، شواهدی برای آموزش، راهنما و استانداردگذاری.</w:t>
      </w:r>
    </w:p>
    <w:p>
      <w:pPr>
        <w:spacing w:after="140" w:line="360" w:lineRule="auto"/>
        <w:bidi/>
        <w:jc w:val="right"/>
      </w:pPr>
      <w:r>
        <w:rPr>
          <w:rFonts w:ascii="Arial" w:hAnsi="Arial" w:cs="Arial"/>
          <w:b w:val="0"/>
          <w:i w:val="0"/>
          <w:rtl/>
        </w:rPr>
        <w:t>مخاطرات این مسئله هم عملی است و هم علمی. تا زمانی که سازه مشخص نشود، اثربخشی ارزیابی ریسک سایبری اندازه‌گیری‌شدنی نیست، همکاری حسابرس و متخصص طراحی‌شدنی نیست و استانداردها را نمی‌توان با محیط‌هایی که در آن‌ها به کار می‌روند تنظیم کرد. این مقاله سازه را مشخص می‌کند، با کسانی که باید با آن زندگی کنند آزمون می‌کند و نشان می‌دهد حرفه و واحدهایی که حسابرسی می‌کند در اینکه چه چیزی مهم است کجا اختلاف دارند. ادامه مقاله چنین سازمان یافته است. بخش 2 مبانی نظری و مولفه‌های کاندید را توسعه می‌دهد. بخش 3 طرح پژوهش، پانل‌های خبره و معیارهای اجماع را توضیح می‌دهد. بخش 4 نتایج را همراه با مقایسه دو پانل گزارش می‌کند. بخش 5 یافته‌ها، پیامدها، محدودیت‌ها و مسیرهای پژوهش آینده را بحث می‌کند.</w:t>
      </w:r>
    </w:p>
    <w:p>
      <w:pPr>
        <w:spacing w:after="140" w:line="288" w:lineRule="auto"/>
        <w:bidi/>
        <w:jc w:val="right"/>
      </w:pPr>
      <w:r>
        <w:rPr>
          <w:rFonts w:ascii="Arial" w:hAnsi="Arial" w:cs="Arial"/>
          <w:b/>
          <w:i w:val="0"/>
          <w:color w:val="1F3864"/>
          <w:sz w:val="30"/>
          <w:rtl/>
        </w:rPr>
        <w:t>2. مبانی نظری و گزاره‌ها</w:t>
      </w:r>
    </w:p>
    <w:p>
      <w:pPr>
        <w:spacing w:after="140" w:line="336" w:lineRule="auto"/>
        <w:bidi/>
        <w:jc w:val="right"/>
      </w:pPr>
      <w:r>
        <w:rPr>
          <w:rFonts w:ascii="Arial" w:hAnsi="Arial" w:cs="Arial"/>
          <w:b w:val="0"/>
          <w:i w:val="0"/>
          <w:rtl/>
        </w:rPr>
        <w:t>نظریه در این مطالعه سه کار دارد. باید موضوع مطالعه، یعنی ارزیابی ریسک سایبری که حسابرس انجام می‌دهد، را آن‌قدر دقیق تعریف کند که بتوان آن را به مولفه‌ها تجزیه کرد. باید توضیح دهد چرا این مولفه‌ها باید به هم پیوسته باشند تا فهرست به ساختاری آزمون‌پذیر تبدیل شود. و باید توضیح دهد چرا نقطه دید ناظر و زمینه ارزیابی باید آنچه دیده می‌شود را تغییر دهد. این سه کار را به‌ترتیب انجام می‌دهیم و گزاره‌ها از پاسخ‌ها نتیجه می‌شوند.</w:t>
      </w:r>
    </w:p>
    <w:p>
      <w:pPr>
        <w:spacing w:after="100" w:line="288" w:lineRule="auto"/>
        <w:bidi/>
        <w:jc w:val="right"/>
      </w:pPr>
      <w:r>
        <w:rPr>
          <w:rFonts w:ascii="Arial" w:hAnsi="Arial" w:cs="Arial"/>
          <w:b/>
          <w:i w:val="0"/>
          <w:color w:val="1F3864"/>
          <w:sz w:val="25"/>
          <w:rtl/>
        </w:rPr>
        <w:t>2-1. تعریف موضوع: ریسک، ریسک حسابرسی و ریسک سایبری</w:t>
      </w:r>
    </w:p>
    <w:p>
      <w:pPr>
        <w:spacing w:after="140" w:line="336" w:lineRule="auto"/>
        <w:bidi/>
        <w:jc w:val="right"/>
      </w:pPr>
      <w:r>
        <w:rPr>
          <w:rFonts w:ascii="Arial" w:hAnsi="Arial" w:cs="Arial"/>
          <w:b w:val="0"/>
          <w:i w:val="0"/>
          <w:rtl/>
        </w:rPr>
        <w:t>در واژگان ISO 31000 ریسک اثر عدم قطعیت بر اهداف است و ISO/IEC 27005:2022 این اثر را به‌صورت پیامد برای اهداف امنیت اطلاعات بیان می‌کند (ISO, 2018; ISO/IEC, 2022). اهداف حسابرس متفاوت است. حسابرس اطمینان معقول می‌خواهد که صورت‌های مالی عاری از تحریف با اهمیت است و مدل ریسک حسابرسی ریسک نرسیدن به آن را تابعی از ریسک تحریف با اهمیت، که ریسک ذاتی و ریسک کنترل را ترکیب می‌کند، و ریسک کشف بیان می‌کند. به‌نظر ما ریسک سایبری از دو نقطه وارد این مدل می‌شود. می‌تواند ریسک ذاتی را بالا ببرد، چون محیط IT به فرایندهای تولیدکننده ادعاها پیچیدگی و تغییر می‌افزاید، که دو مورد از عوامل ریسک ذاتی نام‌برده در ISA 315 (بازنگری 2019) هستند (IAASB, 2019). و می‌تواند ریسک کنترل را متأثر کند، چون کنترل‌هایی که حسابرس به آن‌ها تکیه می‌کند به کنترل‌های عمومی IT وابسته‌اند که خودشان باید شناخته و ارزیابی شوند. ورودی سوم، از طریق توان واحد برای ادامه فعالیت و افشای مناسب حوادث، به قضاوت‌های تداوم فعالیت و افشا می‌رسد، نه به تحریف در سطح ادعا.</w:t>
      </w:r>
    </w:p>
    <w:p>
      <w:pPr>
        <w:spacing w:after="140" w:line="336" w:lineRule="auto"/>
        <w:bidi/>
        <w:jc w:val="right"/>
      </w:pPr>
      <w:r>
        <w:rPr>
          <w:rFonts w:ascii="Arial" w:hAnsi="Arial" w:cs="Arial"/>
          <w:b w:val="0"/>
          <w:i w:val="0"/>
          <w:rtl/>
        </w:rPr>
        <w:t>از این رو ارزیابی ریسک سایبری در حسابرسی را مجموعه‌ای از فعالیت‌ها تعریف می‌کنیم که حسابرس، مستقیم یا از طریق متخصصان و اطلاعات تهیه‌شده توسط واحد، با آن‌ها محیط IT واحد را می‌شناسد، ریسک‌های سایبری مؤثر بر اتکاپذیری گزارشگری مالی و کنترل‌های مورد اتکا را شناسایی و ارزیابی می‌کند، قضاوتی درباره ریسک باقیمانده شکل می‌دهد و مستند می‌کند و آن را به کسانی که باید اقدام کنند منتقل می‌کند. سه ویژگی این تعریف کار نظری را انجام می‌دهد. ارزیاب مالک سیستم نیست، پس ارزیابی مسئله عدم تقارن اطلاعات است. خروجی قضاوت است نه اندازه‌گیری، که پیامد کمبود داده و محدودیت کمی‌سازی است (Cremer et al., 2022)، پس کیفیت آن به ورودی‌های قضاوت بستگی دارد. و فعالیت زنجیره‌ای از اتکا به متخصصان، توصیف‌های سازمان و گزارش‌های اشخاص ثالث است، پس توانمندی و همکاری جزئی از سازه‌اند نه صرفاً زمینه.</w:t>
      </w:r>
    </w:p>
    <w:p>
      <w:pPr>
        <w:spacing w:after="100" w:line="288" w:lineRule="auto"/>
        <w:bidi/>
        <w:jc w:val="right"/>
      </w:pPr>
      <w:r>
        <w:rPr>
          <w:rFonts w:ascii="Arial" w:hAnsi="Arial" w:cs="Arial"/>
          <w:b/>
          <w:i w:val="0"/>
          <w:color w:val="1F3864"/>
          <w:sz w:val="25"/>
          <w:rtl/>
        </w:rPr>
        <w:t>2-2. ساختار: سه لایه و هفت بُعد</w:t>
      </w:r>
    </w:p>
    <w:p>
      <w:pPr>
        <w:spacing w:after="140" w:line="336" w:lineRule="auto"/>
        <w:bidi/>
        <w:jc w:val="right"/>
      </w:pPr>
      <w:r>
        <w:rPr>
          <w:rFonts w:ascii="Arial" w:hAnsi="Arial" w:cs="Arial"/>
          <w:b w:val="0"/>
          <w:i w:val="0"/>
          <w:rtl/>
        </w:rPr>
        <w:t>سازه‌ای که این‌گونه تعریف شود به ساختار نیاز دارد و ادبیات سه لایه فراهم می‌کند. لایه مدل ریسک به نحوه شناسایی، برآورد و ارزیابی تهدید، آسیب‌پذیری و پیامد می‌پردازد. ادبیات آن نشان می‌دهد روش‌ها در پوشش تفاوت دارند (Wangen et al., 2018)، مدل‌های تحلیل تصمیم و احتمالاتی می‌توانند این سه‌گانه را ادغام کنند (Ganin et al., 2020; Wang et al., 2020) و سرمایه‌گذاری در حفاظت باید با زیان مورد انتظار هدایت شود (Gordon &amp; Loeb, 2002). لایه چرخه مدیریت به نحوه مقابله، پایش، پاسخ و یادگیری از ریسک می‌پردازد؛ جایی که چارچوب‌هایی مثل NIST CSF 2.0 بیشترین تلاش را می‌کنند و دیدگاه‌های ایستا به‌خاطر نادیده‌گرفتن پویایی نقد می‌شوند (Armenia et al., 2021). لایه اطمینان‌بخشی به معیار، شواهد، آزمون، قضاوت، گزارشگری و پاسخگویی می‌پردازد که Slapničar et al. (2022) آن را با برنامه‌ریزی، اجرا و گزارشگری عملیاتی می‌کنند و ISA 315 و استانداردهای IIA آن را تنظیم می‌کنند.</w:t>
      </w:r>
    </w:p>
    <w:p>
      <w:pPr>
        <w:spacing w:after="140" w:line="336" w:lineRule="auto"/>
        <w:bidi/>
        <w:jc w:val="right"/>
      </w:pPr>
      <w:r>
        <w:rPr>
          <w:rFonts w:ascii="Arial" w:hAnsi="Arial" w:cs="Arial"/>
          <w:b w:val="0"/>
          <w:i w:val="0"/>
          <w:rtl/>
        </w:rPr>
        <w:t>اگر هر لایه از هر دو نقطه دید پوشش داده شود، 30 مولفه در هفت بُعد به دست می‌آید (جدول A1). حاکمیت و راهبرد (C01 تا C03) آنچه را NIST CSF 2.0 اکنون کارکردی مستقل می‌داند و پژوهش به حسابرسی امنیت سایبری پیوند می‌دهد در بر می‌گیرد: حاکمیت هیئت‌مدیره، مشارکت کمیته حسابرسی و کارکرد ریسک (Islam et al., 2018) و کمیته‌های فناوری هیئت‌مدیره که بلوغ آن‌ها با نقض‌های گزارش‌شده در دو جهت متفاوت همراه است (Higgs et al., 2016). فرایند ارزیابی ریسک (C04 تا C08) دارایی‌ها، تهدیدها، آسیب‌پذیری‌ها، تحلیل و تغییر را پوشش می‌دهد و مستندترین بُعد است، با تکیه بر Hermanson et al. (2000) درباره ریسک‌های سنتی IT و ادبیات روش‌ها. کنترل و مقابله با ریسک (C09 تا C15) اجرا، دسترسی، داده، زیرساخت، توسعه و تغییر، آگاهی و اشخاص ثالث را پوشش می‌دهد؛ استانداردها اینجا غنی‌اند و پژوهش ویژه حسابرسی کم است. پایش و پاسخ (C16 تا C18) پایش، پاسخ به حادثه و تداوم را پوشش می‌دهد، جایی که دیدگاه پویای Armenia et al. (2021) و سیگنال کشف و پاسخ در Higgs et al. (2016) کاربرد دارند. انطباق، بهبود و گزارشگری (C19 تا C21) الزام قانونی، ارزیابی اثربخشی و گزارشگری را پوشش می‌دهد با تکیه بر فشارهای نهادی (Vuko et al., 2024)، گزارشگری به هیئت‌مدیره (Slapničar et al., 2022) و افشا (Sari et al., 2023). دو بُعد ویژه حسابرس فرایند خود حسابرس را (A01 تا A04: شناخت محیط IT، پیوند ریسک سایبری با تحریف با اهمیت، ارزیابی کنترل‌های عمومی IT و ارزیابی شواهد الکترونیکی) و شرایط اتکا، صلاحیت و گزارشگری (A05 تا A09: گزارش‌های سازمان خدماتی، صلاحیت و کارشناسان، اثر حوادث بر صورت‌های مالی، ارتباط با راهبران و قضاوت حرفه‌ای) پوشش می‌دهند.</w:t>
      </w:r>
    </w:p>
    <w:p>
      <w:pPr>
        <w:spacing w:after="140" w:line="336" w:lineRule="auto"/>
        <w:bidi/>
        <w:jc w:val="right"/>
      </w:pPr>
      <w:r>
        <w:rPr>
          <w:rFonts w:ascii="Arial" w:hAnsi="Arial" w:cs="Arial"/>
          <w:b w:val="0"/>
          <w:i w:val="0"/>
          <w:rtl/>
        </w:rPr>
        <w:t>نیمرخ شواهد ناهمگون است و این ناهمگونی اطلاعات می‌دهد. از 30 مولفه، 21 مولفه دست‌کم یک مطالعه تأییدشده پشتیبان دارند و نُه مولفه فقط بر استانداردها و راهنماها تکیه دارند: سیاست‌ها و راهبرد (C02)، زمینه و دامنه (C03)، کنترل دسترسی (C10)، امنیت شبکه و فیزیکی (C12)، آگاهی (C14)، ریسک اشخاص ثالث (C15)، تداوم (C18)، شواهد الکترونیکی حسابرسی (A04) و قضاوت حرفه‌ای (A09). دوازده مولفه به دیدگاه سازمان مورد رسیدگی، نُه مولفه به دیدگاه حسابرس و نُه مولفه به هر دو (مشترک) تعلق دارند (جدول A1). مولفه‌های فقط‌استانداردی جایی را نشان می‌دهند که سازه به راهنمای حرفه‌ای وابسته است نه شواهد، و اعتبارسنجی خبرگان بیشترین اهمیت را دارد؛ مولفه‌های مشترک مرزی را نشان می‌دهند که دو نقطه دید باید در آن آشتی کنند. هر دو مشاهده گزاره‌های زیر را می‌سازند.</w:t>
      </w:r>
    </w:p>
    <w:p>
      <w:pPr>
        <w:spacing w:after="100" w:line="288" w:lineRule="auto"/>
        <w:bidi/>
        <w:jc w:val="right"/>
      </w:pPr>
      <w:r>
        <w:rPr>
          <w:rFonts w:ascii="Arial" w:hAnsi="Arial" w:cs="Arial"/>
          <w:b/>
          <w:i w:val="0"/>
          <w:color w:val="1F3864"/>
          <w:sz w:val="25"/>
          <w:rtl/>
        </w:rPr>
        <w:t>2-3. سازوکارها: هر نظریه چه چیزی را توضیح می‌دهد</w:t>
      </w:r>
    </w:p>
    <w:p>
      <w:pPr>
        <w:spacing w:after="140" w:line="336" w:lineRule="auto"/>
        <w:bidi/>
        <w:jc w:val="right"/>
      </w:pPr>
      <w:r>
        <w:rPr>
          <w:rFonts w:ascii="Arial" w:hAnsi="Arial" w:cs="Arial"/>
          <w:b w:val="0"/>
          <w:i w:val="0"/>
          <w:rtl/>
        </w:rPr>
        <w:t>مدل ریسک حسابرسی و حسابرسی مبتنی بر ریسک زنجیره‌ای را توضیح می‌دهند که مطالعه را سازمان می‌دهد: اطلاعات درباره واحد و محیط IT آن به ارزیابی ریسک تبدیل می‌شود و ارزیابی پاسخ را تعیین می‌کند. بنابراین کیفیت آنچه حسابرس شناسایی و ارزیابی می‌کند باید کیفیت قضاوت درباره ریسک را تعیین کند و کیفیت قضاوت باید آنچه منتقل و انجام می‌شود را تعیین کند. این زنجیره در یک مطالعه ساختاری همراه آزمون می‌شود؛ اینجا برای سازمان‌دادن مولفه‌ها و توجیه گزاره‌های زیر به کار می‌رود.</w:t>
      </w:r>
    </w:p>
    <w:p>
      <w:pPr>
        <w:spacing w:after="140" w:line="336" w:lineRule="auto"/>
        <w:bidi/>
        <w:jc w:val="right"/>
      </w:pPr>
      <w:r>
        <w:rPr>
          <w:rFonts w:ascii="Arial" w:hAnsi="Arial" w:cs="Arial"/>
          <w:b w:val="0"/>
          <w:i w:val="0"/>
          <w:rtl/>
        </w:rPr>
        <w:t>نظریه نمایندگی توضیح می‌دهد چرا نقطه دید اهمیت دارد. در روایت Jensen و Meckling (1976)، نظارت و تعهد‌دهی پدید می‌آیند چون مالکان نمی‌توانند بدون هزینه رفتار عامل را ببینند؛ حسابرسی یکی از این ابزارهاست. در ریسک سایبری این عدم تقارن شدید است: سازمان سیستم‌هایش را می‌شناسد و حسابرس باید درباره آن‌ها اظهارنظر کند. اتکا به متخصصان و توصیف‌های تهیه‌شده توسط سازمان بهای این عدم تقارن است و هرجا دو طرف مولفه‌ها را متفاوت وزن کنند، تفاوت نشان می‌دهد رابطه نظارتی کجا زیر فشار است.</w:t>
      </w:r>
    </w:p>
    <w:p>
      <w:pPr>
        <w:spacing w:after="140" w:line="336" w:lineRule="auto"/>
        <w:bidi/>
        <w:jc w:val="right"/>
      </w:pPr>
      <w:r>
        <w:rPr>
          <w:rFonts w:ascii="Arial" w:hAnsi="Arial" w:cs="Arial"/>
          <w:b w:val="0"/>
          <w:i w:val="0"/>
          <w:rtl/>
        </w:rPr>
        <w:t>دیدگاه مبتنی بر منابع و توانمندی‌های پویا توضیح می‌دهد چرا صلاحیت، همکاری و یادگیری به سازه تعلق دارند. منابع ارزشمند، کمیاب و دشوار‌تقلید عملکرد را پایدار می‌کنند (Barney, 1991) و توانمندی‌های یکپارچه‌سازی، ساخت و بازپیکربندی شایستگی‌ها امکان سازگاری با محیط متغیر را می‌دهند (Teece et al., 1997). صلاحیت فنی حسابرس، رابطه کاری با متخصصان و توان یادگیری از حوادث دقیقاً در این معنا توانمندی‌اند.</w:t>
      </w:r>
    </w:p>
    <w:p>
      <w:pPr>
        <w:spacing w:after="140" w:line="336" w:lineRule="auto"/>
        <w:bidi/>
        <w:jc w:val="right"/>
      </w:pPr>
      <w:r>
        <w:rPr>
          <w:rFonts w:ascii="Arial" w:hAnsi="Arial" w:cs="Arial"/>
          <w:b w:val="0"/>
          <w:i w:val="0"/>
          <w:rtl/>
        </w:rPr>
        <w:t>نظریه‌های نهادی و اقتضایی توضیح می‌دهند چرا زمینه اهمیت دارد. پذیرش استانداردها به فشارهای قانونی، تقلیدی و هنجاری پاسخ می‌دهد (DiMaggio &amp; Powell, 1983) و اثربخشی یک رویه به تناسب آن با شرایط سازمان بستگی دارد (Donaldson, 2001). Vuko et al. (2024) لنز نهادی را برای اثربخشی حسابرسی امنیت سایبری به کار برده‌اند. این نظریه‌ها با هم پیش‌بینی می‌کنند که مولفه‌ای می‌تواند مهم ولی غیرقابل اجرا باشد، هرجا شرایط توانمندساز نباشد؛ به همین دلیل اهمیت و قابلیت اجرا جدا سنجیده می‌شوند.</w:t>
      </w:r>
    </w:p>
    <w:p>
      <w:pPr>
        <w:spacing w:after="140" w:line="336" w:lineRule="auto"/>
        <w:bidi/>
        <w:jc w:val="right"/>
      </w:pPr>
      <w:r>
        <w:rPr>
          <w:rFonts w:ascii="Arial" w:hAnsi="Arial" w:cs="Arial"/>
          <w:b w:val="0"/>
          <w:i w:val="0"/>
          <w:rtl/>
        </w:rPr>
        <w:t>اقتصاد سرمایه‌گذاری امنیتی توضیح می‌دهد چرا قضاوت ریسک باقیمانده کارکرد اولویت‌بندی دارد. Gordon و Loeb (2002) نشان می‌دهند سرمایه‌گذاری بهینه در حفاظت از یک مجموعه اطلاعات عموماً کسری از زیان مورد انتظار است و مجموعه‌های اطلاعاتی با آسیب‌پذیری متوسط ممکن است حفاظت بیشتری از مجموعه‌های بسیار آسیب‌پذیر ارزش داشته باشند. ارزیابی‌ای که ریسک‌ها را رتبه‌بندی می‌کند و ریسک ذاتی را از باقیمانده جدا می‌کند چنین مبادلاتی را ممکن می‌سازد.</w:t>
      </w:r>
    </w:p>
    <w:p>
      <w:pPr>
        <w:spacing w:after="100" w:line="288" w:lineRule="auto"/>
        <w:bidi/>
        <w:jc w:val="right"/>
      </w:pPr>
      <w:r>
        <w:rPr>
          <w:rFonts w:ascii="Arial" w:hAnsi="Arial" w:cs="Arial"/>
          <w:b/>
          <w:i w:val="0"/>
          <w:color w:val="1F3864"/>
          <w:sz w:val="25"/>
          <w:rtl/>
        </w:rPr>
        <w:t>2-4. گزاره‌ها برای مطالعه دلفی</w:t>
      </w:r>
    </w:p>
    <w:p>
      <w:pPr>
        <w:spacing w:after="140" w:line="336" w:lineRule="auto"/>
        <w:bidi/>
        <w:jc w:val="right"/>
      </w:pPr>
      <w:r>
        <w:rPr>
          <w:rFonts w:ascii="Arial" w:hAnsi="Arial" w:cs="Arial"/>
          <w:b w:val="0"/>
          <w:i w:val="0"/>
          <w:rtl/>
        </w:rPr>
        <w:t>مطالعه دلفی فرضیه آماری آزمون نمی‌کند. چهار گزاره که از نظریه و نیمرخ شواهد نتیجه می‌شوند آن را هدایت می‌کنند و چگونگی اعتبارسنجی مولفه‌ها را تعیین می‌کنند.</w:t>
      </w:r>
    </w:p>
    <w:p>
      <w:pPr>
        <w:spacing w:after="80" w:line="336" w:lineRule="auto"/>
        <w:bidi/>
        <w:jc w:val="right"/>
      </w:pPr>
      <w:r>
        <w:rPr>
          <w:rFonts w:ascii="Arial" w:hAnsi="Arial" w:cs="Arial"/>
          <w:b w:val="0"/>
          <w:i w:val="0"/>
          <w:rtl/>
        </w:rPr>
        <w:t>• P1 (هم‌گرایی شواهد). مولفه‌هایی که هم استانداردها و هم پژوهش‌های پیشین از آن‌ها پشتیبانی می‌کنند زودتر و با پراکندگی کمتر به اجماع می‌رسند تا مولفه‌هایی که فقط بر استاندارد تکیه دارند. منابع هم‌گرا بیشتر بخشی از واژگان مشترک حرفه‌اند، در حالی که مولفه‌های فقط‌استانداردی به میزان جذب راهنما در عمل بستگی دارند (نظریه نهادی).</w:t>
      </w:r>
    </w:p>
    <w:p>
      <w:pPr>
        <w:spacing w:after="80" w:line="336" w:lineRule="auto"/>
        <w:bidi/>
        <w:jc w:val="right"/>
      </w:pPr>
      <w:r>
        <w:rPr>
          <w:rFonts w:ascii="Arial" w:hAnsi="Arial" w:cs="Arial"/>
          <w:b w:val="0"/>
          <w:i w:val="0"/>
          <w:rtl/>
        </w:rPr>
        <w:t>• P2 (برجستگی نقطه دید). هر پانل مولفه‌های نزدیک‌تر به کار خود را بالاتر امتیاز می‌دهد: پانل سازمان مولفه‌های کنترل و مقابله (C09 تا C15) و پانل حسابرس بُعدهای ویژه حسابرس (A01 تا A09). برجستگی نقش و عدم تقارن اطلاعات آنچه را هر طرف محوری می‌بیند شکل می‌دهد (نظریه نمایندگی و توانمندی‌ها).</w:t>
      </w:r>
    </w:p>
    <w:p>
      <w:pPr>
        <w:spacing w:after="80" w:line="336" w:lineRule="auto"/>
        <w:bidi/>
        <w:jc w:val="right"/>
      </w:pPr>
      <w:r>
        <w:rPr>
          <w:rFonts w:ascii="Arial" w:hAnsi="Arial" w:cs="Arial"/>
          <w:b w:val="0"/>
          <w:i w:val="0"/>
          <w:rtl/>
        </w:rPr>
        <w:t>• P3 (شکاف اهمیت و قابلیت اجرا). امتیاز قابلیت اجرا بیشترین فاصله را از امتیاز اهمیت دارد در مولفه‌هایی که به شرایط توانمندساز بیرون از کنترل ارزیاب وابسته‌اند: ریسک اشخاص ثالث (C15)، پایش مستمر (C16)، اتکا به گزارش‌های سازمان خدماتی (A05) و استفاده از کارشناس (A06) (نظریه اقتضایی و نهادی).</w:t>
      </w:r>
    </w:p>
    <w:p>
      <w:pPr>
        <w:spacing w:after="80" w:line="336" w:lineRule="auto"/>
        <w:bidi/>
        <w:jc w:val="right"/>
      </w:pPr>
      <w:r>
        <w:rPr>
          <w:rFonts w:ascii="Arial" w:hAnsi="Arial" w:cs="Arial"/>
          <w:b w:val="0"/>
          <w:i w:val="0"/>
          <w:rtl/>
        </w:rPr>
        <w:t>• P4 (شکاف ترجمه). اختلاف دو پانل در مولفه‌های مرز میان ریسک سازمان و ریسک حسابرس بیشترین است: تحلیل و ارزیابی ریسک (C07)، ریسک تقلب سایبری و تغییر (C08) و اثر بر تحریف با اهمیت (A02). دو طرف در هدف، واحد تحلیل و شواهد فرق دارند، پس واژگان یکسان معانی متفاوت می‌یابند.</w:t>
      </w:r>
    </w:p>
    <w:p>
      <w:pPr>
        <w:spacing w:after="40"/>
      </w:pPr>
    </w:p>
    <w:p>
      <w:pPr>
        <w:spacing w:after="140" w:line="336" w:lineRule="auto"/>
        <w:bidi/>
        <w:jc w:val="right"/>
      </w:pPr>
      <w:r>
        <w:rPr>
          <w:rFonts w:ascii="Arial" w:hAnsi="Arial" w:cs="Arial"/>
          <w:b w:val="0"/>
          <w:i w:val="0"/>
          <w:rtl/>
        </w:rPr>
        <w:t>نظریه بدین‌ترتیب برای مطالعه دلفی تعریفی از موضوع، ساختاری برای مولفه‌ها و چهار گزاره درباره اینکه اجماع کجا شکل می‌گیرد و دو نقطه دید کجا از هم جدا می‌شوند فراهم می‌کند. هر چه خبرگان تصمیم بگیرند، نتیجه آموزنده است: هم‌گرایی نشان می‌دهد سازه میان حرفه مشترک است و واگرایی جاهایی را مکان‌یابی می‌کند که مشترک نیست.</w:t>
      </w:r>
    </w:p>
    <w:p>
      <w:pPr>
        <w:sectPr>
          <w:pgSz w:w="12240" w:h="15840"/>
          <w:pgMar w:top="1304" w:right="1304" w:bottom="1304" w:left="1304" w:header="720" w:footer="720" w:gutter="0"/>
          <w:cols w:space="720"/>
          <w:docGrid w:linePitch="360"/>
        </w:sectPr>
      </w:pPr>
    </w:p>
    <w:p>
      <w:pPr>
        <w:spacing w:after="60" w:line="288" w:lineRule="auto"/>
        <w:bidi/>
        <w:jc w:val="right"/>
      </w:pPr>
      <w:r>
        <w:rPr>
          <w:rFonts w:ascii="Arial" w:hAnsi="Arial" w:cs="Arial"/>
          <w:b/>
          <w:i w:val="0"/>
          <w:color w:val="1F3864"/>
          <w:sz w:val="24"/>
          <w:rtl/>
        </w:rPr>
        <w:t>جدول A1. مولفه‌های شناسایی‌شده ارزیابی ریسک سایبری در حسابرسی</w:t>
      </w:r>
    </w:p>
    <w:p>
      <w:pPr>
        <w:spacing w:after="80" w:line="264" w:lineRule="auto"/>
        <w:bidi/>
        <w:jc w:val="right"/>
      </w:pPr>
      <w:r>
        <w:rPr>
          <w:rFonts w:ascii="Arial" w:hAnsi="Arial" w:cs="Arial"/>
          <w:b w:val="0"/>
          <w:i w:val="0"/>
          <w:color w:val="5A5A5A"/>
          <w:sz w:val="17"/>
          <w:rtl/>
        </w:rPr>
        <w:t>دیدگاه: سازمان = واحد مورد رسیدگی؛ حسابرس = حسابرس؛ مشترک = هر دو. شواهد: S+R = استانداردها و دست‌کم یک مطالعه تأییدشده؛ S = فقط استانداردها و راهنماها. TSC = معیارهای خدمات اعتماد AICPA؛ GITC = کنترل‌های عمومی IT؛ GIAS = استانداردهای جهانی حسابرسی داخلی.</w:t>
      </w:r>
    </w:p>
    <w:tbl>
      <w:tblPr>
        <w:tblStyle w:val="TableGrid"/>
        <w:tblW w:type="auto" w:w="0"/>
        <w:tblLayout w:type="fixed"/>
        <w:tblLook w:firstColumn="1" w:firstRow="1" w:lastColumn="0" w:lastRow="0" w:noHBand="0" w:noVBand="1" w:val="04A0"/>
        <w:bidiVisual/>
      </w:tblPr>
      <w:tblGrid>
        <w:gridCol w:w="680"/>
        <w:gridCol w:w="2211"/>
        <w:gridCol w:w="1361"/>
        <w:gridCol w:w="964"/>
        <w:gridCol w:w="4309"/>
        <w:gridCol w:w="3969"/>
        <w:gridCol w:w="907"/>
      </w:tblGrid>
      <w:tr>
        <w:tc>
          <w:tcPr>
            <w:tcW w:type="dxa" w:w="680"/>
            <w:shd w:val="clear" w:color="auto" w:fill="1F3864"/>
          </w:tcPr>
          <w:p>
            <w:pPr>
              <w:bidi/>
              <w:jc w:val="right"/>
            </w:pPr>
            <w:r>
              <w:rPr>
                <w:rFonts w:ascii="Arial" w:hAnsi="Arial" w:cs="Arial"/>
                <w:rtl/>
              </w:rPr>
            </w:r>
            <w:r>
              <w:rPr>
                <w:rFonts w:ascii="Arial" w:hAnsi="Arial" w:cs="Arial"/>
                <w:b/>
                <w:color w:val="FFFFFF"/>
                <w:sz w:val="17"/>
                <w:rtl/>
              </w:rPr>
              <w:t>کد</w:t>
            </w:r>
          </w:p>
        </w:tc>
        <w:tc>
          <w:tcPr>
            <w:tcW w:type="dxa" w:w="2211"/>
            <w:shd w:val="clear" w:color="auto" w:fill="1F3864"/>
          </w:tcPr>
          <w:p>
            <w:pPr>
              <w:bidi/>
              <w:jc w:val="right"/>
            </w:pPr>
            <w:r>
              <w:rPr>
                <w:rFonts w:ascii="Arial" w:hAnsi="Arial" w:cs="Arial"/>
                <w:rtl/>
              </w:rPr>
            </w:r>
            <w:r>
              <w:rPr>
                <w:rFonts w:ascii="Arial" w:hAnsi="Arial" w:cs="Arial"/>
                <w:b/>
                <w:color w:val="FFFFFF"/>
                <w:sz w:val="17"/>
                <w:rtl/>
              </w:rPr>
              <w:t>مولفه</w:t>
            </w:r>
          </w:p>
        </w:tc>
        <w:tc>
          <w:tcPr>
            <w:tcW w:type="dxa" w:w="1361"/>
            <w:shd w:val="clear" w:color="auto" w:fill="1F3864"/>
          </w:tcPr>
          <w:p>
            <w:pPr>
              <w:bidi/>
              <w:jc w:val="right"/>
            </w:pPr>
            <w:r>
              <w:rPr>
                <w:rFonts w:ascii="Arial" w:hAnsi="Arial" w:cs="Arial"/>
                <w:rtl/>
              </w:rPr>
            </w:r>
            <w:r>
              <w:rPr>
                <w:rFonts w:ascii="Arial" w:hAnsi="Arial" w:cs="Arial"/>
                <w:b/>
                <w:color w:val="FFFFFF"/>
                <w:sz w:val="17"/>
                <w:rtl/>
              </w:rPr>
              <w:t>دیدگاه</w:t>
            </w:r>
          </w:p>
        </w:tc>
        <w:tc>
          <w:tcPr>
            <w:tcW w:type="dxa" w:w="964"/>
            <w:shd w:val="clear" w:color="auto" w:fill="1F3864"/>
          </w:tcPr>
          <w:p>
            <w:pPr>
              <w:bidi/>
              <w:jc w:val="right"/>
            </w:pPr>
            <w:r>
              <w:rPr>
                <w:rFonts w:ascii="Arial" w:hAnsi="Arial" w:cs="Arial"/>
                <w:rtl/>
              </w:rPr>
            </w:r>
            <w:r>
              <w:rPr>
                <w:rFonts w:ascii="Arial" w:hAnsi="Arial" w:cs="Arial"/>
                <w:b/>
                <w:color w:val="FFFFFF"/>
                <w:sz w:val="17"/>
                <w:rtl/>
              </w:rPr>
              <w:t>سازه</w:t>
            </w:r>
          </w:p>
        </w:tc>
        <w:tc>
          <w:tcPr>
            <w:tcW w:type="dxa" w:w="4309"/>
            <w:shd w:val="clear" w:color="auto" w:fill="1F3864"/>
          </w:tcPr>
          <w:p>
            <w:pPr>
              <w:bidi/>
              <w:jc w:val="right"/>
            </w:pPr>
            <w:r>
              <w:rPr>
                <w:rFonts w:ascii="Arial" w:hAnsi="Arial" w:cs="Arial"/>
                <w:rtl/>
              </w:rPr>
            </w:r>
            <w:r>
              <w:rPr>
                <w:rFonts w:ascii="Arial" w:hAnsi="Arial" w:cs="Arial"/>
                <w:b/>
                <w:color w:val="FFFFFF"/>
                <w:sz w:val="17"/>
                <w:rtl/>
              </w:rPr>
              <w:t>استانداردها و راهنماها</w:t>
            </w:r>
          </w:p>
        </w:tc>
        <w:tc>
          <w:tcPr>
            <w:tcW w:type="dxa" w:w="3969"/>
            <w:shd w:val="clear" w:color="auto" w:fill="1F3864"/>
          </w:tcPr>
          <w:p>
            <w:pPr>
              <w:bidi/>
              <w:jc w:val="right"/>
            </w:pPr>
            <w:r>
              <w:rPr>
                <w:rFonts w:ascii="Arial" w:hAnsi="Arial" w:cs="Arial"/>
                <w:rtl/>
              </w:rPr>
            </w:r>
            <w:r>
              <w:rPr>
                <w:rFonts w:ascii="Arial" w:hAnsi="Arial" w:cs="Arial"/>
                <w:b/>
                <w:color w:val="FFFFFF"/>
                <w:sz w:val="17"/>
                <w:rtl/>
              </w:rPr>
              <w:t>پژوهش‌های مرتبط</w:t>
            </w:r>
          </w:p>
        </w:tc>
        <w:tc>
          <w:tcPr>
            <w:tcW w:type="dxa" w:w="907"/>
            <w:shd w:val="clear" w:color="auto" w:fill="1F3864"/>
          </w:tcPr>
          <w:p>
            <w:pPr>
              <w:bidi/>
              <w:jc w:val="right"/>
            </w:pPr>
            <w:r>
              <w:rPr>
                <w:rFonts w:ascii="Arial" w:hAnsi="Arial" w:cs="Arial"/>
                <w:rtl/>
              </w:rPr>
            </w:r>
            <w:r>
              <w:rPr>
                <w:rFonts w:ascii="Arial" w:hAnsi="Arial" w:cs="Arial"/>
                <w:b/>
                <w:color w:val="FFFFFF"/>
                <w:sz w:val="17"/>
                <w:rtl/>
              </w:rPr>
              <w:t>شواهد</w:t>
            </w:r>
          </w:p>
        </w:tc>
      </w:tr>
      <w:tr>
        <w:tc>
          <w:tcPr>
            <w:tcW w:type="dxa" w:w="680"/>
          </w:tcPr>
          <w:p>
            <w:pPr>
              <w:jc w:val="left"/>
            </w:pPr>
            <w:r/>
            <w:r>
              <w:rPr>
                <w:b w:val="0"/>
                <w:sz w:val="17"/>
              </w:rPr>
              <w:t>C01</w:t>
            </w:r>
          </w:p>
        </w:tc>
        <w:tc>
          <w:tcPr>
            <w:tcW w:type="dxa" w:w="2211"/>
          </w:tcPr>
          <w:p>
            <w:pPr>
              <w:bidi/>
              <w:jc w:val="right"/>
            </w:pPr>
            <w:r>
              <w:rPr>
                <w:rFonts w:ascii="Arial" w:hAnsi="Arial" w:cs="Arial"/>
                <w:rtl/>
              </w:rPr>
            </w:r>
            <w:r>
              <w:rPr>
                <w:rFonts w:ascii="Arial" w:hAnsi="Arial" w:cs="Arial"/>
                <w:b w:val="0"/>
                <w:sz w:val="17"/>
                <w:rtl/>
              </w:rPr>
              <w:t>حاکمیت و نظارت مدیران ارشد بر ریسک سایبری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COL</w:t>
            </w:r>
          </w:p>
        </w:tc>
        <w:tc>
          <w:tcPr>
            <w:tcW w:type="dxa" w:w="4309"/>
          </w:tcPr>
          <w:p>
            <w:pPr>
              <w:jc w:val="left"/>
            </w:pPr>
            <w:r/>
            <w:r>
              <w:rPr>
                <w:b w:val="0"/>
                <w:sz w:val="17"/>
              </w:rPr>
              <w:t>NIST CSF 2.0: GV.OV, GV.RR | ISO/IEC 27001:2022: cl. 5, 9.3 | AICPA TSC: CC1 | ISA 260; IIA GIAS 2024</w:t>
            </w:r>
          </w:p>
        </w:tc>
        <w:tc>
          <w:tcPr>
            <w:tcW w:type="dxa" w:w="3969"/>
          </w:tcPr>
          <w:p>
            <w:pPr>
              <w:jc w:val="left"/>
            </w:pPr>
            <w:r/>
            <w:r>
              <w:rPr>
                <w:b w:val="0"/>
                <w:sz w:val="17"/>
              </w:rPr>
              <w:t>Islam et al. (2018); Higgs et al. (2016)</w:t>
            </w:r>
          </w:p>
        </w:tc>
        <w:tc>
          <w:tcPr>
            <w:tcW w:type="dxa" w:w="907"/>
          </w:tcPr>
          <w:p>
            <w:pPr>
              <w:jc w:val="left"/>
            </w:pPr>
            <w:r/>
            <w:r>
              <w:rPr>
                <w:b w:val="0"/>
                <w:sz w:val="17"/>
              </w:rPr>
              <w:t>S+R</w:t>
            </w:r>
          </w:p>
        </w:tc>
      </w:tr>
      <w:tr>
        <w:tc>
          <w:tcPr>
            <w:tcW w:type="dxa" w:w="680"/>
          </w:tcPr>
          <w:p>
            <w:pPr>
              <w:jc w:val="left"/>
            </w:pPr>
            <w:r/>
            <w:r>
              <w:rPr>
                <w:b w:val="0"/>
                <w:sz w:val="17"/>
              </w:rPr>
              <w:t>C02</w:t>
            </w:r>
          </w:p>
        </w:tc>
        <w:tc>
          <w:tcPr>
            <w:tcW w:type="dxa" w:w="2211"/>
          </w:tcPr>
          <w:p>
            <w:pPr>
              <w:bidi/>
              <w:jc w:val="right"/>
            </w:pPr>
            <w:r>
              <w:rPr>
                <w:rFonts w:ascii="Arial" w:hAnsi="Arial" w:cs="Arial"/>
                <w:rtl/>
              </w:rPr>
            </w:r>
            <w:r>
              <w:rPr>
                <w:rFonts w:ascii="Arial" w:hAnsi="Arial" w:cs="Arial"/>
                <w:b w:val="0"/>
                <w:sz w:val="17"/>
                <w:rtl/>
              </w:rPr>
              <w:t>سیاست‌ها و راهبرد امنیت سایبری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Context</w:t>
            </w:r>
          </w:p>
        </w:tc>
        <w:tc>
          <w:tcPr>
            <w:tcW w:type="dxa" w:w="4309"/>
          </w:tcPr>
          <w:p>
            <w:pPr>
              <w:jc w:val="left"/>
            </w:pPr>
            <w:r/>
            <w:r>
              <w:rPr>
                <w:b w:val="0"/>
                <w:sz w:val="17"/>
              </w:rPr>
              <w:t>NIST CSF 2.0: GV.PO, GV.OC | ISO/IEC 27001:2022: cl. 5.2 | AICPA TSC: CC1, CC5 | ISA 315 (control environment)</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C03</w:t>
            </w:r>
          </w:p>
        </w:tc>
        <w:tc>
          <w:tcPr>
            <w:tcW w:type="dxa" w:w="2211"/>
          </w:tcPr>
          <w:p>
            <w:pPr>
              <w:bidi/>
              <w:jc w:val="right"/>
            </w:pPr>
            <w:r>
              <w:rPr>
                <w:rFonts w:ascii="Arial" w:hAnsi="Arial" w:cs="Arial"/>
                <w:rtl/>
              </w:rPr>
            </w:r>
            <w:r>
              <w:rPr>
                <w:rFonts w:ascii="Arial" w:hAnsi="Arial" w:cs="Arial"/>
                <w:b w:val="0"/>
                <w:sz w:val="17"/>
                <w:rtl/>
              </w:rPr>
              <w:t>تعیین زمینه، دامنه و اهداف ارزیابی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Context</w:t>
            </w:r>
          </w:p>
        </w:tc>
        <w:tc>
          <w:tcPr>
            <w:tcW w:type="dxa" w:w="4309"/>
          </w:tcPr>
          <w:p>
            <w:pPr>
              <w:jc w:val="left"/>
            </w:pPr>
            <w:r/>
            <w:r>
              <w:rPr>
                <w:b w:val="0"/>
                <w:sz w:val="17"/>
              </w:rPr>
              <w:t>NIST CSF 2.0: GV.OC | ISO/IEC 27001:2022: cl. 4 | ISO/IEC 27005:2022 (context) | AICPA DC section 100 | ISA 315</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C04</w:t>
            </w:r>
          </w:p>
        </w:tc>
        <w:tc>
          <w:tcPr>
            <w:tcW w:type="dxa" w:w="2211"/>
          </w:tcPr>
          <w:p>
            <w:pPr>
              <w:bidi/>
              <w:jc w:val="right"/>
            </w:pPr>
            <w:r>
              <w:rPr>
                <w:rFonts w:ascii="Arial" w:hAnsi="Arial" w:cs="Arial"/>
                <w:rtl/>
              </w:rPr>
            </w:r>
            <w:r>
              <w:rPr>
                <w:rFonts w:ascii="Arial" w:hAnsi="Arial" w:cs="Arial"/>
                <w:b w:val="0"/>
                <w:sz w:val="17"/>
                <w:rtl/>
              </w:rPr>
              <w:t>شناسایی و طبقه‌بندی دارایی‌ها</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TVI</w:t>
            </w:r>
          </w:p>
        </w:tc>
        <w:tc>
          <w:tcPr>
            <w:tcW w:type="dxa" w:w="4309"/>
          </w:tcPr>
          <w:p>
            <w:pPr>
              <w:jc w:val="left"/>
            </w:pPr>
            <w:r/>
            <w:r>
              <w:rPr>
                <w:b w:val="0"/>
                <w:sz w:val="17"/>
              </w:rPr>
              <w:t>NIST CSF 2.0: ID.AM | ISO/IEC 27001:2022: Annex A 5.9 | AICPA TSC: CC3, CC6 | ISA 315 (IT environment)</w:t>
            </w:r>
          </w:p>
        </w:tc>
        <w:tc>
          <w:tcPr>
            <w:tcW w:type="dxa" w:w="3969"/>
          </w:tcPr>
          <w:p>
            <w:pPr>
              <w:jc w:val="left"/>
            </w:pPr>
            <w:r/>
            <w:r>
              <w:rPr>
                <w:b w:val="0"/>
                <w:sz w:val="17"/>
              </w:rPr>
              <w:t>Hermanson et al. (2000); Wangen et al. (2018)</w:t>
            </w:r>
          </w:p>
        </w:tc>
        <w:tc>
          <w:tcPr>
            <w:tcW w:type="dxa" w:w="907"/>
          </w:tcPr>
          <w:p>
            <w:pPr>
              <w:jc w:val="left"/>
            </w:pPr>
            <w:r/>
            <w:r>
              <w:rPr>
                <w:b w:val="0"/>
                <w:sz w:val="17"/>
              </w:rPr>
              <w:t>S+R</w:t>
            </w:r>
          </w:p>
        </w:tc>
      </w:tr>
      <w:tr>
        <w:tc>
          <w:tcPr>
            <w:tcW w:type="dxa" w:w="680"/>
          </w:tcPr>
          <w:p>
            <w:pPr>
              <w:jc w:val="left"/>
            </w:pPr>
            <w:r/>
            <w:r>
              <w:rPr>
                <w:b w:val="0"/>
                <w:sz w:val="17"/>
              </w:rPr>
              <w:t>C05</w:t>
            </w:r>
          </w:p>
        </w:tc>
        <w:tc>
          <w:tcPr>
            <w:tcW w:type="dxa" w:w="2211"/>
          </w:tcPr>
          <w:p>
            <w:pPr>
              <w:bidi/>
              <w:jc w:val="right"/>
            </w:pPr>
            <w:r>
              <w:rPr>
                <w:rFonts w:ascii="Arial" w:hAnsi="Arial" w:cs="Arial"/>
                <w:rtl/>
              </w:rPr>
            </w:r>
            <w:r>
              <w:rPr>
                <w:rFonts w:ascii="Arial" w:hAnsi="Arial" w:cs="Arial"/>
                <w:b w:val="0"/>
                <w:sz w:val="17"/>
                <w:rtl/>
              </w:rPr>
              <w:t>شناسایی تهدید و اطلاعات تهدید</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TVI</w:t>
            </w:r>
          </w:p>
        </w:tc>
        <w:tc>
          <w:tcPr>
            <w:tcW w:type="dxa" w:w="4309"/>
          </w:tcPr>
          <w:p>
            <w:pPr>
              <w:jc w:val="left"/>
            </w:pPr>
            <w:r/>
            <w:r>
              <w:rPr>
                <w:b w:val="0"/>
                <w:sz w:val="17"/>
              </w:rPr>
              <w:t>NIST CSF 2.0: ID.RA, DE.AE | ISO/IEC 27001:2022: Annex A 5.7 | ISO/IEC 27005:2022 (risk scenarios) | AICPA TSC: CC3, CC7</w:t>
            </w:r>
          </w:p>
        </w:tc>
        <w:tc>
          <w:tcPr>
            <w:tcW w:type="dxa" w:w="3969"/>
          </w:tcPr>
          <w:p>
            <w:pPr>
              <w:jc w:val="left"/>
            </w:pPr>
            <w:r/>
            <w:r>
              <w:rPr>
                <w:b w:val="0"/>
                <w:sz w:val="17"/>
              </w:rPr>
              <w:t>Ganin et al. (2020); Wang et al. (2020)</w:t>
            </w:r>
          </w:p>
        </w:tc>
        <w:tc>
          <w:tcPr>
            <w:tcW w:type="dxa" w:w="907"/>
          </w:tcPr>
          <w:p>
            <w:pPr>
              <w:jc w:val="left"/>
            </w:pPr>
            <w:r/>
            <w:r>
              <w:rPr>
                <w:b w:val="0"/>
                <w:sz w:val="17"/>
              </w:rPr>
              <w:t>S+R</w:t>
            </w:r>
          </w:p>
        </w:tc>
      </w:tr>
      <w:tr>
        <w:tc>
          <w:tcPr>
            <w:tcW w:type="dxa" w:w="680"/>
          </w:tcPr>
          <w:p>
            <w:pPr>
              <w:jc w:val="left"/>
            </w:pPr>
            <w:r/>
            <w:r>
              <w:rPr>
                <w:b w:val="0"/>
                <w:sz w:val="17"/>
              </w:rPr>
              <w:t>C06</w:t>
            </w:r>
          </w:p>
        </w:tc>
        <w:tc>
          <w:tcPr>
            <w:tcW w:type="dxa" w:w="2211"/>
          </w:tcPr>
          <w:p>
            <w:pPr>
              <w:bidi/>
              <w:jc w:val="right"/>
            </w:pPr>
            <w:r>
              <w:rPr>
                <w:rFonts w:ascii="Arial" w:hAnsi="Arial" w:cs="Arial"/>
                <w:rtl/>
              </w:rPr>
            </w:r>
            <w:r>
              <w:rPr>
                <w:rFonts w:ascii="Arial" w:hAnsi="Arial" w:cs="Arial"/>
                <w:b w:val="0"/>
                <w:sz w:val="17"/>
                <w:rtl/>
              </w:rPr>
              <w:t>مدیریت آسیب‌پذیری و آزمون نفوذ</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TVI</w:t>
            </w:r>
          </w:p>
        </w:tc>
        <w:tc>
          <w:tcPr>
            <w:tcW w:type="dxa" w:w="4309"/>
          </w:tcPr>
          <w:p>
            <w:pPr>
              <w:jc w:val="left"/>
            </w:pPr>
            <w:r/>
            <w:r>
              <w:rPr>
                <w:b w:val="0"/>
                <w:sz w:val="17"/>
              </w:rPr>
              <w:t>NIST CSF 2.0: ID.RA, PR.PS | ISO/IEC 27001:2022: Annex A technological controls | AICPA TSC: CC7 | ISA 330</w:t>
            </w:r>
          </w:p>
        </w:tc>
        <w:tc>
          <w:tcPr>
            <w:tcW w:type="dxa" w:w="3969"/>
          </w:tcPr>
          <w:p>
            <w:pPr>
              <w:jc w:val="left"/>
            </w:pPr>
            <w:r/>
            <w:r>
              <w:rPr>
                <w:b w:val="0"/>
                <w:sz w:val="17"/>
              </w:rPr>
              <w:t>Ganin et al. (2020); Wang et al. (2020)</w:t>
            </w:r>
          </w:p>
        </w:tc>
        <w:tc>
          <w:tcPr>
            <w:tcW w:type="dxa" w:w="907"/>
          </w:tcPr>
          <w:p>
            <w:pPr>
              <w:jc w:val="left"/>
            </w:pPr>
            <w:r/>
            <w:r>
              <w:rPr>
                <w:b w:val="0"/>
                <w:sz w:val="17"/>
              </w:rPr>
              <w:t>S+R</w:t>
            </w:r>
          </w:p>
        </w:tc>
      </w:tr>
      <w:tr>
        <w:tc>
          <w:tcPr>
            <w:tcW w:type="dxa" w:w="680"/>
          </w:tcPr>
          <w:p>
            <w:pPr>
              <w:jc w:val="left"/>
            </w:pPr>
            <w:r/>
            <w:r>
              <w:rPr>
                <w:b w:val="0"/>
                <w:sz w:val="17"/>
              </w:rPr>
              <w:t>C07</w:t>
            </w:r>
          </w:p>
        </w:tc>
        <w:tc>
          <w:tcPr>
            <w:tcW w:type="dxa" w:w="2211"/>
          </w:tcPr>
          <w:p>
            <w:pPr>
              <w:bidi/>
              <w:jc w:val="right"/>
            </w:pPr>
            <w:r>
              <w:rPr>
                <w:rFonts w:ascii="Arial" w:hAnsi="Arial" w:cs="Arial"/>
                <w:rtl/>
              </w:rPr>
            </w:r>
            <w:r>
              <w:rPr>
                <w:rFonts w:ascii="Arial" w:hAnsi="Arial" w:cs="Arial"/>
                <w:b w:val="0"/>
                <w:sz w:val="17"/>
                <w:rtl/>
              </w:rPr>
              <w:t>تحلیل و ارزیابی ریسک (احتمال، اثر، رتبه‌بندی)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RRJ</w:t>
            </w:r>
          </w:p>
        </w:tc>
        <w:tc>
          <w:tcPr>
            <w:tcW w:type="dxa" w:w="4309"/>
          </w:tcPr>
          <w:p>
            <w:pPr>
              <w:jc w:val="left"/>
            </w:pPr>
            <w:r/>
            <w:r>
              <w:rPr>
                <w:b w:val="0"/>
                <w:sz w:val="17"/>
              </w:rPr>
              <w:t>NIST CSF 2.0: GV.RM, ID.RA; SP 800-30 Rev. 1 | ISO/IEC 27001:2022: cl. 6.1.2, 8.2 | ISO/IEC 27005:2022; IEC/ISO 31010 | AICPA TSC: CC3 | ISA 315</w:t>
            </w:r>
          </w:p>
        </w:tc>
        <w:tc>
          <w:tcPr>
            <w:tcW w:type="dxa" w:w="3969"/>
          </w:tcPr>
          <w:p>
            <w:pPr>
              <w:jc w:val="left"/>
            </w:pPr>
            <w:r/>
            <w:r>
              <w:rPr>
                <w:b w:val="0"/>
                <w:sz w:val="17"/>
              </w:rPr>
              <w:t>Wangen et al. (2018); Ganin et al. (2020); Wang et al. (2020); Gordon &amp; Loeb (2002)</w:t>
            </w:r>
          </w:p>
        </w:tc>
        <w:tc>
          <w:tcPr>
            <w:tcW w:type="dxa" w:w="907"/>
          </w:tcPr>
          <w:p>
            <w:pPr>
              <w:jc w:val="left"/>
            </w:pPr>
            <w:r/>
            <w:r>
              <w:rPr>
                <w:b w:val="0"/>
                <w:sz w:val="17"/>
              </w:rPr>
              <w:t>S+R</w:t>
            </w:r>
          </w:p>
        </w:tc>
      </w:tr>
      <w:tr>
        <w:tc>
          <w:tcPr>
            <w:tcW w:type="dxa" w:w="680"/>
          </w:tcPr>
          <w:p>
            <w:pPr>
              <w:jc w:val="left"/>
            </w:pPr>
            <w:r/>
            <w:r>
              <w:rPr>
                <w:b w:val="0"/>
                <w:sz w:val="17"/>
              </w:rPr>
              <w:t>C08</w:t>
            </w:r>
          </w:p>
        </w:tc>
        <w:tc>
          <w:tcPr>
            <w:tcW w:type="dxa" w:w="2211"/>
          </w:tcPr>
          <w:p>
            <w:pPr>
              <w:bidi/>
              <w:jc w:val="right"/>
            </w:pPr>
            <w:r>
              <w:rPr>
                <w:rFonts w:ascii="Arial" w:hAnsi="Arial" w:cs="Arial"/>
                <w:rtl/>
              </w:rPr>
            </w:r>
            <w:r>
              <w:rPr>
                <w:rFonts w:ascii="Arial" w:hAnsi="Arial" w:cs="Arial"/>
                <w:b w:val="0"/>
                <w:sz w:val="17"/>
                <w:rtl/>
              </w:rPr>
              <w:t>ریسک تقلب سایبری و تغییرات محیط</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RRJ</w:t>
            </w:r>
          </w:p>
        </w:tc>
        <w:tc>
          <w:tcPr>
            <w:tcW w:type="dxa" w:w="4309"/>
          </w:tcPr>
          <w:p>
            <w:pPr>
              <w:jc w:val="left"/>
            </w:pPr>
            <w:r/>
            <w:r>
              <w:rPr>
                <w:b w:val="0"/>
                <w:sz w:val="17"/>
              </w:rPr>
              <w:t>NIST CSF 2.0: ID.IM, GV.RM | ISO 31000:2018 | AICPA TSC: CC3 (fraud risk, changes) | ISA 240</w:t>
            </w:r>
          </w:p>
        </w:tc>
        <w:tc>
          <w:tcPr>
            <w:tcW w:type="dxa" w:w="3969"/>
          </w:tcPr>
          <w:p>
            <w:pPr>
              <w:jc w:val="left"/>
            </w:pPr>
            <w:r/>
            <w:r>
              <w:rPr>
                <w:b w:val="0"/>
                <w:sz w:val="17"/>
              </w:rPr>
              <w:t>Armenia et al. (2021)</w:t>
            </w:r>
          </w:p>
        </w:tc>
        <w:tc>
          <w:tcPr>
            <w:tcW w:type="dxa" w:w="907"/>
          </w:tcPr>
          <w:p>
            <w:pPr>
              <w:jc w:val="left"/>
            </w:pPr>
            <w:r/>
            <w:r>
              <w:rPr>
                <w:b w:val="0"/>
                <w:sz w:val="17"/>
              </w:rPr>
              <w:t>S+R</w:t>
            </w:r>
          </w:p>
        </w:tc>
      </w:tr>
      <w:tr>
        <w:tc>
          <w:tcPr>
            <w:tcW w:type="dxa" w:w="680"/>
          </w:tcPr>
          <w:p>
            <w:pPr>
              <w:jc w:val="left"/>
            </w:pPr>
            <w:r/>
            <w:r>
              <w:rPr>
                <w:b w:val="0"/>
                <w:sz w:val="17"/>
              </w:rPr>
              <w:t>C09</w:t>
            </w:r>
          </w:p>
        </w:tc>
        <w:tc>
          <w:tcPr>
            <w:tcW w:type="dxa" w:w="2211"/>
          </w:tcPr>
          <w:p>
            <w:pPr>
              <w:bidi/>
              <w:jc w:val="right"/>
            </w:pPr>
            <w:r>
              <w:rPr>
                <w:rFonts w:ascii="Arial" w:hAnsi="Arial" w:cs="Arial"/>
                <w:rtl/>
              </w:rPr>
            </w:r>
            <w:r>
              <w:rPr>
                <w:rFonts w:ascii="Arial" w:hAnsi="Arial" w:cs="Arial"/>
                <w:b w:val="0"/>
                <w:sz w:val="17"/>
                <w:rtl/>
              </w:rPr>
              <w:t>اجرای کنترل‌ها و برنامه برطرف‌سازی ریسک</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GV.RM, PR | ISO/IEC 27001:2022: cl. 6.1.3, 8.3 | ISO/IEC 27005:2022 (risk treatment) | AICPA TSC: CC5 | ISA 315, 330</w:t>
            </w:r>
          </w:p>
        </w:tc>
        <w:tc>
          <w:tcPr>
            <w:tcW w:type="dxa" w:w="3969"/>
          </w:tcPr>
          <w:p>
            <w:pPr>
              <w:jc w:val="left"/>
            </w:pPr>
            <w:r/>
            <w:r>
              <w:rPr>
                <w:b w:val="0"/>
                <w:sz w:val="17"/>
              </w:rPr>
              <w:t>Gordon &amp; Loeb (2002); Ganin et al. (2020); Armenia et al. (2021)</w:t>
            </w:r>
          </w:p>
        </w:tc>
        <w:tc>
          <w:tcPr>
            <w:tcW w:type="dxa" w:w="907"/>
          </w:tcPr>
          <w:p>
            <w:pPr>
              <w:jc w:val="left"/>
            </w:pPr>
            <w:r/>
            <w:r>
              <w:rPr>
                <w:b w:val="0"/>
                <w:sz w:val="17"/>
              </w:rPr>
              <w:t>S+R</w:t>
            </w:r>
          </w:p>
        </w:tc>
      </w:tr>
      <w:tr>
        <w:tc>
          <w:tcPr>
            <w:tcW w:type="dxa" w:w="680"/>
          </w:tcPr>
          <w:p>
            <w:pPr>
              <w:jc w:val="left"/>
            </w:pPr>
            <w:r/>
            <w:r>
              <w:rPr>
                <w:b w:val="0"/>
                <w:sz w:val="17"/>
              </w:rPr>
              <w:t>C10</w:t>
            </w:r>
          </w:p>
        </w:tc>
        <w:tc>
          <w:tcPr>
            <w:tcW w:type="dxa" w:w="2211"/>
          </w:tcPr>
          <w:p>
            <w:pPr>
              <w:bidi/>
              <w:jc w:val="right"/>
            </w:pPr>
            <w:r>
              <w:rPr>
                <w:rFonts w:ascii="Arial" w:hAnsi="Arial" w:cs="Arial"/>
                <w:rtl/>
              </w:rPr>
            </w:r>
            <w:r>
              <w:rPr>
                <w:rFonts w:ascii="Arial" w:hAnsi="Arial" w:cs="Arial"/>
                <w:b w:val="0"/>
                <w:sz w:val="17"/>
                <w:rtl/>
              </w:rPr>
              <w:t>کنترل دسترسی و احراز هویت</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PR.AA | ISO/IEC 27001:2022: Annex A access control | AICPA TSC: CC6 | ITGC (ISA 315, 330)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C11</w:t>
            </w:r>
          </w:p>
        </w:tc>
        <w:tc>
          <w:tcPr>
            <w:tcW w:type="dxa" w:w="2211"/>
          </w:tcPr>
          <w:p>
            <w:pPr>
              <w:bidi/>
              <w:jc w:val="right"/>
            </w:pPr>
            <w:r>
              <w:rPr>
                <w:rFonts w:ascii="Arial" w:hAnsi="Arial" w:cs="Arial"/>
                <w:rtl/>
              </w:rPr>
            </w:r>
            <w:r>
              <w:rPr>
                <w:rFonts w:ascii="Arial" w:hAnsi="Arial" w:cs="Arial"/>
                <w:b w:val="0"/>
                <w:sz w:val="17"/>
                <w:rtl/>
              </w:rPr>
              <w:t>حفاظت از داده و رمزنگاری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PR.DS | ISO/IEC 27001:2022: Annex A cryptography, data protection | AICPA TSC: CC6, C1</w:t>
            </w:r>
          </w:p>
        </w:tc>
        <w:tc>
          <w:tcPr>
            <w:tcW w:type="dxa" w:w="3969"/>
          </w:tcPr>
          <w:p>
            <w:pPr>
              <w:jc w:val="left"/>
            </w:pPr>
            <w:r/>
            <w:r>
              <w:rPr>
                <w:b w:val="0"/>
                <w:sz w:val="17"/>
              </w:rPr>
              <w:t>Hermanson et al. (2000)</w:t>
            </w:r>
          </w:p>
        </w:tc>
        <w:tc>
          <w:tcPr>
            <w:tcW w:type="dxa" w:w="907"/>
          </w:tcPr>
          <w:p>
            <w:pPr>
              <w:jc w:val="left"/>
            </w:pPr>
            <w:r/>
            <w:r>
              <w:rPr>
                <w:b w:val="0"/>
                <w:sz w:val="17"/>
              </w:rPr>
              <w:t>S+R</w:t>
            </w:r>
          </w:p>
        </w:tc>
      </w:tr>
      <w:tr>
        <w:tc>
          <w:tcPr>
            <w:tcW w:type="dxa" w:w="680"/>
          </w:tcPr>
          <w:p>
            <w:pPr>
              <w:jc w:val="left"/>
            </w:pPr>
            <w:r/>
            <w:r>
              <w:rPr>
                <w:b w:val="0"/>
                <w:sz w:val="17"/>
              </w:rPr>
              <w:t>C12</w:t>
            </w:r>
          </w:p>
        </w:tc>
        <w:tc>
          <w:tcPr>
            <w:tcW w:type="dxa" w:w="2211"/>
          </w:tcPr>
          <w:p>
            <w:pPr>
              <w:bidi/>
              <w:jc w:val="right"/>
            </w:pPr>
            <w:r>
              <w:rPr>
                <w:rFonts w:ascii="Arial" w:hAnsi="Arial" w:cs="Arial"/>
                <w:rtl/>
              </w:rPr>
            </w:r>
            <w:r>
              <w:rPr>
                <w:rFonts w:ascii="Arial" w:hAnsi="Arial" w:cs="Arial"/>
                <w:b w:val="0"/>
                <w:sz w:val="17"/>
                <w:rtl/>
              </w:rPr>
              <w:t>امنیت شبکه، زیرساخت و محیط فیزیکی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PR.IR, PR.PS | ISO/IEC 27001:2022: Annex A physical and technological controls | ISO/IEC 27033 | AICPA TSC: CC6</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C13</w:t>
            </w:r>
          </w:p>
        </w:tc>
        <w:tc>
          <w:tcPr>
            <w:tcW w:type="dxa" w:w="2211"/>
          </w:tcPr>
          <w:p>
            <w:pPr>
              <w:bidi/>
              <w:jc w:val="right"/>
            </w:pPr>
            <w:r>
              <w:rPr>
                <w:rFonts w:ascii="Arial" w:hAnsi="Arial" w:cs="Arial"/>
                <w:rtl/>
              </w:rPr>
            </w:r>
            <w:r>
              <w:rPr>
                <w:rFonts w:ascii="Arial" w:hAnsi="Arial" w:cs="Arial"/>
                <w:b w:val="0"/>
                <w:sz w:val="17"/>
                <w:rtl/>
              </w:rPr>
              <w:t>توسعه امن و مدیریت تغییرات</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PR.PS | ISO/IEC 27001:2022: Annex A secure development, change management | AICPA TSC: CC8 | ITGC (program change)</w:t>
            </w:r>
          </w:p>
        </w:tc>
        <w:tc>
          <w:tcPr>
            <w:tcW w:type="dxa" w:w="3969"/>
          </w:tcPr>
          <w:p>
            <w:pPr>
              <w:jc w:val="left"/>
            </w:pPr>
            <w:r/>
            <w:r>
              <w:rPr>
                <w:b w:val="0"/>
                <w:sz w:val="17"/>
              </w:rPr>
              <w:t>Hermanson et al. (2000)</w:t>
            </w:r>
          </w:p>
        </w:tc>
        <w:tc>
          <w:tcPr>
            <w:tcW w:type="dxa" w:w="907"/>
          </w:tcPr>
          <w:p>
            <w:pPr>
              <w:jc w:val="left"/>
            </w:pPr>
            <w:r/>
            <w:r>
              <w:rPr>
                <w:b w:val="0"/>
                <w:sz w:val="17"/>
              </w:rPr>
              <w:t>S+R</w:t>
            </w:r>
          </w:p>
        </w:tc>
      </w:tr>
      <w:tr>
        <w:tc>
          <w:tcPr>
            <w:tcW w:type="dxa" w:w="680"/>
          </w:tcPr>
          <w:p>
            <w:pPr>
              <w:jc w:val="left"/>
            </w:pPr>
            <w:r/>
            <w:r>
              <w:rPr>
                <w:b w:val="0"/>
                <w:sz w:val="17"/>
              </w:rPr>
              <w:t>C14</w:t>
            </w:r>
          </w:p>
        </w:tc>
        <w:tc>
          <w:tcPr>
            <w:tcW w:type="dxa" w:w="2211"/>
          </w:tcPr>
          <w:p>
            <w:pPr>
              <w:bidi/>
              <w:jc w:val="right"/>
            </w:pPr>
            <w:r>
              <w:rPr>
                <w:rFonts w:ascii="Arial" w:hAnsi="Arial" w:cs="Arial"/>
                <w:rtl/>
              </w:rPr>
            </w:r>
            <w:r>
              <w:rPr>
                <w:rFonts w:ascii="Arial" w:hAnsi="Arial" w:cs="Arial"/>
                <w:b w:val="0"/>
                <w:sz w:val="17"/>
                <w:rtl/>
              </w:rPr>
              <w:t>آگاهی و آموزش امنیتی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PR.AT | ISO/IEC 27001:2022: cl. 7.3; Annex A people controls | AICPA TSC: CC1, CC2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C15</w:t>
            </w:r>
          </w:p>
        </w:tc>
        <w:tc>
          <w:tcPr>
            <w:tcW w:type="dxa" w:w="2211"/>
          </w:tcPr>
          <w:p>
            <w:pPr>
              <w:bidi/>
              <w:jc w:val="right"/>
            </w:pPr>
            <w:r>
              <w:rPr>
                <w:rFonts w:ascii="Arial" w:hAnsi="Arial" w:cs="Arial"/>
                <w:rtl/>
              </w:rPr>
            </w:r>
            <w:r>
              <w:rPr>
                <w:rFonts w:ascii="Arial" w:hAnsi="Arial" w:cs="Arial"/>
                <w:b w:val="0"/>
                <w:sz w:val="17"/>
                <w:rtl/>
              </w:rPr>
              <w:t>ریسک شخص ثالث و زنجیره تأمین</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CCE</w:t>
            </w:r>
          </w:p>
        </w:tc>
        <w:tc>
          <w:tcPr>
            <w:tcW w:type="dxa" w:w="4309"/>
          </w:tcPr>
          <w:p>
            <w:pPr>
              <w:jc w:val="left"/>
            </w:pPr>
            <w:r/>
            <w:r>
              <w:rPr>
                <w:b w:val="0"/>
                <w:sz w:val="17"/>
              </w:rPr>
              <w:t>NIST CSF 2.0: GV.SC | ISO/IEC 27001:2022: Annex A 5.19–5.23 | ISO/IEC 27036 | AICPA TSC: CC9 | ISA 402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C16</w:t>
            </w:r>
          </w:p>
        </w:tc>
        <w:tc>
          <w:tcPr>
            <w:tcW w:type="dxa" w:w="2211"/>
          </w:tcPr>
          <w:p>
            <w:pPr>
              <w:bidi/>
              <w:jc w:val="right"/>
            </w:pPr>
            <w:r>
              <w:rPr>
                <w:rFonts w:ascii="Arial" w:hAnsi="Arial" w:cs="Arial"/>
                <w:rtl/>
              </w:rPr>
            </w:r>
            <w:r>
              <w:rPr>
                <w:rFonts w:ascii="Arial" w:hAnsi="Arial" w:cs="Arial"/>
                <w:b w:val="0"/>
                <w:sz w:val="17"/>
                <w:rtl/>
              </w:rPr>
              <w:t>پایش مستمر و ثبت وقایع</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MOL</w:t>
            </w:r>
          </w:p>
        </w:tc>
        <w:tc>
          <w:tcPr>
            <w:tcW w:type="dxa" w:w="4309"/>
          </w:tcPr>
          <w:p>
            <w:pPr>
              <w:jc w:val="left"/>
            </w:pPr>
            <w:r/>
            <w:r>
              <w:rPr>
                <w:b w:val="0"/>
                <w:sz w:val="17"/>
              </w:rPr>
              <w:t>NIST CSF 2.0: DE.CM, DE.AE | ISO/IEC 27001:2022: cl. 9.1; Annex A 8.16 | AICPA TSC: CC4, CC7 | ISA 500</w:t>
            </w:r>
          </w:p>
        </w:tc>
        <w:tc>
          <w:tcPr>
            <w:tcW w:type="dxa" w:w="3969"/>
          </w:tcPr>
          <w:p>
            <w:pPr>
              <w:jc w:val="left"/>
            </w:pPr>
            <w:r/>
            <w:r>
              <w:rPr>
                <w:b w:val="0"/>
                <w:sz w:val="17"/>
              </w:rPr>
              <w:t>Armenia et al. (2021)</w:t>
            </w:r>
          </w:p>
        </w:tc>
        <w:tc>
          <w:tcPr>
            <w:tcW w:type="dxa" w:w="907"/>
          </w:tcPr>
          <w:p>
            <w:pPr>
              <w:jc w:val="left"/>
            </w:pPr>
            <w:r/>
            <w:r>
              <w:rPr>
                <w:b w:val="0"/>
                <w:sz w:val="17"/>
              </w:rPr>
              <w:t>S+R</w:t>
            </w:r>
          </w:p>
        </w:tc>
      </w:tr>
      <w:tr>
        <w:tc>
          <w:tcPr>
            <w:tcW w:type="dxa" w:w="680"/>
          </w:tcPr>
          <w:p>
            <w:pPr>
              <w:jc w:val="left"/>
            </w:pPr>
            <w:r/>
            <w:r>
              <w:rPr>
                <w:b w:val="0"/>
                <w:sz w:val="17"/>
              </w:rPr>
              <w:t>C17</w:t>
            </w:r>
          </w:p>
        </w:tc>
        <w:tc>
          <w:tcPr>
            <w:tcW w:type="dxa" w:w="2211"/>
          </w:tcPr>
          <w:p>
            <w:pPr>
              <w:bidi/>
              <w:jc w:val="right"/>
            </w:pPr>
            <w:r>
              <w:rPr>
                <w:rFonts w:ascii="Arial" w:hAnsi="Arial" w:cs="Arial"/>
                <w:rtl/>
              </w:rPr>
            </w:r>
            <w:r>
              <w:rPr>
                <w:rFonts w:ascii="Arial" w:hAnsi="Arial" w:cs="Arial"/>
                <w:b w:val="0"/>
                <w:sz w:val="17"/>
                <w:rtl/>
              </w:rPr>
              <w:t>مدیریت و پاسخ به حوادث</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MOL</w:t>
            </w:r>
          </w:p>
        </w:tc>
        <w:tc>
          <w:tcPr>
            <w:tcW w:type="dxa" w:w="4309"/>
          </w:tcPr>
          <w:p>
            <w:pPr>
              <w:jc w:val="left"/>
            </w:pPr>
            <w:r/>
            <w:r>
              <w:rPr>
                <w:b w:val="0"/>
                <w:sz w:val="17"/>
              </w:rPr>
              <w:t>NIST CSF 2.0: RS.MA, RS.AN, RS.CO, RS.MI; SP 800-61 Rev. 3 | ISO/IEC 27001:2022: Annex A 5.24 | AICPA TSC: CC7</w:t>
            </w:r>
          </w:p>
        </w:tc>
        <w:tc>
          <w:tcPr>
            <w:tcW w:type="dxa" w:w="3969"/>
          </w:tcPr>
          <w:p>
            <w:pPr>
              <w:jc w:val="left"/>
            </w:pPr>
            <w:r/>
            <w:r>
              <w:rPr>
                <w:b w:val="0"/>
                <w:sz w:val="17"/>
              </w:rPr>
              <w:t>Higgs et al. (2016)</w:t>
            </w:r>
          </w:p>
        </w:tc>
        <w:tc>
          <w:tcPr>
            <w:tcW w:type="dxa" w:w="907"/>
          </w:tcPr>
          <w:p>
            <w:pPr>
              <w:jc w:val="left"/>
            </w:pPr>
            <w:r/>
            <w:r>
              <w:rPr>
                <w:b w:val="0"/>
                <w:sz w:val="17"/>
              </w:rPr>
              <w:t>S+R</w:t>
            </w:r>
          </w:p>
        </w:tc>
      </w:tr>
      <w:tr>
        <w:tc>
          <w:tcPr>
            <w:tcW w:type="dxa" w:w="680"/>
          </w:tcPr>
          <w:p>
            <w:pPr>
              <w:jc w:val="left"/>
            </w:pPr>
            <w:r/>
            <w:r>
              <w:rPr>
                <w:b w:val="0"/>
                <w:sz w:val="17"/>
              </w:rPr>
              <w:t>C18</w:t>
            </w:r>
          </w:p>
        </w:tc>
        <w:tc>
          <w:tcPr>
            <w:tcW w:type="dxa" w:w="2211"/>
          </w:tcPr>
          <w:p>
            <w:pPr>
              <w:bidi/>
              <w:jc w:val="right"/>
            </w:pPr>
            <w:r>
              <w:rPr>
                <w:rFonts w:ascii="Arial" w:hAnsi="Arial" w:cs="Arial"/>
                <w:rtl/>
              </w:rPr>
            </w:r>
            <w:r>
              <w:rPr>
                <w:rFonts w:ascii="Arial" w:hAnsi="Arial" w:cs="Arial"/>
                <w:b w:val="0"/>
                <w:sz w:val="17"/>
                <w:rtl/>
              </w:rPr>
              <w:t>تداوم کسب‌وکار و بازیابی از بحران</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MOL</w:t>
            </w:r>
          </w:p>
        </w:tc>
        <w:tc>
          <w:tcPr>
            <w:tcW w:type="dxa" w:w="4309"/>
          </w:tcPr>
          <w:p>
            <w:pPr>
              <w:jc w:val="left"/>
            </w:pPr>
            <w:r/>
            <w:r>
              <w:rPr>
                <w:b w:val="0"/>
                <w:sz w:val="17"/>
              </w:rPr>
              <w:t>NIST CSF 2.0: RC.RP, RC.CO | ISO/IEC 27001:2022: Annex A 5.29, 5.30 | ISO/IEC 27031; ISO 22301 | AICPA TSC: CC9, A1 | ISA 570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C19</w:t>
            </w:r>
          </w:p>
        </w:tc>
        <w:tc>
          <w:tcPr>
            <w:tcW w:type="dxa" w:w="2211"/>
          </w:tcPr>
          <w:p>
            <w:pPr>
              <w:bidi/>
              <w:jc w:val="right"/>
            </w:pPr>
            <w:r>
              <w:rPr>
                <w:rFonts w:ascii="Arial" w:hAnsi="Arial" w:cs="Arial"/>
                <w:rtl/>
              </w:rPr>
            </w:r>
            <w:r>
              <w:rPr>
                <w:rFonts w:ascii="Arial" w:hAnsi="Arial" w:cs="Arial"/>
                <w:b w:val="0"/>
                <w:sz w:val="17"/>
                <w:rtl/>
              </w:rPr>
              <w:t>انطباق با الزامات قانونی و حریم خصوصی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Context</w:t>
            </w:r>
          </w:p>
        </w:tc>
        <w:tc>
          <w:tcPr>
            <w:tcW w:type="dxa" w:w="4309"/>
          </w:tcPr>
          <w:p>
            <w:pPr>
              <w:jc w:val="left"/>
            </w:pPr>
            <w:r/>
            <w:r>
              <w:rPr>
                <w:b w:val="0"/>
                <w:sz w:val="17"/>
              </w:rPr>
              <w:t>NIST CSF 2.0: GV.OC | ISO/IEC 27001:2022: Annex A legal and privacy controls | ISO/IEC 29134 | AICPA TSC: privacy series | ISA 250</w:t>
            </w:r>
          </w:p>
        </w:tc>
        <w:tc>
          <w:tcPr>
            <w:tcW w:type="dxa" w:w="3969"/>
          </w:tcPr>
          <w:p>
            <w:pPr>
              <w:jc w:val="left"/>
            </w:pPr>
            <w:r/>
            <w:r>
              <w:rPr>
                <w:b w:val="0"/>
                <w:sz w:val="17"/>
              </w:rPr>
              <w:t>Vuko et al. (2024)</w:t>
            </w:r>
          </w:p>
        </w:tc>
        <w:tc>
          <w:tcPr>
            <w:tcW w:type="dxa" w:w="907"/>
          </w:tcPr>
          <w:p>
            <w:pPr>
              <w:jc w:val="left"/>
            </w:pPr>
            <w:r/>
            <w:r>
              <w:rPr>
                <w:b w:val="0"/>
                <w:sz w:val="17"/>
              </w:rPr>
              <w:t>S+R</w:t>
            </w:r>
          </w:p>
        </w:tc>
      </w:tr>
      <w:tr>
        <w:tc>
          <w:tcPr>
            <w:tcW w:type="dxa" w:w="680"/>
          </w:tcPr>
          <w:p>
            <w:pPr>
              <w:jc w:val="left"/>
            </w:pPr>
            <w:r/>
            <w:r>
              <w:rPr>
                <w:b w:val="0"/>
                <w:sz w:val="17"/>
              </w:rPr>
              <w:t>C20</w:t>
            </w:r>
          </w:p>
        </w:tc>
        <w:tc>
          <w:tcPr>
            <w:tcW w:type="dxa" w:w="2211"/>
          </w:tcPr>
          <w:p>
            <w:pPr>
              <w:bidi/>
              <w:jc w:val="right"/>
            </w:pPr>
            <w:r>
              <w:rPr>
                <w:rFonts w:ascii="Arial" w:hAnsi="Arial" w:cs="Arial"/>
                <w:rtl/>
              </w:rPr>
            </w:r>
            <w:r>
              <w:rPr>
                <w:rFonts w:ascii="Arial" w:hAnsi="Arial" w:cs="Arial"/>
                <w:b w:val="0"/>
                <w:sz w:val="17"/>
                <w:rtl/>
              </w:rPr>
              <w:t>بهبود مستمر و ارزیابی اثربخشی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MOL</w:t>
            </w:r>
          </w:p>
        </w:tc>
        <w:tc>
          <w:tcPr>
            <w:tcW w:type="dxa" w:w="4309"/>
          </w:tcPr>
          <w:p>
            <w:pPr>
              <w:jc w:val="left"/>
            </w:pPr>
            <w:r/>
            <w:r>
              <w:rPr>
                <w:b w:val="0"/>
                <w:sz w:val="17"/>
              </w:rPr>
              <w:t>NIST CSF 2.0: ID.IM | ISO/IEC 27001:2022: cl. 9.2, 9.3, 10 | ISO 31000:2018 | AICPA TSC: CC4 | IIA GIAS 2024</w:t>
            </w:r>
          </w:p>
        </w:tc>
        <w:tc>
          <w:tcPr>
            <w:tcW w:type="dxa" w:w="3969"/>
          </w:tcPr>
          <w:p>
            <w:pPr>
              <w:jc w:val="left"/>
            </w:pPr>
            <w:r/>
            <w:r>
              <w:rPr>
                <w:b w:val="0"/>
                <w:sz w:val="17"/>
              </w:rPr>
              <w:t>Slapničar et al. (2022); Armenia et al. (2021)</w:t>
            </w:r>
          </w:p>
        </w:tc>
        <w:tc>
          <w:tcPr>
            <w:tcW w:type="dxa" w:w="907"/>
          </w:tcPr>
          <w:p>
            <w:pPr>
              <w:jc w:val="left"/>
            </w:pPr>
            <w:r/>
            <w:r>
              <w:rPr>
                <w:b w:val="0"/>
                <w:sz w:val="17"/>
              </w:rPr>
              <w:t>S+R</w:t>
            </w:r>
          </w:p>
        </w:tc>
      </w:tr>
      <w:tr>
        <w:tc>
          <w:tcPr>
            <w:tcW w:type="dxa" w:w="680"/>
          </w:tcPr>
          <w:p>
            <w:pPr>
              <w:jc w:val="left"/>
            </w:pPr>
            <w:r/>
            <w:r>
              <w:rPr>
                <w:b w:val="0"/>
                <w:sz w:val="17"/>
              </w:rPr>
              <w:t>C21</w:t>
            </w:r>
          </w:p>
        </w:tc>
        <w:tc>
          <w:tcPr>
            <w:tcW w:type="dxa" w:w="2211"/>
          </w:tcPr>
          <w:p>
            <w:pPr>
              <w:bidi/>
              <w:jc w:val="right"/>
            </w:pPr>
            <w:r>
              <w:rPr>
                <w:rFonts w:ascii="Arial" w:hAnsi="Arial" w:cs="Arial"/>
                <w:rtl/>
              </w:rPr>
            </w:r>
            <w:r>
              <w:rPr>
                <w:rFonts w:ascii="Arial" w:hAnsi="Arial" w:cs="Arial"/>
                <w:b w:val="0"/>
                <w:sz w:val="17"/>
                <w:rtl/>
              </w:rPr>
              <w:t>مستندسازی و گزارشگری ریسک</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PEF</w:t>
            </w:r>
          </w:p>
        </w:tc>
        <w:tc>
          <w:tcPr>
            <w:tcW w:type="dxa" w:w="4309"/>
          </w:tcPr>
          <w:p>
            <w:pPr>
              <w:jc w:val="left"/>
            </w:pPr>
            <w:r/>
            <w:r>
              <w:rPr>
                <w:b w:val="0"/>
                <w:sz w:val="17"/>
              </w:rPr>
              <w:t>NIST CSF 2.0: GV.OV | ISO/IEC 27001:2022: cl. 7.5, 9.3 | AICPA TSC: CC2; DC section 100 | ISA 260, 265</w:t>
            </w:r>
          </w:p>
        </w:tc>
        <w:tc>
          <w:tcPr>
            <w:tcW w:type="dxa" w:w="3969"/>
          </w:tcPr>
          <w:p>
            <w:pPr>
              <w:jc w:val="left"/>
            </w:pPr>
            <w:r/>
            <w:r>
              <w:rPr>
                <w:b w:val="0"/>
                <w:sz w:val="17"/>
              </w:rPr>
              <w:t>Slapničar et al. (2022); Sari et al. (2023)</w:t>
            </w:r>
          </w:p>
        </w:tc>
        <w:tc>
          <w:tcPr>
            <w:tcW w:type="dxa" w:w="907"/>
          </w:tcPr>
          <w:p>
            <w:pPr>
              <w:jc w:val="left"/>
            </w:pPr>
            <w:r/>
            <w:r>
              <w:rPr>
                <w:b w:val="0"/>
                <w:sz w:val="17"/>
              </w:rPr>
              <w:t>S+R</w:t>
            </w:r>
          </w:p>
        </w:tc>
      </w:tr>
      <w:tr>
        <w:tc>
          <w:tcPr>
            <w:tcW w:type="dxa" w:w="680"/>
          </w:tcPr>
          <w:p>
            <w:pPr>
              <w:jc w:val="left"/>
            </w:pPr>
            <w:r/>
            <w:r>
              <w:rPr>
                <w:b w:val="0"/>
                <w:sz w:val="17"/>
              </w:rPr>
              <w:t>A01</w:t>
            </w:r>
          </w:p>
        </w:tc>
        <w:tc>
          <w:tcPr>
            <w:tcW w:type="dxa" w:w="2211"/>
          </w:tcPr>
          <w:p>
            <w:pPr>
              <w:bidi/>
              <w:jc w:val="right"/>
            </w:pPr>
            <w:r>
              <w:rPr>
                <w:rFonts w:ascii="Arial" w:hAnsi="Arial" w:cs="Arial"/>
                <w:rtl/>
              </w:rPr>
            </w:r>
            <w:r>
              <w:rPr>
                <w:rFonts w:ascii="Arial" w:hAnsi="Arial" w:cs="Arial"/>
                <w:b w:val="0"/>
                <w:sz w:val="17"/>
                <w:rtl/>
              </w:rPr>
              <w:t>درک سازمان، محیط IT و سیستم اطلاعاتی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TVI</w:t>
            </w:r>
          </w:p>
        </w:tc>
        <w:tc>
          <w:tcPr>
            <w:tcW w:type="dxa" w:w="4309"/>
          </w:tcPr>
          <w:p>
            <w:pPr>
              <w:jc w:val="left"/>
            </w:pPr>
            <w:r/>
            <w:r>
              <w:rPr>
                <w:b w:val="0"/>
                <w:sz w:val="17"/>
              </w:rPr>
              <w:t>ISA 315 (Revised 2019); AU-C 315; PCAOB AS 2110</w:t>
            </w:r>
          </w:p>
        </w:tc>
        <w:tc>
          <w:tcPr>
            <w:tcW w:type="dxa" w:w="3969"/>
          </w:tcPr>
          <w:p>
            <w:pPr>
              <w:jc w:val="left"/>
            </w:pPr>
            <w:r/>
            <w:r>
              <w:rPr>
                <w:b w:val="0"/>
                <w:sz w:val="17"/>
              </w:rPr>
              <w:t>Hermanson et al. (2000); Bedard et al. (2005)</w:t>
            </w:r>
          </w:p>
        </w:tc>
        <w:tc>
          <w:tcPr>
            <w:tcW w:type="dxa" w:w="907"/>
          </w:tcPr>
          <w:p>
            <w:pPr>
              <w:jc w:val="left"/>
            </w:pPr>
            <w:r/>
            <w:r>
              <w:rPr>
                <w:b w:val="0"/>
                <w:sz w:val="17"/>
              </w:rPr>
              <w:t>S+R</w:t>
            </w:r>
          </w:p>
        </w:tc>
      </w:tr>
      <w:tr>
        <w:tc>
          <w:tcPr>
            <w:tcW w:type="dxa" w:w="680"/>
          </w:tcPr>
          <w:p>
            <w:pPr>
              <w:jc w:val="left"/>
            </w:pPr>
            <w:r/>
            <w:r>
              <w:rPr>
                <w:b w:val="0"/>
                <w:sz w:val="17"/>
              </w:rPr>
              <w:t>A02</w:t>
            </w:r>
          </w:p>
        </w:tc>
        <w:tc>
          <w:tcPr>
            <w:tcW w:type="dxa" w:w="2211"/>
          </w:tcPr>
          <w:p>
            <w:pPr>
              <w:bidi/>
              <w:jc w:val="right"/>
            </w:pPr>
            <w:r>
              <w:rPr>
                <w:rFonts w:ascii="Arial" w:hAnsi="Arial" w:cs="Arial"/>
                <w:rtl/>
              </w:rPr>
            </w:r>
            <w:r>
              <w:rPr>
                <w:rFonts w:ascii="Arial" w:hAnsi="Arial" w:cs="Arial"/>
                <w:b w:val="0"/>
                <w:sz w:val="17"/>
                <w:rtl/>
              </w:rPr>
              <w:t>ارزیابی اثر ریسک سایبری بر ریسک تحریف با اهمیت</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RRJ</w:t>
            </w:r>
          </w:p>
        </w:tc>
        <w:tc>
          <w:tcPr>
            <w:tcW w:type="dxa" w:w="4309"/>
          </w:tcPr>
          <w:p>
            <w:pPr>
              <w:jc w:val="left"/>
            </w:pPr>
            <w:r/>
            <w:r>
              <w:rPr>
                <w:b w:val="0"/>
                <w:sz w:val="17"/>
              </w:rPr>
              <w:t>ISA 315 (Revised 2019); ISA 240; ISA 450</w:t>
            </w:r>
          </w:p>
        </w:tc>
        <w:tc>
          <w:tcPr>
            <w:tcW w:type="dxa" w:w="3969"/>
          </w:tcPr>
          <w:p>
            <w:pPr>
              <w:jc w:val="left"/>
            </w:pPr>
            <w:r/>
            <w:r>
              <w:rPr>
                <w:b w:val="0"/>
                <w:sz w:val="17"/>
              </w:rPr>
              <w:t>Bedard et al. (2005); Li et al. (2020)</w:t>
            </w:r>
          </w:p>
        </w:tc>
        <w:tc>
          <w:tcPr>
            <w:tcW w:type="dxa" w:w="907"/>
          </w:tcPr>
          <w:p>
            <w:pPr>
              <w:jc w:val="left"/>
            </w:pPr>
            <w:r/>
            <w:r>
              <w:rPr>
                <w:b w:val="0"/>
                <w:sz w:val="17"/>
              </w:rPr>
              <w:t>S+R</w:t>
            </w:r>
          </w:p>
        </w:tc>
      </w:tr>
      <w:tr>
        <w:tc>
          <w:tcPr>
            <w:tcW w:type="dxa" w:w="680"/>
          </w:tcPr>
          <w:p>
            <w:pPr>
              <w:jc w:val="left"/>
            </w:pPr>
            <w:r/>
            <w:r>
              <w:rPr>
                <w:b w:val="0"/>
                <w:sz w:val="17"/>
              </w:rPr>
              <w:t>A03</w:t>
            </w:r>
          </w:p>
        </w:tc>
        <w:tc>
          <w:tcPr>
            <w:tcW w:type="dxa" w:w="2211"/>
          </w:tcPr>
          <w:p>
            <w:pPr>
              <w:bidi/>
              <w:jc w:val="right"/>
            </w:pPr>
            <w:r>
              <w:rPr>
                <w:rFonts w:ascii="Arial" w:hAnsi="Arial" w:cs="Arial"/>
                <w:rtl/>
              </w:rPr>
            </w:r>
            <w:r>
              <w:rPr>
                <w:rFonts w:ascii="Arial" w:hAnsi="Arial" w:cs="Arial"/>
                <w:b w:val="0"/>
                <w:sz w:val="17"/>
                <w:rtl/>
              </w:rPr>
              <w:t>ارزیابی طراحی و اثربخشی کنترل‌های عمومی IT</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CCE</w:t>
            </w:r>
          </w:p>
        </w:tc>
        <w:tc>
          <w:tcPr>
            <w:tcW w:type="dxa" w:w="4309"/>
          </w:tcPr>
          <w:p>
            <w:pPr>
              <w:jc w:val="left"/>
            </w:pPr>
            <w:r/>
            <w:r>
              <w:rPr>
                <w:b w:val="0"/>
                <w:sz w:val="17"/>
              </w:rPr>
              <w:t>ISA 315; ISA 330; PCAOB AS 2201 (ITGC)</w:t>
            </w:r>
          </w:p>
        </w:tc>
        <w:tc>
          <w:tcPr>
            <w:tcW w:type="dxa" w:w="3969"/>
          </w:tcPr>
          <w:p>
            <w:pPr>
              <w:jc w:val="left"/>
            </w:pPr>
            <w:r/>
            <w:r>
              <w:rPr>
                <w:b w:val="0"/>
                <w:sz w:val="17"/>
              </w:rPr>
              <w:t>Hermanson et al. (2000); Slapničar et al. (2022)</w:t>
            </w:r>
          </w:p>
        </w:tc>
        <w:tc>
          <w:tcPr>
            <w:tcW w:type="dxa" w:w="907"/>
          </w:tcPr>
          <w:p>
            <w:pPr>
              <w:jc w:val="left"/>
            </w:pPr>
            <w:r/>
            <w:r>
              <w:rPr>
                <w:b w:val="0"/>
                <w:sz w:val="17"/>
              </w:rPr>
              <w:t>S+R</w:t>
            </w:r>
          </w:p>
        </w:tc>
      </w:tr>
      <w:tr>
        <w:tc>
          <w:tcPr>
            <w:tcW w:type="dxa" w:w="680"/>
          </w:tcPr>
          <w:p>
            <w:pPr>
              <w:jc w:val="left"/>
            </w:pPr>
            <w:r/>
            <w:r>
              <w:rPr>
                <w:b w:val="0"/>
                <w:sz w:val="17"/>
              </w:rPr>
              <w:t>A04</w:t>
            </w:r>
          </w:p>
        </w:tc>
        <w:tc>
          <w:tcPr>
            <w:tcW w:type="dxa" w:w="2211"/>
          </w:tcPr>
          <w:p>
            <w:pPr>
              <w:bidi/>
              <w:jc w:val="right"/>
            </w:pPr>
            <w:r>
              <w:rPr>
                <w:rFonts w:ascii="Arial" w:hAnsi="Arial" w:cs="Arial"/>
                <w:rtl/>
              </w:rPr>
            </w:r>
            <w:r>
              <w:rPr>
                <w:rFonts w:ascii="Arial" w:hAnsi="Arial" w:cs="Arial"/>
                <w:b w:val="0"/>
                <w:sz w:val="17"/>
                <w:rtl/>
              </w:rPr>
              <w:t>کفایت و قابلیت اتکای شواهد الکترونیکی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CCE</w:t>
            </w:r>
          </w:p>
        </w:tc>
        <w:tc>
          <w:tcPr>
            <w:tcW w:type="dxa" w:w="4309"/>
          </w:tcPr>
          <w:p>
            <w:pPr>
              <w:jc w:val="left"/>
            </w:pPr>
            <w:r/>
            <w:r>
              <w:rPr>
                <w:b w:val="0"/>
                <w:sz w:val="17"/>
              </w:rPr>
              <w:t>ISA 500; ISA 230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A05</w:t>
            </w:r>
          </w:p>
        </w:tc>
        <w:tc>
          <w:tcPr>
            <w:tcW w:type="dxa" w:w="2211"/>
          </w:tcPr>
          <w:p>
            <w:pPr>
              <w:bidi/>
              <w:jc w:val="right"/>
            </w:pPr>
            <w:r>
              <w:rPr>
                <w:rFonts w:ascii="Arial" w:hAnsi="Arial" w:cs="Arial"/>
                <w:rtl/>
              </w:rPr>
            </w:r>
            <w:r>
              <w:rPr>
                <w:rFonts w:ascii="Arial" w:hAnsi="Arial" w:cs="Arial"/>
                <w:b w:val="0"/>
                <w:sz w:val="17"/>
                <w:rtl/>
              </w:rPr>
              <w:t>اتکا به گزارش‌های سازمان خدماتی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COL</w:t>
            </w:r>
          </w:p>
        </w:tc>
        <w:tc>
          <w:tcPr>
            <w:tcW w:type="dxa" w:w="4309"/>
          </w:tcPr>
          <w:p>
            <w:pPr>
              <w:jc w:val="left"/>
            </w:pPr>
            <w:r/>
            <w:r>
              <w:rPr>
                <w:b w:val="0"/>
                <w:sz w:val="17"/>
              </w:rPr>
              <w:t>ISA 402; AICPA SOC 2 and SOC for Cybersecurity reports</w:t>
            </w:r>
          </w:p>
        </w:tc>
        <w:tc>
          <w:tcPr>
            <w:tcW w:type="dxa" w:w="3969"/>
          </w:tcPr>
          <w:p>
            <w:pPr>
              <w:jc w:val="left"/>
            </w:pPr>
            <w:r/>
            <w:r>
              <w:rPr>
                <w:b w:val="0"/>
                <w:sz w:val="17"/>
              </w:rPr>
              <w:t>Kahyaoğlu &amp; Çalıyurt (2018)</w:t>
            </w:r>
          </w:p>
        </w:tc>
        <w:tc>
          <w:tcPr>
            <w:tcW w:type="dxa" w:w="907"/>
          </w:tcPr>
          <w:p>
            <w:pPr>
              <w:jc w:val="left"/>
            </w:pPr>
            <w:r/>
            <w:r>
              <w:rPr>
                <w:b w:val="0"/>
                <w:sz w:val="17"/>
              </w:rPr>
              <w:t>S+R</w:t>
            </w:r>
          </w:p>
        </w:tc>
      </w:tr>
      <w:tr>
        <w:tc>
          <w:tcPr>
            <w:tcW w:type="dxa" w:w="680"/>
          </w:tcPr>
          <w:p>
            <w:pPr>
              <w:jc w:val="left"/>
            </w:pPr>
            <w:r/>
            <w:r>
              <w:rPr>
                <w:b w:val="0"/>
                <w:sz w:val="17"/>
              </w:rPr>
              <w:t>A06</w:t>
            </w:r>
          </w:p>
        </w:tc>
        <w:tc>
          <w:tcPr>
            <w:tcW w:type="dxa" w:w="2211"/>
          </w:tcPr>
          <w:p>
            <w:pPr>
              <w:bidi/>
              <w:jc w:val="right"/>
            </w:pPr>
            <w:r>
              <w:rPr>
                <w:rFonts w:ascii="Arial" w:hAnsi="Arial" w:cs="Arial"/>
                <w:rtl/>
              </w:rPr>
            </w:r>
            <w:r>
              <w:rPr>
                <w:rFonts w:ascii="Arial" w:hAnsi="Arial" w:cs="Arial"/>
                <w:b w:val="0"/>
                <w:sz w:val="17"/>
                <w:rtl/>
              </w:rPr>
              <w:t>شایستگی فنی حسابرس و استفاده از کارشناس</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COL</w:t>
            </w:r>
          </w:p>
        </w:tc>
        <w:tc>
          <w:tcPr>
            <w:tcW w:type="dxa" w:w="4309"/>
          </w:tcPr>
          <w:p>
            <w:pPr>
              <w:jc w:val="left"/>
            </w:pPr>
            <w:r/>
            <w:r>
              <w:rPr>
                <w:b w:val="0"/>
                <w:sz w:val="17"/>
              </w:rPr>
              <w:t>ISA 620; ISA 220; ISQM 1; IIA GIAS 2024</w:t>
            </w:r>
          </w:p>
        </w:tc>
        <w:tc>
          <w:tcPr>
            <w:tcW w:type="dxa" w:w="3969"/>
          </w:tcPr>
          <w:p>
            <w:pPr>
              <w:jc w:val="left"/>
            </w:pPr>
            <w:r/>
            <w:r>
              <w:rPr>
                <w:b w:val="0"/>
                <w:sz w:val="17"/>
              </w:rPr>
              <w:t>Islam et al. (2018); Steinbart et al. (2018); Hermanson et al. (2000)</w:t>
            </w:r>
          </w:p>
        </w:tc>
        <w:tc>
          <w:tcPr>
            <w:tcW w:type="dxa" w:w="907"/>
          </w:tcPr>
          <w:p>
            <w:pPr>
              <w:jc w:val="left"/>
            </w:pPr>
            <w:r/>
            <w:r>
              <w:rPr>
                <w:b w:val="0"/>
                <w:sz w:val="17"/>
              </w:rPr>
              <w:t>S+R</w:t>
            </w:r>
          </w:p>
        </w:tc>
      </w:tr>
      <w:tr>
        <w:tc>
          <w:tcPr>
            <w:tcW w:type="dxa" w:w="680"/>
          </w:tcPr>
          <w:p>
            <w:pPr>
              <w:jc w:val="left"/>
            </w:pPr>
            <w:r/>
            <w:r>
              <w:rPr>
                <w:b w:val="0"/>
                <w:sz w:val="17"/>
              </w:rPr>
              <w:t>A07</w:t>
            </w:r>
          </w:p>
        </w:tc>
        <w:tc>
          <w:tcPr>
            <w:tcW w:type="dxa" w:w="2211"/>
          </w:tcPr>
          <w:p>
            <w:pPr>
              <w:bidi/>
              <w:jc w:val="right"/>
            </w:pPr>
            <w:r>
              <w:rPr>
                <w:rFonts w:ascii="Arial" w:hAnsi="Arial" w:cs="Arial"/>
                <w:rtl/>
              </w:rPr>
            </w:r>
            <w:r>
              <w:rPr>
                <w:rFonts w:ascii="Arial" w:hAnsi="Arial" w:cs="Arial"/>
                <w:b w:val="0"/>
                <w:sz w:val="17"/>
                <w:rtl/>
              </w:rPr>
              <w:t>ارزیابی اثر حوادث سایبری بر صورت‌های مالی و افشا</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450; ISA 560; ISA 570; ISA 250</w:t>
            </w:r>
          </w:p>
        </w:tc>
        <w:tc>
          <w:tcPr>
            <w:tcW w:type="dxa" w:w="3969"/>
          </w:tcPr>
          <w:p>
            <w:pPr>
              <w:jc w:val="left"/>
            </w:pPr>
            <w:r/>
            <w:r>
              <w:rPr>
                <w:b w:val="0"/>
                <w:sz w:val="17"/>
              </w:rPr>
              <w:t>Li et al. (2020); Sari et al. (2023)</w:t>
            </w:r>
          </w:p>
        </w:tc>
        <w:tc>
          <w:tcPr>
            <w:tcW w:type="dxa" w:w="907"/>
          </w:tcPr>
          <w:p>
            <w:pPr>
              <w:jc w:val="left"/>
            </w:pPr>
            <w:r/>
            <w:r>
              <w:rPr>
                <w:b w:val="0"/>
                <w:sz w:val="17"/>
              </w:rPr>
              <w:t>S+R</w:t>
            </w:r>
          </w:p>
        </w:tc>
      </w:tr>
      <w:tr>
        <w:tc>
          <w:tcPr>
            <w:tcW w:type="dxa" w:w="680"/>
          </w:tcPr>
          <w:p>
            <w:pPr>
              <w:jc w:val="left"/>
            </w:pPr>
            <w:r/>
            <w:r>
              <w:rPr>
                <w:b w:val="0"/>
                <w:sz w:val="17"/>
              </w:rPr>
              <w:t>A08</w:t>
            </w:r>
          </w:p>
        </w:tc>
        <w:tc>
          <w:tcPr>
            <w:tcW w:type="dxa" w:w="2211"/>
          </w:tcPr>
          <w:p>
            <w:pPr>
              <w:bidi/>
              <w:jc w:val="right"/>
            </w:pPr>
            <w:r>
              <w:rPr>
                <w:rFonts w:ascii="Arial" w:hAnsi="Arial" w:cs="Arial"/>
                <w:rtl/>
              </w:rPr>
            </w:r>
            <w:r>
              <w:rPr>
                <w:rFonts w:ascii="Arial" w:hAnsi="Arial" w:cs="Arial"/>
                <w:b w:val="0"/>
                <w:sz w:val="17"/>
                <w:rtl/>
              </w:rPr>
              <w:t>ارتباط با راهبران و گزارش نقاط ضعف کنترلی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260; ISA 265; IIA GIAS 2024</w:t>
            </w:r>
          </w:p>
        </w:tc>
        <w:tc>
          <w:tcPr>
            <w:tcW w:type="dxa" w:w="3969"/>
          </w:tcPr>
          <w:p>
            <w:pPr>
              <w:jc w:val="left"/>
            </w:pPr>
            <w:r/>
            <w:r>
              <w:rPr>
                <w:b w:val="0"/>
                <w:sz w:val="17"/>
              </w:rPr>
              <w:t>Slapničar et al. (2022); Islam et al. (2018)</w:t>
            </w:r>
          </w:p>
        </w:tc>
        <w:tc>
          <w:tcPr>
            <w:tcW w:type="dxa" w:w="907"/>
          </w:tcPr>
          <w:p>
            <w:pPr>
              <w:jc w:val="left"/>
            </w:pPr>
            <w:r/>
            <w:r>
              <w:rPr>
                <w:b w:val="0"/>
                <w:sz w:val="17"/>
              </w:rPr>
              <w:t>S+R</w:t>
            </w:r>
          </w:p>
        </w:tc>
      </w:tr>
      <w:tr>
        <w:tc>
          <w:tcPr>
            <w:tcW w:type="dxa" w:w="680"/>
          </w:tcPr>
          <w:p>
            <w:pPr>
              <w:jc w:val="left"/>
            </w:pPr>
            <w:r/>
            <w:r>
              <w:rPr>
                <w:b w:val="0"/>
                <w:sz w:val="17"/>
              </w:rPr>
              <w:t>A09</w:t>
            </w:r>
          </w:p>
        </w:tc>
        <w:tc>
          <w:tcPr>
            <w:tcW w:type="dxa" w:w="2211"/>
          </w:tcPr>
          <w:p>
            <w:pPr>
              <w:bidi/>
              <w:jc w:val="right"/>
            </w:pPr>
            <w:r>
              <w:rPr>
                <w:rFonts w:ascii="Arial" w:hAnsi="Arial" w:cs="Arial"/>
                <w:rtl/>
              </w:rPr>
            </w:r>
            <w:r>
              <w:rPr>
                <w:rFonts w:ascii="Arial" w:hAnsi="Arial" w:cs="Arial"/>
                <w:b w:val="0"/>
                <w:sz w:val="17"/>
                <w:rtl/>
              </w:rPr>
              <w:t>قضاوت و تردید حرفه‌ای در ریسک سایبری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200</w:t>
            </w:r>
          </w:p>
        </w:tc>
        <w:tc>
          <w:tcPr>
            <w:tcW w:type="dxa" w:w="3969"/>
          </w:tcPr>
          <w:p>
            <w:pPr>
              <w:jc w:val="left"/>
            </w:pPr>
            <w:r/>
            <w:r>
              <w:rPr>
                <w:b w:val="0"/>
                <w:sz w:val="17"/>
              </w:rPr>
              <w:t>—</w:t>
            </w:r>
          </w:p>
        </w:tc>
        <w:tc>
          <w:tcPr>
            <w:tcW w:type="dxa" w:w="907"/>
          </w:tcPr>
          <w:p>
            <w:pPr>
              <w:jc w:val="left"/>
            </w:pPr>
            <w:r/>
            <w:r>
              <w:rPr>
                <w:b w:val="0"/>
                <w:sz w:val="17"/>
              </w:rPr>
              <w:t>S</w:t>
            </w:r>
          </w:p>
        </w:tc>
      </w:tr>
    </w:tbl>
    <w:p/>
    <w:p>
      <w:r>
        <w:br w:type="page"/>
      </w:r>
    </w:p>
    <w:p>
      <w:pPr>
        <w:spacing w:after="140" w:line="288" w:lineRule="auto"/>
        <w:jc w:val="left"/>
      </w:pPr>
      <w:r>
        <w:rPr>
          <w:b/>
          <w:i w:val="0"/>
          <w:color w:val="1F3864"/>
          <w:sz w:val="26"/>
        </w:rPr>
        <w:t>References</w:t>
      </w:r>
    </w:p>
    <w:p>
      <w:pPr>
        <w:spacing w:after="60" w:line="264" w:lineRule="auto"/>
        <w:ind w:left="567" w:hanging="567"/>
        <w:jc w:val="left"/>
      </w:pPr>
      <w:r>
        <w:rPr>
          <w:b w:val="0"/>
          <w:i w:val="0"/>
          <w:sz w:val="20"/>
        </w:rPr>
        <w:t>AICPA. (2017). Description criteria for management's description of an entity's cybersecurity risk management program (DC section 100). American Institute of Certified Public Accountants.</w:t>
      </w:r>
    </w:p>
    <w:p>
      <w:pPr>
        <w:spacing w:after="60" w:line="264"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i w:val="0"/>
          <w:sz w:val="20"/>
        </w:rPr>
        <w:t>Barney, J. (1991). Firm resources and sustained competitive advantage. Journal of Management, 17(1), 99–120.</w:t>
      </w:r>
    </w:p>
    <w:p>
      <w:pPr>
        <w:spacing w:after="60" w:line="264"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i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i w:val="0"/>
          <w:sz w:val="20"/>
        </w:rPr>
        <w:t>Donaldson, L. (2001). The contingency theory of organizations. Sage.</w:t>
      </w:r>
    </w:p>
    <w:p>
      <w:pPr>
        <w:spacing w:after="60" w:line="264"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i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i w:val="0"/>
          <w:sz w:val="20"/>
        </w:rPr>
        <w:t>Higgs, J. L., Pinsker, R. E., Smith, T. J., &amp; Young, G. R. (2016). The relationship between board-level technology committees and reported security breaches. Journal of Information Systems, 30(3), 79–98. https://doi.org/10.2308/isys-51402</w:t>
      </w:r>
    </w:p>
    <w:p>
      <w:pPr>
        <w:spacing w:after="60" w:line="264" w:lineRule="auto"/>
        <w:ind w:left="567" w:hanging="567"/>
        <w:jc w:val="left"/>
      </w:pPr>
      <w:r>
        <w:rPr>
          <w:b w:val="0"/>
          <w:i w:val="0"/>
          <w:sz w:val="20"/>
        </w:rPr>
        <w:t>IAASB. (2019). International Standard on Auditing 315 (Revised 2019): Identifying and assessing the risks of material misstatement. International Auditing and Assurance Standards Board.</w:t>
      </w:r>
    </w:p>
    <w:p>
      <w:pPr>
        <w:spacing w:after="60" w:line="264" w:lineRule="auto"/>
        <w:ind w:left="567" w:hanging="567"/>
        <w:jc w:val="left"/>
      </w:pPr>
      <w:r>
        <w:rPr>
          <w:b w:val="0"/>
          <w:i w:val="0"/>
          <w:sz w:val="20"/>
        </w:rPr>
        <w:t>IIA. (2024). Global Internal Audit Standards. Institute of Internal Auditors.</w:t>
      </w:r>
    </w:p>
    <w:p>
      <w:pPr>
        <w:spacing w:after="60" w:line="264" w:lineRule="auto"/>
        <w:ind w:left="567" w:hanging="567"/>
        <w:jc w:val="left"/>
      </w:pPr>
      <w:r>
        <w:rPr>
          <w:b w:val="0"/>
          <w:i w:val="0"/>
          <w:sz w:val="20"/>
        </w:rPr>
        <w:t>IIA. (2025). Cybersecurity topical requirement. Institute of Internal Auditors.</w:t>
      </w:r>
    </w:p>
    <w:p>
      <w:pPr>
        <w:spacing w:after="60" w:line="264"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i w:val="0"/>
          <w:sz w:val="20"/>
        </w:rPr>
        <w:t>ISO. (2018). ISO 31000:2018 Risk management — Guidelines. International Organization for Standardization.</w:t>
      </w:r>
    </w:p>
    <w:p>
      <w:pPr>
        <w:spacing w:after="60" w:line="264" w:lineRule="auto"/>
        <w:ind w:left="567" w:hanging="567"/>
        <w:jc w:val="left"/>
      </w:pPr>
      <w:r>
        <w:rPr>
          <w:b w:val="0"/>
          <w:i w:val="0"/>
          <w:sz w:val="20"/>
        </w:rPr>
        <w:t>ISO/IEC. (2022). ISO/IEC 27005:2022 Information security, cybersecurity and privacy protection — Guidance on managing information security risks (4th ed.). International Organization for Standardization.</w:t>
      </w:r>
    </w:p>
    <w:p>
      <w:pPr>
        <w:spacing w:after="60" w:line="264" w:lineRule="auto"/>
        <w:ind w:left="567" w:hanging="567"/>
        <w:jc w:val="left"/>
      </w:pPr>
      <w:r>
        <w:rPr>
          <w:b w:val="0"/>
          <w:i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i w:val="0"/>
          <w:sz w:val="20"/>
        </w:rPr>
        <w:t>Kahyaoğlu, S. B., &amp; Çalıyurt, K. (2018). Cyber security assurance process from the internal audit perspective. Managerial Auditing Journal, 33(4), 360–376. https://doi.org/10.1108/MAJ-02-2018-1804</w:t>
      </w:r>
    </w:p>
    <w:p>
      <w:pPr>
        <w:spacing w:after="60" w:line="264"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i w:val="0"/>
          <w:sz w:val="20"/>
        </w:rPr>
        <w:t>NIST. (2024). The NIST Cybersecurity Framework (CSF) 2.0 (NIST CSWP 29). National Institute of Standards and Technology. https://doi.org/10.6028/NIST.CSWP.29</w:t>
      </w:r>
    </w:p>
    <w:p>
      <w:pPr>
        <w:spacing w:after="60" w:line="264" w:lineRule="auto"/>
        <w:ind w:left="567" w:hanging="567"/>
        <w:jc w:val="left"/>
      </w:pPr>
      <w:r>
        <w:rPr>
          <w:b w:val="0"/>
          <w:i w:val="0"/>
          <w:sz w:val="20"/>
        </w:rPr>
        <w:t>Sari, Y. P., Suhardjanto, D., Probohudono, A. N., &amp; Honggowati, S. (2023). Cyber risk management disclosure of state-owned enterprises. Jurnal Dinamika Akuntansi, 15(2), 180–190. https://doi.org/10.15294/jda.v15i2.44817</w:t>
      </w:r>
    </w:p>
    <w:p>
      <w:pPr>
        <w:spacing w:after="60" w:line="264"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i w:val="0"/>
          <w:sz w:val="20"/>
        </w:rPr>
        <w:t>Teece, D. J., Pisano, G., &amp; Shuen, A. (1997). Dynamic capabilities and strategic management. Strategic Management Journal, 18(7), 509–533.</w:t>
      </w:r>
    </w:p>
    <w:p>
      <w:pPr>
        <w:spacing w:after="60" w:line="264"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pPr>
        <w:spacing w:after="60" w:line="264" w:lineRule="auto"/>
        <w:jc w:val="left"/>
      </w:pPr>
      <w:r>
        <w:rPr>
          <w:b w:val="0"/>
          <w:i w:val="0"/>
          <w:sz w:val="19"/>
        </w:rPr>
        <w:t>Other standards named in Table A1: ISA 200, 220, 230, 240, 250, 260, 265, 330, 402, 450, 500, 560, 570, 620; ISQM 1; ISO/IEC 27001:2022, 27002:2022, 27031, 27033, 27036, 29134; ISO 22301; IEC/ISO 31010; NIST SP 800-30 Rev. 1, SP 800-61 Rev. 3; AICPA Trust Services Criteria (2017, revised points of focus 2022); PCAOB AS 2110, AS 2201.</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