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64" w:lineRule="auto"/>
        <w:jc w:val="center"/>
      </w:pPr>
      <w:r>
        <w:rPr>
          <w:b w:val="0"/>
          <w:color w:val="5A5A5A"/>
          <w:sz w:val="19"/>
        </w:rPr>
        <w:t>Paper 1 of 2: Methodology</w:t>
      </w:r>
    </w:p>
    <w:p>
      <w:pPr>
        <w:spacing w:after="140" w:line="288" w:lineRule="auto"/>
        <w:jc w:val="left"/>
      </w:pPr>
      <w:r>
        <w:rPr>
          <w:b/>
          <w:color w:val="1F3864"/>
          <w:sz w:val="30"/>
        </w:rPr>
        <w:t>3. Methodology</w:t>
      </w:r>
    </w:p>
    <w:p>
      <w:pPr>
        <w:spacing w:after="100" w:line="288" w:lineRule="auto"/>
        <w:jc w:val="left"/>
      </w:pPr>
      <w:r>
        <w:rPr>
          <w:b/>
          <w:color w:val="1F3864"/>
          <w:sz w:val="25"/>
        </w:rPr>
        <w:t>3.1 Research design and rationale</w:t>
      </w:r>
    </w:p>
    <w:p>
      <w:pPr>
        <w:spacing w:after="140" w:line="336" w:lineRule="auto"/>
        <w:jc w:val="both"/>
      </w:pPr>
      <w:r>
        <w:rPr>
          <w:b w:val="0"/>
        </w:rPr>
        <w:t>The study follows an exploratory sequential design in two stages. Stage 1 identifies and structures candidate components by synthesizing the literature and mapping it against the sources that regulate or guide the practice. Stage 2 validates and localizes the components in a Delphi study with two expert panels. The Delphi method suits the problem for three reasons that follow from the introduction. First, the construct is under-specified, so the question is which components belong to it, a question of content that informed judgment can answer (Okoli &amp; Pawlowski, 2004; Skulmoski et al., 2007). Second, data against which components could be tested are scarce (Cremer et al., 2022), so there is no outcome criterion to validate against. Third, the question is two-sided, which calls for two independently constituted panels that rate the same items. We follow the CREDES guidance for conducting and reporting Delphi studies (Jünger et al., 2017) and specify the consensus criteria in advance, because Diamond et al. (2014) found that many published Delphi studies claim consensus without having defined it beforehand.</w:t>
      </w:r>
    </w:p>
    <w:p>
      <w:pPr>
        <w:spacing w:after="100" w:line="288" w:lineRule="auto"/>
        <w:jc w:val="left"/>
      </w:pPr>
      <w:r>
        <w:rPr>
          <w:b/>
          <w:color w:val="1F3864"/>
          <w:sz w:val="25"/>
        </w:rPr>
        <w:t>3.2 Stage 1: Identification of candidate components</w:t>
      </w:r>
    </w:p>
    <w:p>
      <w:pPr>
        <w:spacing w:after="140" w:line="336" w:lineRule="auto"/>
        <w:jc w:val="both"/>
      </w:pPr>
      <w:r>
        <w:rPr>
          <w:b w:val="0"/>
        </w:rPr>
        <w:t>Sources were of two kinds. Research sources were peer-reviewed studies retrieved from Scopus, Web of Science and publisher platforms (ScienceDirect, Emerald, Wiley, Taylor &amp; Francis) and from the Persian databases SID, Magiran, ISC and Civilica, published between 2000 and [search date] in English or Persian. The search string combined terms for cyber or information security risk, for auditing or assurance, and for assessment, framework, component or factor, and was adapted to each database; backward and forward citation chasing supplemented it. Normative sources were the official texts of the AICPA Trust Services Criteria and SOC for Cybersecurity description criteria, NIST CSF 2.0 and the related NIST publications, ISO/IEC 27001, 27002 and 27005 (2022 editions) and ISO 31000, ISA 315 (Revised 2019) and related ISAs, and the IIA Global Internal Audit Standards and Cybersecurity Topical Requirement.</w:t>
      </w:r>
    </w:p>
    <w:p>
      <w:pPr>
        <w:spacing w:after="140" w:line="336" w:lineRule="auto"/>
        <w:jc w:val="both"/>
      </w:pPr>
      <w:r>
        <w:rPr>
          <w:b w:val="0"/>
        </w:rPr>
        <w:t>Two researchers screened titles and abstracts and then full texts independently against inclusion criteria (relevance to cyber or information security risk assessment, control evaluation or assurance in an audit or comparable assurance context); inter-rater agreement is reported as Cohen's kappa and disagreements were resolved by discussion. The process is reported with a PRISMA 2020 flow diagram (Page et al., 2021), adapted because the review serves to identify components rather than to estimate an effect. Components and their definitions were extracted into a coding form together with the perspective (audited entity, auditor or both) and the source.</w:t>
      </w:r>
    </w:p>
    <w:p>
      <w:pPr>
        <w:spacing w:after="140" w:line="336" w:lineRule="auto"/>
        <w:jc w:val="both"/>
      </w:pPr>
      <w:r>
        <w:rPr>
          <w:b w:val="0"/>
        </w:rPr>
        <w:t>Mapping proceeded in a component-by-source matrix. Two researchers independently coded each source against each candidate component and resolved differences by consensus. We applied three synthesis rules: synonyms were merged, compound components were split, and a component was retained as a candidate only if at least two independent source families supported it (for example, two standard families, or a standard and a study). Each component was labelled S+R if at least one study supported it in addition to standards, and S if it rested on standards and guidance alone. The result is 30 candidate components in seven dimensions: 12 belonging to the audited entity's perspective, 9 to the auditor's and 9 shared (Table A1 of the theoretical background). Evidence labels were not shown to panelists, to avoid anchoring.</w:t>
      </w:r>
    </w:p>
    <w:p>
      <w:pPr>
        <w:spacing w:after="100" w:line="288" w:lineRule="auto"/>
        <w:jc w:val="left"/>
      </w:pPr>
      <w:r>
        <w:rPr>
          <w:b/>
          <w:color w:val="1F3864"/>
          <w:sz w:val="25"/>
        </w:rPr>
        <w:t>3.3 Stage 2: Expert panels</w:t>
      </w:r>
    </w:p>
    <w:p>
      <w:pPr>
        <w:spacing w:after="140" w:line="336" w:lineRule="auto"/>
        <w:jc w:val="both"/>
      </w:pPr>
      <w:r>
        <w:rPr>
          <w:b w:val="0"/>
        </w:rPr>
        <w:t>Two panels were constituted. Panel A represents the audited entity (information security managers, IT managers, internal auditors and risk managers); Panel B represents auditors (independent auditors, IT auditors and auditors of the Audit Organization). Eligibility required at least five years of experience relevant to cyber risk assessment or IT audit and involvement in a cyber-related assessment or audit within the last [three] years; recognized certifications (for example CISA, CISM or ISO/IEC 27001 Lead Auditor) were considered in the same way as experience. Experts were recruited by purposive sampling supplemented by referral, with deliberate variation in sector and organization size, and invitations were issued by an independent coordinator. Delphi guidance stresses expertise and heterogeneity over panel size (Okoli &amp; Pawlowski, 2004; Skulmoski et al., 2007). Because the population of qualified experts in Iran is small, we targeted [12–20] experts per panel and report the number invited, participating and retained in each round. Replacement of dropouts was not permitted, and we report round-wise response rates.</w:t>
      </w:r>
    </w:p>
    <w:p>
      <w:pPr>
        <w:spacing w:after="100" w:line="288" w:lineRule="auto"/>
        <w:jc w:val="left"/>
      </w:pPr>
      <w:r>
        <w:rPr>
          <w:b/>
          <w:color w:val="1F3864"/>
          <w:sz w:val="25"/>
        </w:rPr>
        <w:t>3.4 Instrument and rounds</w:t>
      </w:r>
    </w:p>
    <w:p>
      <w:pPr>
        <w:spacing w:after="140" w:line="336" w:lineRule="auto"/>
        <w:jc w:val="both"/>
      </w:pPr>
      <w:r>
        <w:rPr>
          <w:b w:val="0"/>
        </w:rPr>
        <w:t>The Round 1 questionnaire presents each of the 30 components once, with a short operational definition, and asks the expert two questions on five-point scales: importance (How important is this component for a cyber risk assessment in an audit to be considered adequate? 1 = not important to 5 = extremely important) and feasibility (How feasible is it to carry out this component under current conditions in Iran? 1 = not feasible to 5 = fully feasible). Each component is therefore rated twice, giving 60 ratings per expert, and each rating is followed by an optional comment. Open questions invite additional components, merging or removal, local requirements and obstacles. The instrument was prepared in Persian and English, translated and back-translated (Brislin, 1970), and pretested with [3–5] experts outside the panels for clarity and face validity.</w:t>
      </w:r>
    </w:p>
    <w:p>
      <w:pPr>
        <w:spacing w:after="140" w:line="336" w:lineRule="auto"/>
        <w:jc w:val="both"/>
      </w:pPr>
      <w:r>
        <w:rPr>
          <w:b w:val="0"/>
        </w:rPr>
        <w:t>Round 2 returns to each expert the panel's median, interquartile range and percentage agreement for every component, the expert's own earlier rating, and anonymized summaries of comments, and asks for re-rating of components without consensus, of revised or merged components and of newly proposed components. In Round 2 experts also assign each retained component to one of six constructs (threat and vulnerability identification, control maturity and effectiveness evaluation, auditor–specialist collaboration and competence, residual-risk judgment, continuous monitoring and learning, and process effectiveness) or to 'other'; this classification provides the measurement basis for the follow-up structural study. A third round is held only if components remain unresolved. The study stops when consensus is reached for at least [90 per cent] of components, when agreement changes by no more than [10] percentage points between successive rounds, or after three rounds, whichever comes first.</w:t>
      </w:r>
    </w:p>
    <w:p>
      <w:pPr>
        <w:spacing w:after="100" w:line="288" w:lineRule="auto"/>
        <w:jc w:val="left"/>
      </w:pPr>
      <w:r>
        <w:rPr>
          <w:b/>
          <w:color w:val="1F3864"/>
          <w:sz w:val="25"/>
        </w:rPr>
        <w:t>3.5 Consensus and decision rules</w:t>
      </w:r>
    </w:p>
    <w:p>
      <w:pPr>
        <w:spacing w:after="140" w:line="336" w:lineRule="auto"/>
        <w:jc w:val="both"/>
      </w:pPr>
      <w:r>
        <w:rPr>
          <w:b w:val="0"/>
        </w:rPr>
        <w:t>The consensus criteria and the decision for each component were fixed before data collection (Table 3). Consensus on importance requires that at least 75 per cent of a panel rate the component 4 or 5, with a median of at least 4 and an interquartile range of at most 1; 75 per cent is the most common cut-off among published Delphi studies that define consensus (Diamond et al., 2014). Decisions are made component by component and panel by panel, so that no component is removed because one panel rates it low. A component is dropped only when both panels agree it is not important. The percentage rating 4 or 5 is also expressed as a content validity ratio, CVR = 2p − 1, where p is the proportion rating 4 or 5 (Lawshe, 1975); a proportion of 75 per cent corresponds to a CVR of 0.50. CVR values are reported descriptively, with Lawshe's critical values for the panel size, noting that this table has been criticized.</w:t>
      </w:r>
    </w:p>
    <w:p>
      <w:pPr>
        <w:spacing w:after="60" w:line="264" w:lineRule="auto"/>
        <w:jc w:val="left"/>
      </w:pPr>
      <w:r>
        <w:rPr>
          <w:b/>
          <w:sz w:val="21"/>
        </w:rPr>
        <w:t>Table 3. Delphi decision rules</w:t>
      </w:r>
    </w:p>
    <w:tbl>
      <w:tblPr>
        <w:tblStyle w:val="TableGrid"/>
        <w:tblW w:type="auto" w:w="0"/>
        <w:tblLayout w:type="fixed"/>
        <w:tblLook w:firstColumn="1" w:firstRow="1" w:lastColumn="0" w:lastRow="0" w:noHBand="0" w:noVBand="1" w:val="04A0"/>
      </w:tblPr>
      <w:tblGrid>
        <w:gridCol w:w="2154"/>
        <w:gridCol w:w="4309"/>
        <w:gridCol w:w="2721"/>
      </w:tblGrid>
      <w:tr>
        <w:tc>
          <w:tcPr>
            <w:tcW w:type="dxa" w:w="2154"/>
            <w:shd w:val="clear" w:color="auto" w:fill="1F3864"/>
          </w:tcPr>
          <w:p>
            <w:pPr>
              <w:jc w:val="left"/>
            </w:pPr>
            <w:r/>
            <w:r>
              <w:rPr>
                <w:b/>
                <w:color w:val="FFFFFF"/>
                <w:sz w:val="17"/>
              </w:rPr>
              <w:t>Decision</w:t>
            </w:r>
          </w:p>
        </w:tc>
        <w:tc>
          <w:tcPr>
            <w:tcW w:type="dxa" w:w="4309"/>
            <w:shd w:val="clear" w:color="auto" w:fill="1F3864"/>
          </w:tcPr>
          <w:p>
            <w:pPr>
              <w:jc w:val="left"/>
            </w:pPr>
            <w:r/>
            <w:r>
              <w:rPr>
                <w:b/>
                <w:color w:val="FFFFFF"/>
                <w:sz w:val="17"/>
              </w:rPr>
              <w:t>Criterion</w:t>
            </w:r>
          </w:p>
        </w:tc>
        <w:tc>
          <w:tcPr>
            <w:tcW w:type="dxa" w:w="2721"/>
            <w:shd w:val="clear" w:color="auto" w:fill="1F3864"/>
          </w:tcPr>
          <w:p>
            <w:pPr>
              <w:jc w:val="left"/>
            </w:pPr>
            <w:r/>
            <w:r>
              <w:rPr>
                <w:b/>
                <w:color w:val="FFFFFF"/>
                <w:sz w:val="17"/>
              </w:rPr>
              <w:t>Consequence</w:t>
            </w:r>
          </w:p>
        </w:tc>
      </w:tr>
      <w:tr>
        <w:tc>
          <w:tcPr>
            <w:tcW w:type="dxa" w:w="2154"/>
          </w:tcPr>
          <w:p>
            <w:pPr>
              <w:jc w:val="left"/>
            </w:pPr>
            <w:r/>
            <w:r>
              <w:rPr>
                <w:b w:val="0"/>
                <w:sz w:val="17"/>
              </w:rPr>
              <w:t>Retain (shared consensus)</w:t>
            </w:r>
          </w:p>
        </w:tc>
        <w:tc>
          <w:tcPr>
            <w:tcW w:type="dxa" w:w="4309"/>
          </w:tcPr>
          <w:p>
            <w:pPr>
              <w:jc w:val="left"/>
            </w:pPr>
            <w:r/>
            <w:r>
              <w:rPr>
                <w:b w:val="0"/>
                <w:sz w:val="17"/>
              </w:rPr>
              <w:t>In both panels: at least 75% rate importance 4–5, median ≥ 4, IQR ≤ 1, and agreement stable in the final round</w:t>
            </w:r>
          </w:p>
        </w:tc>
        <w:tc>
          <w:tcPr>
            <w:tcW w:type="dxa" w:w="2721"/>
          </w:tcPr>
          <w:p>
            <w:pPr>
              <w:jc w:val="left"/>
            </w:pPr>
            <w:r/>
            <w:r>
              <w:rPr>
                <w:b w:val="0"/>
                <w:sz w:val="17"/>
              </w:rPr>
              <w:t>Kept in the model</w:t>
            </w:r>
          </w:p>
        </w:tc>
      </w:tr>
      <w:tr>
        <w:tc>
          <w:tcPr>
            <w:tcW w:type="dxa" w:w="2154"/>
          </w:tcPr>
          <w:p>
            <w:pPr>
              <w:jc w:val="left"/>
            </w:pPr>
            <w:r/>
            <w:r>
              <w:rPr>
                <w:b w:val="0"/>
                <w:sz w:val="17"/>
              </w:rPr>
              <w:t>Retain, perspective-specific</w:t>
            </w:r>
          </w:p>
        </w:tc>
        <w:tc>
          <w:tcPr>
            <w:tcW w:type="dxa" w:w="4309"/>
          </w:tcPr>
          <w:p>
            <w:pPr>
              <w:jc w:val="left"/>
            </w:pPr>
            <w:r/>
            <w:r>
              <w:rPr>
                <w:b w:val="0"/>
                <w:sz w:val="17"/>
              </w:rPr>
              <w:t>Criteria met in one panel only</w:t>
            </w:r>
          </w:p>
        </w:tc>
        <w:tc>
          <w:tcPr>
            <w:tcW w:type="dxa" w:w="2721"/>
          </w:tcPr>
          <w:p>
            <w:pPr>
              <w:jc w:val="left"/>
            </w:pPr>
            <w:r/>
            <w:r>
              <w:rPr>
                <w:b w:val="0"/>
                <w:sz w:val="17"/>
              </w:rPr>
              <w:t>Kept; the other panel's lower rating is reported as a finding</w:t>
            </w:r>
          </w:p>
        </w:tc>
      </w:tr>
      <w:tr>
        <w:tc>
          <w:tcPr>
            <w:tcW w:type="dxa" w:w="2154"/>
          </w:tcPr>
          <w:p>
            <w:pPr>
              <w:jc w:val="left"/>
            </w:pPr>
            <w:r/>
            <w:r>
              <w:rPr>
                <w:b w:val="0"/>
                <w:sz w:val="17"/>
              </w:rPr>
              <w:t>Retain, context-dependent</w:t>
            </w:r>
          </w:p>
        </w:tc>
        <w:tc>
          <w:tcPr>
            <w:tcW w:type="dxa" w:w="4309"/>
          </w:tcPr>
          <w:p>
            <w:pPr>
              <w:jc w:val="left"/>
            </w:pPr>
            <w:r/>
            <w:r>
              <w:rPr>
                <w:b w:val="0"/>
                <w:sz w:val="17"/>
              </w:rPr>
              <w:t>Importance consensus, but feasibility below 75% rating 4–5 or median ≤ 3</w:t>
            </w:r>
          </w:p>
        </w:tc>
        <w:tc>
          <w:tcPr>
            <w:tcW w:type="dxa" w:w="2721"/>
          </w:tcPr>
          <w:p>
            <w:pPr>
              <w:jc w:val="left"/>
            </w:pPr>
            <w:r/>
            <w:r>
              <w:rPr>
                <w:b w:val="0"/>
                <w:sz w:val="17"/>
              </w:rPr>
              <w:t>Kept as important but difficult to implement</w:t>
            </w:r>
          </w:p>
        </w:tc>
      </w:tr>
      <w:tr>
        <w:tc>
          <w:tcPr>
            <w:tcW w:type="dxa" w:w="2154"/>
          </w:tcPr>
          <w:p>
            <w:pPr>
              <w:jc w:val="left"/>
            </w:pPr>
            <w:r/>
            <w:r>
              <w:rPr>
                <w:b w:val="0"/>
                <w:sz w:val="17"/>
              </w:rPr>
              <w:t>Revise or merge</w:t>
            </w:r>
          </w:p>
        </w:tc>
        <w:tc>
          <w:tcPr>
            <w:tcW w:type="dxa" w:w="4309"/>
          </w:tcPr>
          <w:p>
            <w:pPr>
              <w:jc w:val="left"/>
            </w:pPr>
            <w:r/>
            <w:r>
              <w:rPr>
                <w:b w:val="0"/>
                <w:sz w:val="17"/>
              </w:rPr>
              <w:t>No consensus after Round 2 and comments point to wording problems, overlap or compound content</w:t>
            </w:r>
          </w:p>
        </w:tc>
        <w:tc>
          <w:tcPr>
            <w:tcW w:type="dxa" w:w="2721"/>
          </w:tcPr>
          <w:p>
            <w:pPr>
              <w:jc w:val="left"/>
            </w:pPr>
            <w:r/>
            <w:r>
              <w:rPr>
                <w:b w:val="0"/>
                <w:sz w:val="17"/>
              </w:rPr>
              <w:t>Reworded or merged component re-rated once</w:t>
            </w:r>
          </w:p>
        </w:tc>
      </w:tr>
      <w:tr>
        <w:tc>
          <w:tcPr>
            <w:tcW w:type="dxa" w:w="2154"/>
          </w:tcPr>
          <w:p>
            <w:pPr>
              <w:jc w:val="left"/>
            </w:pPr>
            <w:r/>
            <w:r>
              <w:rPr>
                <w:b w:val="0"/>
                <w:sz w:val="17"/>
              </w:rPr>
              <w:t>Add</w:t>
            </w:r>
          </w:p>
        </w:tc>
        <w:tc>
          <w:tcPr>
            <w:tcW w:type="dxa" w:w="4309"/>
          </w:tcPr>
          <w:p>
            <w:pPr>
              <w:jc w:val="left"/>
            </w:pPr>
            <w:r/>
            <w:r>
              <w:rPr>
                <w:b w:val="0"/>
                <w:sz w:val="17"/>
              </w:rPr>
              <w:t>New component proposed by at least [2] experts</w:t>
            </w:r>
          </w:p>
        </w:tc>
        <w:tc>
          <w:tcPr>
            <w:tcW w:type="dxa" w:w="2721"/>
          </w:tcPr>
          <w:p>
            <w:pPr>
              <w:jc w:val="left"/>
            </w:pPr>
            <w:r/>
            <w:r>
              <w:rPr>
                <w:b w:val="0"/>
                <w:sz w:val="17"/>
              </w:rPr>
              <w:t>Rated in the next round</w:t>
            </w:r>
          </w:p>
        </w:tc>
      </w:tr>
      <w:tr>
        <w:tc>
          <w:tcPr>
            <w:tcW w:type="dxa" w:w="2154"/>
          </w:tcPr>
          <w:p>
            <w:pPr>
              <w:jc w:val="left"/>
            </w:pPr>
            <w:r/>
            <w:r>
              <w:rPr>
                <w:b w:val="0"/>
                <w:sz w:val="17"/>
              </w:rPr>
              <w:t>Drop</w:t>
            </w:r>
          </w:p>
        </w:tc>
        <w:tc>
          <w:tcPr>
            <w:tcW w:type="dxa" w:w="4309"/>
          </w:tcPr>
          <w:p>
            <w:pPr>
              <w:jc w:val="left"/>
            </w:pPr>
            <w:r/>
            <w:r>
              <w:rPr>
                <w:b w:val="0"/>
                <w:sz w:val="17"/>
              </w:rPr>
              <w:t>Final round: median ≤ 3 and fewer than 50% rating 4–5 in both panels</w:t>
            </w:r>
          </w:p>
        </w:tc>
        <w:tc>
          <w:tcPr>
            <w:tcW w:type="dxa" w:w="2721"/>
          </w:tcPr>
          <w:p>
            <w:pPr>
              <w:jc w:val="left"/>
            </w:pPr>
            <w:r/>
            <w:r>
              <w:rPr>
                <w:b w:val="0"/>
                <w:sz w:val="17"/>
              </w:rPr>
              <w:t>Removed and reported with reasons</w:t>
            </w:r>
          </w:p>
        </w:tc>
      </w:tr>
    </w:tbl>
    <w:p/>
    <w:p>
      <w:pPr>
        <w:spacing w:after="140" w:line="336" w:lineRule="auto"/>
        <w:jc w:val="both"/>
      </w:pPr>
      <w:r>
        <w:rPr>
          <w:b w:val="0"/>
        </w:rPr>
        <w:t>The 30 components are therefore candidates, not a fixed instrument. After the Delphi study the final set may be smaller (components dropped or merged), larger (components added by experts) or restructured (components reclassified), and components retained as perspective-specific or context-dependent remain in the model with that label, because divergence between panels and between importance and feasibility is one of the findings.</w:t>
      </w:r>
    </w:p>
    <w:p>
      <w:pPr>
        <w:spacing w:after="100" w:line="288" w:lineRule="auto"/>
        <w:jc w:val="left"/>
      </w:pPr>
      <w:r>
        <w:rPr>
          <w:b/>
          <w:color w:val="1F3864"/>
          <w:sz w:val="25"/>
        </w:rPr>
        <w:t>3.6 Analysis</w:t>
      </w:r>
    </w:p>
    <w:p>
      <w:pPr>
        <w:spacing w:after="140" w:line="336" w:lineRule="auto"/>
        <w:jc w:val="both"/>
      </w:pPr>
      <w:r>
        <w:rPr>
          <w:b w:val="0"/>
        </w:rPr>
        <w:t>For each round, panel and component we report the number of respondents, median, interquartile range, percentage rating 4 or 5 and mean (descriptively), and for each panel Kendall's W as a measure of concordance and the round-to-round change in agreement as a measure of stability. Open responses were content analysed by two coders using a codebook derived from the seven dimensions and six constructs and extended inductively, with agreement reported by Cohen's kappa. Differences between panels (RQ3) are tested for each component on the final-round importance and feasibility ratings with Mann–Whitney U tests and effect size r, with Holm correction across the 30 comparisons per rating type; the importance–feasibility gap within each panel is tested with Wilcoxon signed-rank tests. The four propositions are examined as follows (Table 4). Given the small panels, all tests are exploratory, we report effect sizes with bootstrap confidence intervals, and we do not rely on p-values alone.</w:t>
      </w:r>
    </w:p>
    <w:p>
      <w:pPr>
        <w:spacing w:after="60" w:line="264" w:lineRule="auto"/>
        <w:jc w:val="left"/>
      </w:pPr>
      <w:r>
        <w:rPr>
          <w:b/>
          <w:sz w:val="21"/>
        </w:rPr>
        <w:t>Table 4. Analysis plan</w:t>
      </w:r>
    </w:p>
    <w:tbl>
      <w:tblPr>
        <w:tblStyle w:val="TableGrid"/>
        <w:tblW w:type="auto" w:w="0"/>
        <w:tblLayout w:type="fixed"/>
        <w:tblLook w:firstColumn="1" w:firstRow="1" w:lastColumn="0" w:lastRow="0" w:noHBand="0" w:noVBand="1" w:val="04A0"/>
      </w:tblPr>
      <w:tblGrid>
        <w:gridCol w:w="2154"/>
        <w:gridCol w:w="4309"/>
        <w:gridCol w:w="2721"/>
      </w:tblGrid>
      <w:tr>
        <w:tc>
          <w:tcPr>
            <w:tcW w:type="dxa" w:w="2154"/>
            <w:shd w:val="clear" w:color="auto" w:fill="1F3864"/>
          </w:tcPr>
          <w:p>
            <w:pPr>
              <w:jc w:val="left"/>
            </w:pPr>
            <w:r/>
            <w:r>
              <w:rPr>
                <w:b/>
                <w:color w:val="FFFFFF"/>
                <w:sz w:val="17"/>
              </w:rPr>
              <w:t>Question or proposition</w:t>
            </w:r>
          </w:p>
        </w:tc>
        <w:tc>
          <w:tcPr>
            <w:tcW w:type="dxa" w:w="4309"/>
            <w:shd w:val="clear" w:color="auto" w:fill="1F3864"/>
          </w:tcPr>
          <w:p>
            <w:pPr>
              <w:jc w:val="left"/>
            </w:pPr>
            <w:r/>
            <w:r>
              <w:rPr>
                <w:b/>
                <w:color w:val="FFFFFF"/>
                <w:sz w:val="17"/>
              </w:rPr>
              <w:t>Data</w:t>
            </w:r>
          </w:p>
        </w:tc>
        <w:tc>
          <w:tcPr>
            <w:tcW w:type="dxa" w:w="2721"/>
            <w:shd w:val="clear" w:color="auto" w:fill="1F3864"/>
          </w:tcPr>
          <w:p>
            <w:pPr>
              <w:jc w:val="left"/>
            </w:pPr>
            <w:r/>
            <w:r>
              <w:rPr>
                <w:b/>
                <w:color w:val="FFFFFF"/>
                <w:sz w:val="17"/>
              </w:rPr>
              <w:t>Test</w:t>
            </w:r>
          </w:p>
        </w:tc>
      </w:tr>
      <w:tr>
        <w:tc>
          <w:tcPr>
            <w:tcW w:type="dxa" w:w="2154"/>
          </w:tcPr>
          <w:p>
            <w:pPr>
              <w:jc w:val="left"/>
            </w:pPr>
            <w:r/>
            <w:r>
              <w:rPr>
                <w:b w:val="0"/>
                <w:sz w:val="17"/>
              </w:rPr>
              <w:t>RQ1</w:t>
            </w:r>
          </w:p>
        </w:tc>
        <w:tc>
          <w:tcPr>
            <w:tcW w:type="dxa" w:w="4309"/>
          </w:tcPr>
          <w:p>
            <w:pPr>
              <w:jc w:val="left"/>
            </w:pPr>
            <w:r/>
            <w:r>
              <w:rPr>
                <w:b w:val="0"/>
                <w:sz w:val="17"/>
              </w:rPr>
              <w:t>Stage 1 matrix and PRISMA flow</w:t>
            </w:r>
          </w:p>
        </w:tc>
        <w:tc>
          <w:tcPr>
            <w:tcW w:type="dxa" w:w="2721"/>
          </w:tcPr>
          <w:p>
            <w:pPr>
              <w:jc w:val="left"/>
            </w:pPr>
            <w:r/>
            <w:r>
              <w:rPr>
                <w:b w:val="0"/>
                <w:sz w:val="17"/>
              </w:rPr>
              <w:t>Descriptive; kappa for coders</w:t>
            </w:r>
          </w:p>
        </w:tc>
      </w:tr>
      <w:tr>
        <w:tc>
          <w:tcPr>
            <w:tcW w:type="dxa" w:w="2154"/>
          </w:tcPr>
          <w:p>
            <w:pPr>
              <w:jc w:val="left"/>
            </w:pPr>
            <w:r/>
            <w:r>
              <w:rPr>
                <w:b w:val="0"/>
                <w:sz w:val="17"/>
              </w:rPr>
              <w:t>RQ2</w:t>
            </w:r>
          </w:p>
        </w:tc>
        <w:tc>
          <w:tcPr>
            <w:tcW w:type="dxa" w:w="4309"/>
          </w:tcPr>
          <w:p>
            <w:pPr>
              <w:jc w:val="left"/>
            </w:pPr>
            <w:r/>
            <w:r>
              <w:rPr>
                <w:b w:val="0"/>
                <w:sz w:val="17"/>
              </w:rPr>
              <w:t>Importance and feasibility ratings; open comments</w:t>
            </w:r>
          </w:p>
        </w:tc>
        <w:tc>
          <w:tcPr>
            <w:tcW w:type="dxa" w:w="2721"/>
          </w:tcPr>
          <w:p>
            <w:pPr>
              <w:jc w:val="left"/>
            </w:pPr>
            <w:r/>
            <w:r>
              <w:rPr>
                <w:b w:val="0"/>
                <w:sz w:val="17"/>
              </w:rPr>
              <w:t>Decision rules (Table 3); content analysis</w:t>
            </w:r>
          </w:p>
        </w:tc>
      </w:tr>
      <w:tr>
        <w:tc>
          <w:tcPr>
            <w:tcW w:type="dxa" w:w="2154"/>
          </w:tcPr>
          <w:p>
            <w:pPr>
              <w:jc w:val="left"/>
            </w:pPr>
            <w:r/>
            <w:r>
              <w:rPr>
                <w:b w:val="0"/>
                <w:sz w:val="17"/>
              </w:rPr>
              <w:t>RQ3</w:t>
            </w:r>
          </w:p>
        </w:tc>
        <w:tc>
          <w:tcPr>
            <w:tcW w:type="dxa" w:w="4309"/>
          </w:tcPr>
          <w:p>
            <w:pPr>
              <w:jc w:val="left"/>
            </w:pPr>
            <w:r/>
            <w:r>
              <w:rPr>
                <w:b w:val="0"/>
                <w:sz w:val="17"/>
              </w:rPr>
              <w:t>Final-round ratings by panel</w:t>
            </w:r>
          </w:p>
        </w:tc>
        <w:tc>
          <w:tcPr>
            <w:tcW w:type="dxa" w:w="2721"/>
          </w:tcPr>
          <w:p>
            <w:pPr>
              <w:jc w:val="left"/>
            </w:pPr>
            <w:r/>
            <w:r>
              <w:rPr>
                <w:b w:val="0"/>
                <w:sz w:val="17"/>
              </w:rPr>
              <w:t>Mann–Whitney U, effect size r, Holm correction</w:t>
            </w:r>
          </w:p>
        </w:tc>
      </w:tr>
      <w:tr>
        <w:tc>
          <w:tcPr>
            <w:tcW w:type="dxa" w:w="2154"/>
          </w:tcPr>
          <w:p>
            <w:pPr>
              <w:jc w:val="left"/>
            </w:pPr>
            <w:r/>
            <w:r>
              <w:rPr>
                <w:b w:val="0"/>
                <w:sz w:val="17"/>
              </w:rPr>
              <w:t>P1 (evidence convergence)</w:t>
            </w:r>
          </w:p>
        </w:tc>
        <w:tc>
          <w:tcPr>
            <w:tcW w:type="dxa" w:w="4309"/>
          </w:tcPr>
          <w:p>
            <w:pPr>
              <w:jc w:val="left"/>
            </w:pPr>
            <w:r/>
            <w:r>
              <w:rPr>
                <w:b w:val="0"/>
                <w:sz w:val="17"/>
              </w:rPr>
              <w:t>Rounds to consensus and IQR for S+R versus S components</w:t>
            </w:r>
          </w:p>
        </w:tc>
        <w:tc>
          <w:tcPr>
            <w:tcW w:type="dxa" w:w="2721"/>
          </w:tcPr>
          <w:p>
            <w:pPr>
              <w:jc w:val="left"/>
            </w:pPr>
            <w:r/>
            <w:r>
              <w:rPr>
                <w:b w:val="0"/>
                <w:sz w:val="17"/>
              </w:rPr>
              <w:t>Mann–Whitney U or Fisher's exact test</w:t>
            </w:r>
          </w:p>
        </w:tc>
      </w:tr>
      <w:tr>
        <w:tc>
          <w:tcPr>
            <w:tcW w:type="dxa" w:w="2154"/>
          </w:tcPr>
          <w:p>
            <w:pPr>
              <w:jc w:val="left"/>
            </w:pPr>
            <w:r/>
            <w:r>
              <w:rPr>
                <w:b w:val="0"/>
                <w:sz w:val="17"/>
              </w:rPr>
              <w:t>P2 (vantage-point salience)</w:t>
            </w:r>
          </w:p>
        </w:tc>
        <w:tc>
          <w:tcPr>
            <w:tcW w:type="dxa" w:w="4309"/>
          </w:tcPr>
          <w:p>
            <w:pPr>
              <w:jc w:val="left"/>
            </w:pPr>
            <w:r/>
            <w:r>
              <w:rPr>
                <w:b w:val="0"/>
                <w:sz w:val="17"/>
              </w:rPr>
              <w:t>Dimension-level medians by panel (C09–C15 for Panel A; A01–A09 for Panel B)</w:t>
            </w:r>
          </w:p>
        </w:tc>
        <w:tc>
          <w:tcPr>
            <w:tcW w:type="dxa" w:w="2721"/>
          </w:tcPr>
          <w:p>
            <w:pPr>
              <w:jc w:val="left"/>
            </w:pPr>
            <w:r/>
            <w:r>
              <w:rPr>
                <w:b w:val="0"/>
                <w:sz w:val="17"/>
              </w:rPr>
              <w:t>Wilcoxon signed-rank within panel; Mann–Whitney U between panels</w:t>
            </w:r>
          </w:p>
        </w:tc>
      </w:tr>
      <w:tr>
        <w:tc>
          <w:tcPr>
            <w:tcW w:type="dxa" w:w="2154"/>
          </w:tcPr>
          <w:p>
            <w:pPr>
              <w:jc w:val="left"/>
            </w:pPr>
            <w:r/>
            <w:r>
              <w:rPr>
                <w:b w:val="0"/>
                <w:sz w:val="17"/>
              </w:rPr>
              <w:t>P3 (importance–feasibility gap)</w:t>
            </w:r>
          </w:p>
        </w:tc>
        <w:tc>
          <w:tcPr>
            <w:tcW w:type="dxa" w:w="4309"/>
          </w:tcPr>
          <w:p>
            <w:pPr>
              <w:jc w:val="left"/>
            </w:pPr>
            <w:r/>
            <w:r>
              <w:rPr>
                <w:b w:val="0"/>
                <w:sz w:val="17"/>
              </w:rPr>
              <w:t>Gap = importance − feasibility for C15, C16, A05, A06 versus other components</w:t>
            </w:r>
          </w:p>
        </w:tc>
        <w:tc>
          <w:tcPr>
            <w:tcW w:type="dxa" w:w="2721"/>
          </w:tcPr>
          <w:p>
            <w:pPr>
              <w:jc w:val="left"/>
            </w:pPr>
            <w:r/>
            <w:r>
              <w:rPr>
                <w:b w:val="0"/>
                <w:sz w:val="17"/>
              </w:rPr>
              <w:t>Mann–Whitney U on component-level gaps</w:t>
            </w:r>
          </w:p>
        </w:tc>
      </w:tr>
      <w:tr>
        <w:tc>
          <w:tcPr>
            <w:tcW w:type="dxa" w:w="2154"/>
          </w:tcPr>
          <w:p>
            <w:pPr>
              <w:jc w:val="left"/>
            </w:pPr>
            <w:r/>
            <w:r>
              <w:rPr>
                <w:b w:val="0"/>
                <w:sz w:val="17"/>
              </w:rPr>
              <w:t>P4 (translation gap)</w:t>
            </w:r>
          </w:p>
        </w:tc>
        <w:tc>
          <w:tcPr>
            <w:tcW w:type="dxa" w:w="4309"/>
          </w:tcPr>
          <w:p>
            <w:pPr>
              <w:jc w:val="left"/>
            </w:pPr>
            <w:r/>
            <w:r>
              <w:rPr>
                <w:b w:val="0"/>
                <w:sz w:val="17"/>
              </w:rPr>
              <w:t>Absolute between-panel median difference for C07, C08, A02 versus other components</w:t>
            </w:r>
          </w:p>
        </w:tc>
        <w:tc>
          <w:tcPr>
            <w:tcW w:type="dxa" w:w="2721"/>
          </w:tcPr>
          <w:p>
            <w:pPr>
              <w:jc w:val="left"/>
            </w:pPr>
            <w:r/>
            <w:r>
              <w:rPr>
                <w:b w:val="0"/>
                <w:sz w:val="17"/>
              </w:rPr>
              <w:t>Exact permutation test</w:t>
            </w:r>
          </w:p>
        </w:tc>
      </w:tr>
    </w:tbl>
    <w:p/>
    <w:p>
      <w:pPr>
        <w:spacing w:after="140" w:line="336" w:lineRule="auto"/>
        <w:jc w:val="both"/>
      </w:pPr>
      <w:r>
        <w:rPr>
          <w:b w:val="0"/>
        </w:rPr>
        <w:t>Sensitivity analyses recompute the decisions (a) excluding experts who responded only in Round 1, (b) using the stricter threshold of a rating of 5 only, and (c) pooling the two panels, and we report any component whose decision changes.</w:t>
      </w:r>
    </w:p>
    <w:p>
      <w:pPr>
        <w:spacing w:after="100" w:line="288" w:lineRule="auto"/>
        <w:jc w:val="left"/>
      </w:pPr>
      <w:r>
        <w:rPr>
          <w:b/>
          <w:color w:val="1F3864"/>
          <w:sz w:val="25"/>
        </w:rPr>
        <w:t>3.7 Rigour and reporting</w:t>
      </w:r>
    </w:p>
    <w:p>
      <w:pPr>
        <w:spacing w:after="140" w:line="336" w:lineRule="auto"/>
        <w:jc w:val="both"/>
      </w:pPr>
      <w:r>
        <w:rPr>
          <w:b w:val="0"/>
        </w:rPr>
        <w:t>Anonymity among experts, an independent coordinator, controlled feedback and the concealment of evidence labels guard against dominance and anchoring. We keep an audit trail of every change to wording, merging or addition between rounds, include a statement of researcher positionality, and follow the CREDES checklist for reporting (Jünger et al., 2017) and PRISMA 2020 for Stage 1 (Page et al., 2021).</w:t>
      </w:r>
    </w:p>
    <w:p>
      <w:pPr>
        <w:spacing w:after="100" w:line="288" w:lineRule="auto"/>
        <w:jc w:val="left"/>
      </w:pPr>
      <w:r>
        <w:rPr>
          <w:b/>
          <w:color w:val="1F3864"/>
          <w:sz w:val="25"/>
        </w:rPr>
        <w:t>3.8 Ethics and data management</w:t>
      </w:r>
    </w:p>
    <w:p>
      <w:pPr>
        <w:spacing w:after="140" w:line="336" w:lineRule="auto"/>
        <w:jc w:val="both"/>
      </w:pPr>
      <w:r>
        <w:rPr>
          <w:b w:val="0"/>
        </w:rPr>
        <w:t>Participation was voluntary with written informed consent and the right to withdraw. Responses were identified only by codes, the key was stored separately, and data are held on an encrypted drive for [five] years. The study was approved by [committee, approval code]. Generative AI tools were used only for language editing and the authors verified all content and references.</w:t>
      </w:r>
    </w:p>
    <w:p>
      <w:pPr>
        <w:spacing w:after="140" w:line="288" w:lineRule="auto"/>
        <w:jc w:val="left"/>
      </w:pPr>
      <w:r>
        <w:rPr>
          <w:b/>
          <w:color w:val="1F3864"/>
          <w:sz w:val="26"/>
        </w:rPr>
        <w:t>References</w:t>
      </w:r>
    </w:p>
    <w:p>
      <w:pPr>
        <w:spacing w:after="60" w:line="264" w:lineRule="auto"/>
        <w:ind w:left="567" w:hanging="567"/>
        <w:jc w:val="left"/>
      </w:pPr>
      <w:r>
        <w:rPr>
          <w:b w:val="0"/>
          <w:sz w:val="20"/>
        </w:rPr>
        <w:t>Brislin, R. W. (1970). Back-translation for cross-cultural research. Journal of Cross-Cultural Psychology, 1(3), 185–216.</w:t>
      </w:r>
    </w:p>
    <w:p>
      <w:pPr>
        <w:spacing w:after="60" w:line="264" w:lineRule="auto"/>
        <w:ind w:left="567" w:hanging="567"/>
        <w:jc w:val="left"/>
      </w:pPr>
      <w:r>
        <w:rPr>
          <w:b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line="264" w:lineRule="auto"/>
        <w:ind w:left="567" w:hanging="567"/>
        <w:jc w:val="left"/>
      </w:pPr>
      <w:r>
        <w:rPr>
          <w:b w:val="0"/>
          <w:sz w:val="20"/>
        </w:rPr>
        <w:t>Diamond, I. R., Grant, R. C., Feldman, B. M., Pencharz, P. B., Ling, S. C., Moore, A. M., &amp; Wales, P. W. (2014). Defining consensus: A systematic review recommends methodologic criteria for reporting of Delphi studies. Journal of Clinical Epidemiology, 67(4), 401–409. https://doi.org/10.1016/j.jclinepi.2013.12.002</w:t>
      </w:r>
    </w:p>
    <w:p>
      <w:pPr>
        <w:spacing w:after="60" w:line="264" w:lineRule="auto"/>
        <w:ind w:left="567" w:hanging="567"/>
        <w:jc w:val="left"/>
      </w:pPr>
      <w:r>
        <w:rPr>
          <w:b w:val="0"/>
          <w:sz w:val="20"/>
        </w:rPr>
        <w:t>Jünger, S., Payne, S. A., Brine, J., Radbruch, L., &amp; Brearley, S. G. (2017). Guidance on Conducting and REporting DElphi Studies (CREDES) in palliative care: Recommendations based on a methodological systematic review. Palliative Medicine, 31(8), 684–706.</w:t>
      </w:r>
    </w:p>
    <w:p>
      <w:pPr>
        <w:spacing w:after="60" w:line="264" w:lineRule="auto"/>
        <w:ind w:left="567" w:hanging="567"/>
        <w:jc w:val="left"/>
      </w:pPr>
      <w:r>
        <w:rPr>
          <w:b w:val="0"/>
          <w:sz w:val="20"/>
        </w:rPr>
        <w:t>Lawshe, C. H. (1975). A quantitative approach to content validity. Personnel Psychology, 28(4), 563–575. https://doi.org/10.1111/j.1744-6570.1975.tb01393.x</w:t>
      </w:r>
    </w:p>
    <w:p>
      <w:pPr>
        <w:spacing w:after="60" w:line="264" w:lineRule="auto"/>
        <w:ind w:left="567" w:hanging="567"/>
        <w:jc w:val="left"/>
      </w:pPr>
      <w:r>
        <w:rPr>
          <w:b w:val="0"/>
          <w:sz w:val="20"/>
        </w:rPr>
        <w:t>Okoli, C., &amp; Pawlowski, S. D. (2004). The Delphi method as a research tool: An example, design considerations and applications. Information &amp; Management, 42(1), 15–29.</w:t>
      </w:r>
    </w:p>
    <w:p>
      <w:pPr>
        <w:spacing w:after="60" w:line="264" w:lineRule="auto"/>
        <w:ind w:left="567" w:hanging="567"/>
        <w:jc w:val="left"/>
      </w:pPr>
      <w:r>
        <w:rPr>
          <w:b w:val="0"/>
          <w:sz w:val="20"/>
        </w:rPr>
        <w:t>Page, M. J., McKenzie, J. E., Bossuyt, P. M., et al. (2021). The PRISMA 2020 statement: An updated guideline for reporting systematic reviews. BMJ, 372, n71. https://doi.org/10.1136/bmj.n71</w:t>
      </w:r>
    </w:p>
    <w:p>
      <w:pPr>
        <w:spacing w:after="60" w:line="264" w:lineRule="auto"/>
        <w:ind w:left="567" w:hanging="567"/>
        <w:jc w:val="left"/>
      </w:pPr>
      <w:r>
        <w:rPr>
          <w:b w:val="0"/>
          <w:sz w:val="20"/>
        </w:rPr>
        <w:t>Skulmoski, G. J., Hartman, F. T., &amp; Krahn, J. (2007). The Delphi method for graduate research. Journal of Information Technology Education, 6.</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