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64" w:lineRule="auto"/>
        <w:bidi/>
        <w:jc w:val="center"/>
      </w:pPr>
      <w:r>
        <w:rPr>
          <w:rFonts w:ascii="Arial" w:hAnsi="Arial" w:cs="Arial"/>
          <w:b w:val="0"/>
          <w:color w:val="5A5A5A"/>
          <w:sz w:val="19"/>
          <w:rtl/>
        </w:rPr>
        <w:t>مقاله اول از دو مقاله: روش‌شناسی</w:t>
      </w:r>
    </w:p>
    <w:p>
      <w:pPr>
        <w:spacing w:after="140" w:line="288" w:lineRule="auto"/>
        <w:bidi/>
        <w:jc w:val="right"/>
      </w:pPr>
      <w:r>
        <w:rPr>
          <w:rFonts w:ascii="Arial" w:hAnsi="Arial" w:cs="Arial"/>
          <w:b/>
          <w:color w:val="1F3864"/>
          <w:sz w:val="30"/>
          <w:rtl/>
        </w:rPr>
        <w:t>3. روش‌شناسی</w:t>
      </w:r>
    </w:p>
    <w:p>
      <w:pPr>
        <w:spacing w:after="100" w:line="288" w:lineRule="auto"/>
        <w:bidi/>
        <w:jc w:val="right"/>
      </w:pPr>
      <w:r>
        <w:rPr>
          <w:rFonts w:ascii="Arial" w:hAnsi="Arial" w:cs="Arial"/>
          <w:b/>
          <w:color w:val="1F3864"/>
          <w:sz w:val="25"/>
          <w:rtl/>
        </w:rPr>
        <w:t>3-1. طرح پژوهش و منطق آن</w:t>
      </w:r>
    </w:p>
    <w:p>
      <w:pPr>
        <w:spacing w:after="140" w:line="336" w:lineRule="auto"/>
        <w:bidi/>
        <w:jc w:val="right"/>
      </w:pPr>
      <w:r>
        <w:rPr>
          <w:rFonts w:ascii="Arial" w:hAnsi="Arial" w:cs="Arial"/>
          <w:b w:val="0"/>
          <w:rtl/>
        </w:rPr>
        <w:t>مطالعه از طرح اکتشافی متوالی در دو مرحله پیروی می‌کند. مرحله 1 مولفه‌های کاندید را با ترکیب پیشینه و نگاشت آن با منابعی که این رویه را تنظیم یا راهنمایی می‌کنند شناسایی و ساختاردهی می‌کند. مرحله 2 مولفه‌ها را در یک مطالعه دلفی با دو پانل خبره اعتبارسنجی و بومی‌سازی می‌کند. دلفی به سه دلیل که از مقدمه نتیجه می‌شوند با مسئله تناسب دارد. نخست، سازه کم‌مشخص است و پرسش این است که کدام مولفه‌ها به آن تعلق دارند، که پرسشی درباره محتواست و قضاوت آگاهانه می‌تواند پاسخ دهد (Okoli &amp; Pawlowski, 2004; Skulmoski et al., 2007). دوم، داده‌ای که مولفه‌ها را با آن آزمود اندک است (Cremer et al., 2022)، پس معیار پیامدی برای اعتبارسنجی وجود ندارد. سوم، پرسش دوطرفه است و دو پانل مستقل را می‌طلبد که همان گویه‌ها را امتیاز دهند. از رهنمود CREDES برای اجرا و گزارش مطالعات دلفی (Jünger et al., 2017) پیروی می‌کنیم و معیارهای اجماع را پیشاپیش مشخص می‌کنیم، چون Diamond et al. (2014) دریافتند بسیاری از مطالعات دلفی منتشرشده اجماع را بدون تعریف قبلی ادعا می‌کنند.</w:t>
      </w:r>
    </w:p>
    <w:p>
      <w:pPr>
        <w:spacing w:after="100" w:line="288" w:lineRule="auto"/>
        <w:bidi/>
        <w:jc w:val="right"/>
      </w:pPr>
      <w:r>
        <w:rPr>
          <w:rFonts w:ascii="Arial" w:hAnsi="Arial" w:cs="Arial"/>
          <w:b/>
          <w:color w:val="1F3864"/>
          <w:sz w:val="25"/>
          <w:rtl/>
        </w:rPr>
        <w:t>3-2. مرحله 1: شناسایی مولفه‌های کاندید</w:t>
      </w:r>
    </w:p>
    <w:p>
      <w:pPr>
        <w:spacing w:after="140" w:line="336" w:lineRule="auto"/>
        <w:bidi/>
        <w:jc w:val="right"/>
      </w:pPr>
      <w:r>
        <w:rPr>
          <w:rFonts w:ascii="Arial" w:hAnsi="Arial" w:cs="Arial"/>
          <w:b w:val="0"/>
          <w:rtl/>
        </w:rPr>
        <w:t>منابع دو نوع بودند. منابع پژوهشی مطالعات داوری‌شده از Scopus، Web of Science و پلتفرم‌های ناشران (ScienceDirect، Emerald، Wiley، Taylor &amp; Francis) و پایگاه‌های فارسی SID، Magiran، ISC و Civilica بودند که بین سال 2000 و [تاریخ جست‌وجو] به انگلیسی یا فارسی منتشر شده‌اند. رشته جست‌وجو واژگان ریسک سایبری یا امنیت اطلاعات، حسابرسی یا اطمینان‌بخشی و ارزیابی، چارچوب، مولفه یا عامل را ترکیب می‌کرد و با هر پایگاه تطبیق داده شد؛ پیگیری ارجاع‌های پیشین و پسین آن را تکمیل کرد. منابع هنجاری متن‌های رسمی معیارهای خدمات اعتماد AICPA و معیارهای توصیف SOC for Cybersecurity، NIST CSF 2.0 و انتشارات مرتبط NIST، ISO/IEC 27001، 27002 و 27005 (ویرایش 2022) و ISO 31000، ISA 315 (بازنگری 2019) و ISAهای مرتبط، و استانداردهای جهانی حسابرسی داخلی و الزام موضوعی امنیت سایبری IIA بودند.</w:t>
      </w:r>
    </w:p>
    <w:p>
      <w:pPr>
        <w:spacing w:after="140" w:line="336" w:lineRule="auto"/>
        <w:bidi/>
        <w:jc w:val="right"/>
      </w:pPr>
      <w:r>
        <w:rPr>
          <w:rFonts w:ascii="Arial" w:hAnsi="Arial" w:cs="Arial"/>
          <w:b w:val="0"/>
          <w:rtl/>
        </w:rPr>
        <w:t>دو پژوهشگر مستقل عنوان و چکیده و سپس متن کامل را بر پایه معیارهای ورود (ارتباط با ارزیابی ریسک امنیت سایبری یا اطلاعات، ارزیابی کنترل یا اطمینان‌بخشی در حسابرسی یا بافت اطمینان‌بخشی مشابه) غربال کردند؛ توافق بین ارزیاب‌ها با کاپای کوهن گزارش می‌شود و اختلاف‌ها با گفت‌وگو حل شد. فرایند با نمودار جریان PRISMA 2020 (Page et al., 2021) گزارش می‌شود، با تطبیقی که لازم است چون مرور برای شناسایی مولفه‌هاست نه برآورد اثر. مولفه‌ها و تعریف‌هایشان همراه با دیدگاه (سازمان مورد رسیدگی، حسابرس یا هر دو) و منبع در یک فرم کدگذاری استخراج شدند.</w:t>
      </w:r>
    </w:p>
    <w:p>
      <w:pPr>
        <w:spacing w:after="140" w:line="336" w:lineRule="auto"/>
        <w:bidi/>
        <w:jc w:val="right"/>
      </w:pPr>
      <w:r>
        <w:rPr>
          <w:rFonts w:ascii="Arial" w:hAnsi="Arial" w:cs="Arial"/>
          <w:b w:val="0"/>
          <w:rtl/>
        </w:rPr>
        <w:t>نگاشت در یک ماتریس مولفه-منبع انجام شد. دو پژوهشگر مستقل هر منبع را در برابر هر مولفه کاندید کدگذاری کردند و تفاوت‌ها را با اجماع حل کردند. سه قاعده ترکیب به کار رفت: واژه‌های هم‌معنی ادغام شدند، مولفه‌های مرکب تفکیک شدند و مولفه فقط وقتی کاندید ماند که دست‌کم دو خانواده منبع مستقل از آن پشتیبانی کنند (برای نمونه دو خانواده استاندارد، یا یک استاندارد و یک مطالعه). هر مولفه اگر علاوه بر استانداردها دست‌کم یک مطالعه هم پشتیبان داشت برچسب S+R و اگر فقط بر استانداردها و راهنماها تکیه داشت برچسب S گرفت. نتیجه 30 مولفه کاندید در هفت بُعد است: 12 مولفه از دیدگاه سازمان مورد رسیدگی، 9 مولفه از دیدگاه حسابرس و 9 مولفه مشترک (جدول A1 در مبانی نظری). برچسب‌های شواهد به پانلیست‌ها نشان داده نشد تا اثر لنگر ایجاد نشود.</w:t>
      </w:r>
    </w:p>
    <w:p>
      <w:pPr>
        <w:spacing w:after="100" w:line="288" w:lineRule="auto"/>
        <w:bidi/>
        <w:jc w:val="right"/>
      </w:pPr>
      <w:r>
        <w:rPr>
          <w:rFonts w:ascii="Arial" w:hAnsi="Arial" w:cs="Arial"/>
          <w:b/>
          <w:color w:val="1F3864"/>
          <w:sz w:val="25"/>
          <w:rtl/>
        </w:rPr>
        <w:t>3-3. مرحله 2: پانل‌های خبره</w:t>
      </w:r>
    </w:p>
    <w:p>
      <w:pPr>
        <w:spacing w:after="140" w:line="336" w:lineRule="auto"/>
        <w:bidi/>
        <w:jc w:val="right"/>
      </w:pPr>
      <w:r>
        <w:rPr>
          <w:rFonts w:ascii="Arial" w:hAnsi="Arial" w:cs="Arial"/>
          <w:b w:val="0"/>
          <w:rtl/>
        </w:rPr>
        <w:t>دو پانل تشکیل شد. پانل الف نماینده سازمان مورد رسیدگی است (مدیران امنیت اطلاعات، مدیران فناوری اطلاعات، حسابرسان داخلی و مدیران ریسک) و پانل ب نماینده حسابرسان (حسابرسان مستقل، حسابرسان IT و حسابرسان سازمان حسابرسی). شرط ورود دست‌کم پنج سال تجربه مرتبط با ارزیابی ریسک سایبری یا حسابرسی IT و مشارکت در ارزیابی یا حسابرسی سایبری طی [سه] سال گذشته بود؛ گواهینامه‌های حرفه‌ای (مثلاً CISA، CISM یا ISO/IEC 27001 Lead Auditor) همسان تجربه لحاظ شدند. خبرگان با نمونه‌گیری هدفمند به‌علاوه معرفی، با تنوع عمدی در صنعت و اندازه سازمان، انتخاب شدند و دعوت‌نامه‌ها را هماهنگ‌کننده‌ای مستقل ارسال کرد. رهنمودهای دلفی بر تخصص و ناهمگنی بیش از اندازه پانل تأکید می‌کنند (Okoli &amp; Pawlowski, 2004; Skulmoski et al., 2007). چون جمعیت خبرگان واجد شرایط در ایران کوچک است، [12 تا 20] خبره برای هر پانل هدف گرفتیم و تعداد دعوت‌شده، شرکت‌کننده و باقی‌مانده را در هر دور گزارش می‌کنیم. جایگزینی افراد ریزش‌کرده مجاز نبود و نرخ پاسخ هر دور گزارش می‌شود.</w:t>
      </w:r>
    </w:p>
    <w:p>
      <w:pPr>
        <w:spacing w:after="100" w:line="288" w:lineRule="auto"/>
        <w:bidi/>
        <w:jc w:val="right"/>
      </w:pPr>
      <w:r>
        <w:rPr>
          <w:rFonts w:ascii="Arial" w:hAnsi="Arial" w:cs="Arial"/>
          <w:b/>
          <w:color w:val="1F3864"/>
          <w:sz w:val="25"/>
          <w:rtl/>
        </w:rPr>
        <w:t>3-4. ابزار و دورها</w:t>
      </w:r>
    </w:p>
    <w:p>
      <w:pPr>
        <w:spacing w:after="140" w:line="336" w:lineRule="auto"/>
        <w:bidi/>
        <w:jc w:val="right"/>
      </w:pPr>
      <w:r>
        <w:rPr>
          <w:rFonts w:ascii="Arial" w:hAnsi="Arial" w:cs="Arial"/>
          <w:b w:val="0"/>
          <w:rtl/>
        </w:rPr>
        <w:t>پرسشنامه دور اول هر یک از 30 مولفه را یک بار با تعریف عملیاتی کوتاه ارائه می‌کند و از خبره دو پرسش بر مقیاس پنج‌درجه‌ای می‌پرسد: اهمیت (این مولفه چه‌اندازه برای کافی‌بودن ارزیابی ریسک سایبری در حسابرسی مهم است؟ 1 = اصلاً مهم نیست تا 5 = بسیار مهم) و قابلیت اجرا (اجرای این مولفه در شرایط کنونی ایران چه‌اندازه شدنی است؟ 1 = شدنی نیست تا 5 = کاملاً شدنی). پس هر مولفه دو بار امتیاز می‌گیرد، یعنی 60 امتیاز برای هر خبره، و پس از هر امتیاز توضیح اختیاری هست. پرسش‌های باز مولفه‌های افزوده، ادغام یا حذف، الزام‌های بومی و موانع را می‌پرسند. ابزار به فارسی و انگلیسی تهیه، ترجمه و ترجمه معکوس شد (Brislin, 1970) و با [3 تا 5] خبره بیرون از پانل‌ها برای وضوح و روایی صوری پیش‌آزمون شد.</w:t>
      </w:r>
    </w:p>
    <w:p>
      <w:pPr>
        <w:spacing w:after="140" w:line="336" w:lineRule="auto"/>
        <w:bidi/>
        <w:jc w:val="right"/>
      </w:pPr>
      <w:r>
        <w:rPr>
          <w:rFonts w:ascii="Arial" w:hAnsi="Arial" w:cs="Arial"/>
          <w:b w:val="0"/>
          <w:rtl/>
        </w:rPr>
        <w:t>دور دوم به هر خبره میانه، دامنه بین‌چارکی و درصد توافق پانل برای هر مولفه، امتیاز پیشین خود او و خلاصه‌های ناشناس توضیح‌ها را بازمی‌گرداند و بازامتیازدهی مولفه‌های بدون اجماع، مولفه‌های اصلاح‌ یا ادغام‌شده و مولفه‌های تازه پیشنهادی را می‌خواهد. در دور دوم خبرگان هر مولفه باقی‌مانده را به یکی از شش سازه (شناسایی تهدید و آسیب‌پذیری، ارزیابی بلوغ و اثربخشی کنترل‌ها، همکاری و صلاحیت حسابرس–متخصص، قضاوت ریسک باقیمانده، پایش مستمر و یادگیری، و اثربخشی فرایند) یا «سایر» نسبت می‌دهند؛ این طبقه‌بندی مبنای اندازه‌گیری مطالعه ساختاری بعدی را می‌دهد. دور سوم فقط اگر مولفه‌ای حل‌نشده بماند اجرا می‌شود. مطالعه وقتی متوقف می‌شود که دست‌کم [90 درصد] مولفه‌ها به اجماع برسند، یا توافق بین دو دور متوالی بیش از [10] واحد درصد تغییر نکند، یا سه دور تمام شود، هرکدام زودتر رخ دهد.</w:t>
      </w:r>
    </w:p>
    <w:p>
      <w:pPr>
        <w:spacing w:after="100" w:line="288" w:lineRule="auto"/>
        <w:bidi/>
        <w:jc w:val="right"/>
      </w:pPr>
      <w:r>
        <w:rPr>
          <w:rFonts w:ascii="Arial" w:hAnsi="Arial" w:cs="Arial"/>
          <w:b/>
          <w:color w:val="1F3864"/>
          <w:sz w:val="25"/>
          <w:rtl/>
        </w:rPr>
        <w:t>3-5. معیارهای اجماع و قواعد تصمیم</w:t>
      </w:r>
    </w:p>
    <w:p>
      <w:pPr>
        <w:spacing w:after="140" w:line="336" w:lineRule="auto"/>
        <w:bidi/>
        <w:jc w:val="right"/>
      </w:pPr>
      <w:r>
        <w:rPr>
          <w:rFonts w:ascii="Arial" w:hAnsi="Arial" w:cs="Arial"/>
          <w:b w:val="0"/>
          <w:rtl/>
        </w:rPr>
        <w:t>معیارهای اجماع و تصمیم هر مولفه پیش از گردآوری داده تعیین شدند (جدول 3). اجماع درباره اهمیت یعنی دست‌کم 75 درصد پانل مولفه را 4 یا 5 بدهند، با میانه دست‌کم 4 و دامنه بین‌چارکی حداکثر 1؛ 75 درصد رایج‌ترین حد میان مطالعات دلفی منتشرشده است که اجماع را تعریف می‌کنند (Diamond et al., 2014). تصمیم‌ها برای هر مولفه و هر پانل جداگانه گرفته می‌شود تا هیچ مولفه‌ای فقط چون یک پانل امتیاز پایین داده حذف نشود. مولفه فقط وقتی حذف می‌شود که هر دو پانل بر مهم‌نبودن آن توافق کنند. درصد امتیاز 4 یا 5 به‌صورت نسبت روایی محتوا هم بیان می‌شود، CVR = 2p − 1 که p نسبت امتیاز 4 یا 5 است (Lawshe, 1975)؛ نسبت 75 درصد معادل CVR برابر 0.50 است. مقادیر CVR توصیفی و با مقادیر بحرانی لاوشه برای اندازه پانل گزارش می‌شوند، با ذکر اینکه این جدول نقد شده است.</w:t>
      </w:r>
    </w:p>
    <w:p>
      <w:pPr>
        <w:spacing w:after="60" w:line="264" w:lineRule="auto"/>
        <w:bidi/>
        <w:jc w:val="right"/>
      </w:pPr>
      <w:r>
        <w:rPr>
          <w:rFonts w:ascii="Arial" w:hAnsi="Arial" w:cs="Arial"/>
          <w:b/>
          <w:sz w:val="21"/>
          <w:rtl/>
        </w:rPr>
        <w:t>جدول 3. قواعد تصمیم دلفی</w:t>
      </w:r>
    </w:p>
    <w:tbl>
      <w:tblPr>
        <w:tblStyle w:val="TableGrid"/>
        <w:tblW w:type="auto" w:w="0"/>
        <w:tblLayout w:type="fixed"/>
        <w:tblLook w:firstColumn="1" w:firstRow="1" w:lastColumn="0" w:lastRow="0" w:noHBand="0" w:noVBand="1" w:val="04A0"/>
        <w:bidiVisual/>
      </w:tblPr>
      <w:tblGrid>
        <w:gridCol w:w="2154"/>
        <w:gridCol w:w="4309"/>
        <w:gridCol w:w="2721"/>
      </w:tblGrid>
      <w:tr>
        <w:tc>
          <w:tcPr>
            <w:tcW w:type="dxa" w:w="2154"/>
            <w:shd w:val="clear" w:color="auto" w:fill="1F3864"/>
          </w:tcPr>
          <w:p>
            <w:pPr>
              <w:bidi/>
              <w:jc w:val="right"/>
            </w:pPr>
            <w:r>
              <w:rPr>
                <w:rFonts w:ascii="Arial" w:hAnsi="Arial" w:cs="Arial"/>
                <w:rtl/>
              </w:rPr>
            </w:r>
            <w:r>
              <w:rPr>
                <w:rFonts w:ascii="Arial" w:hAnsi="Arial" w:cs="Arial"/>
                <w:b/>
                <w:color w:val="FFFFFF"/>
                <w:sz w:val="17"/>
                <w:rtl/>
              </w:rPr>
              <w:t>تصمیم</w:t>
            </w:r>
          </w:p>
        </w:tc>
        <w:tc>
          <w:tcPr>
            <w:tcW w:type="dxa" w:w="4309"/>
            <w:shd w:val="clear" w:color="auto" w:fill="1F3864"/>
          </w:tcPr>
          <w:p>
            <w:pPr>
              <w:bidi/>
              <w:jc w:val="right"/>
            </w:pPr>
            <w:r>
              <w:rPr>
                <w:rFonts w:ascii="Arial" w:hAnsi="Arial" w:cs="Arial"/>
                <w:rtl/>
              </w:rPr>
            </w:r>
            <w:r>
              <w:rPr>
                <w:rFonts w:ascii="Arial" w:hAnsi="Arial" w:cs="Arial"/>
                <w:b/>
                <w:color w:val="FFFFFF"/>
                <w:sz w:val="17"/>
                <w:rtl/>
              </w:rPr>
              <w:t>معیار</w:t>
            </w:r>
          </w:p>
        </w:tc>
        <w:tc>
          <w:tcPr>
            <w:tcW w:type="dxa" w:w="2721"/>
            <w:shd w:val="clear" w:color="auto" w:fill="1F3864"/>
          </w:tcPr>
          <w:p>
            <w:pPr>
              <w:bidi/>
              <w:jc w:val="right"/>
            </w:pPr>
            <w:r>
              <w:rPr>
                <w:rFonts w:ascii="Arial" w:hAnsi="Arial" w:cs="Arial"/>
                <w:rtl/>
              </w:rPr>
            </w:r>
            <w:r>
              <w:rPr>
                <w:rFonts w:ascii="Arial" w:hAnsi="Arial" w:cs="Arial"/>
                <w:b/>
                <w:color w:val="FFFFFF"/>
                <w:sz w:val="17"/>
                <w:rtl/>
              </w:rPr>
              <w:t>پیامد</w:t>
            </w:r>
          </w:p>
        </w:tc>
      </w:tr>
      <w:tr>
        <w:tc>
          <w:tcPr>
            <w:tcW w:type="dxa" w:w="2154"/>
          </w:tcPr>
          <w:p>
            <w:pPr>
              <w:bidi/>
              <w:jc w:val="right"/>
            </w:pPr>
            <w:r>
              <w:rPr>
                <w:rFonts w:ascii="Arial" w:hAnsi="Arial" w:cs="Arial"/>
                <w:rtl/>
              </w:rPr>
            </w:r>
            <w:r>
              <w:rPr>
                <w:rFonts w:ascii="Arial" w:hAnsi="Arial" w:cs="Arial"/>
                <w:b w:val="0"/>
                <w:sz w:val="17"/>
                <w:rtl/>
              </w:rPr>
              <w:t>ماندگار (اجماع مشترک)</w:t>
            </w:r>
          </w:p>
        </w:tc>
        <w:tc>
          <w:tcPr>
            <w:tcW w:type="dxa" w:w="4309"/>
          </w:tcPr>
          <w:p>
            <w:pPr>
              <w:bidi/>
              <w:jc w:val="right"/>
            </w:pPr>
            <w:r>
              <w:rPr>
                <w:rFonts w:ascii="Arial" w:hAnsi="Arial" w:cs="Arial"/>
                <w:rtl/>
              </w:rPr>
            </w:r>
            <w:r>
              <w:rPr>
                <w:rFonts w:ascii="Arial" w:hAnsi="Arial" w:cs="Arial"/>
                <w:b w:val="0"/>
                <w:sz w:val="17"/>
                <w:rtl/>
              </w:rPr>
              <w:t>در هر دو پانل: دست‌کم 75% اهمیت را 4 یا 5 بدهند، میانه ≥ 4، دامنه بین‌چارکی ≤ 1 و توافق در دور آخر پایدار</w:t>
            </w:r>
          </w:p>
        </w:tc>
        <w:tc>
          <w:tcPr>
            <w:tcW w:type="dxa" w:w="2721"/>
          </w:tcPr>
          <w:p>
            <w:pPr>
              <w:bidi/>
              <w:jc w:val="right"/>
            </w:pPr>
            <w:r>
              <w:rPr>
                <w:rFonts w:ascii="Arial" w:hAnsi="Arial" w:cs="Arial"/>
                <w:rtl/>
              </w:rPr>
            </w:r>
            <w:r>
              <w:rPr>
                <w:rFonts w:ascii="Arial" w:hAnsi="Arial" w:cs="Arial"/>
                <w:b w:val="0"/>
                <w:sz w:val="17"/>
                <w:rtl/>
              </w:rPr>
              <w:t>در مدل می‌ماند</w:t>
            </w:r>
          </w:p>
        </w:tc>
      </w:tr>
      <w:tr>
        <w:tc>
          <w:tcPr>
            <w:tcW w:type="dxa" w:w="2154"/>
          </w:tcPr>
          <w:p>
            <w:pPr>
              <w:bidi/>
              <w:jc w:val="right"/>
            </w:pPr>
            <w:r>
              <w:rPr>
                <w:rFonts w:ascii="Arial" w:hAnsi="Arial" w:cs="Arial"/>
                <w:rtl/>
              </w:rPr>
            </w:r>
            <w:r>
              <w:rPr>
                <w:rFonts w:ascii="Arial" w:hAnsi="Arial" w:cs="Arial"/>
                <w:b w:val="0"/>
                <w:sz w:val="17"/>
                <w:rtl/>
              </w:rPr>
              <w:t>ماندگار، ویژه یک دیدگاه</w:t>
            </w:r>
          </w:p>
        </w:tc>
        <w:tc>
          <w:tcPr>
            <w:tcW w:type="dxa" w:w="4309"/>
          </w:tcPr>
          <w:p>
            <w:pPr>
              <w:bidi/>
              <w:jc w:val="right"/>
            </w:pPr>
            <w:r>
              <w:rPr>
                <w:rFonts w:ascii="Arial" w:hAnsi="Arial" w:cs="Arial"/>
                <w:rtl/>
              </w:rPr>
            </w:r>
            <w:r>
              <w:rPr>
                <w:rFonts w:ascii="Arial" w:hAnsi="Arial" w:cs="Arial"/>
                <w:b w:val="0"/>
                <w:sz w:val="17"/>
                <w:rtl/>
              </w:rPr>
              <w:t>معیارها فقط در یک پانل برقرار است</w:t>
            </w:r>
          </w:p>
        </w:tc>
        <w:tc>
          <w:tcPr>
            <w:tcW w:type="dxa" w:w="2721"/>
          </w:tcPr>
          <w:p>
            <w:pPr>
              <w:bidi/>
              <w:jc w:val="right"/>
            </w:pPr>
            <w:r>
              <w:rPr>
                <w:rFonts w:ascii="Arial" w:hAnsi="Arial" w:cs="Arial"/>
                <w:rtl/>
              </w:rPr>
            </w:r>
            <w:r>
              <w:rPr>
                <w:rFonts w:ascii="Arial" w:hAnsi="Arial" w:cs="Arial"/>
                <w:b w:val="0"/>
                <w:sz w:val="17"/>
                <w:rtl/>
              </w:rPr>
              <w:t>می‌ماند؛ امتیاز پایین‌تر پانل دیگر به‌عنوان یافته گزارش می‌شود</w:t>
            </w:r>
          </w:p>
        </w:tc>
      </w:tr>
      <w:tr>
        <w:tc>
          <w:tcPr>
            <w:tcW w:type="dxa" w:w="2154"/>
          </w:tcPr>
          <w:p>
            <w:pPr>
              <w:bidi/>
              <w:jc w:val="right"/>
            </w:pPr>
            <w:r>
              <w:rPr>
                <w:rFonts w:ascii="Arial" w:hAnsi="Arial" w:cs="Arial"/>
                <w:rtl/>
              </w:rPr>
            </w:r>
            <w:r>
              <w:rPr>
                <w:rFonts w:ascii="Arial" w:hAnsi="Arial" w:cs="Arial"/>
                <w:b w:val="0"/>
                <w:sz w:val="17"/>
                <w:rtl/>
              </w:rPr>
              <w:t>ماندگار، وابسته به زمینه</w:t>
            </w:r>
          </w:p>
        </w:tc>
        <w:tc>
          <w:tcPr>
            <w:tcW w:type="dxa" w:w="4309"/>
          </w:tcPr>
          <w:p>
            <w:pPr>
              <w:bidi/>
              <w:jc w:val="right"/>
            </w:pPr>
            <w:r>
              <w:rPr>
                <w:rFonts w:ascii="Arial" w:hAnsi="Arial" w:cs="Arial"/>
                <w:rtl/>
              </w:rPr>
            </w:r>
            <w:r>
              <w:rPr>
                <w:rFonts w:ascii="Arial" w:hAnsi="Arial" w:cs="Arial"/>
                <w:b w:val="0"/>
                <w:sz w:val="17"/>
                <w:rtl/>
              </w:rPr>
              <w:t>اجماع بر اهمیت، اما قابلیت اجرا کمتر از 75% امتیاز 4 یا 5 یا میانه ≤ 3</w:t>
            </w:r>
          </w:p>
        </w:tc>
        <w:tc>
          <w:tcPr>
            <w:tcW w:type="dxa" w:w="2721"/>
          </w:tcPr>
          <w:p>
            <w:pPr>
              <w:bidi/>
              <w:jc w:val="right"/>
            </w:pPr>
            <w:r>
              <w:rPr>
                <w:rFonts w:ascii="Arial" w:hAnsi="Arial" w:cs="Arial"/>
                <w:rtl/>
              </w:rPr>
            </w:r>
            <w:r>
              <w:rPr>
                <w:rFonts w:ascii="Arial" w:hAnsi="Arial" w:cs="Arial"/>
                <w:b w:val="0"/>
                <w:sz w:val="17"/>
                <w:rtl/>
              </w:rPr>
              <w:t>به‌عنوان مهم ولی دشوار برای اجرا می‌ماند</w:t>
            </w:r>
          </w:p>
        </w:tc>
      </w:tr>
      <w:tr>
        <w:tc>
          <w:tcPr>
            <w:tcW w:type="dxa" w:w="2154"/>
          </w:tcPr>
          <w:p>
            <w:pPr>
              <w:bidi/>
              <w:jc w:val="right"/>
            </w:pPr>
            <w:r>
              <w:rPr>
                <w:rFonts w:ascii="Arial" w:hAnsi="Arial" w:cs="Arial"/>
                <w:rtl/>
              </w:rPr>
            </w:r>
            <w:r>
              <w:rPr>
                <w:rFonts w:ascii="Arial" w:hAnsi="Arial" w:cs="Arial"/>
                <w:b w:val="0"/>
                <w:sz w:val="17"/>
                <w:rtl/>
              </w:rPr>
              <w:t>اصلاح یا ادغام</w:t>
            </w:r>
          </w:p>
        </w:tc>
        <w:tc>
          <w:tcPr>
            <w:tcW w:type="dxa" w:w="4309"/>
          </w:tcPr>
          <w:p>
            <w:pPr>
              <w:bidi/>
              <w:jc w:val="right"/>
            </w:pPr>
            <w:r>
              <w:rPr>
                <w:rFonts w:ascii="Arial" w:hAnsi="Arial" w:cs="Arial"/>
                <w:rtl/>
              </w:rPr>
            </w:r>
            <w:r>
              <w:rPr>
                <w:rFonts w:ascii="Arial" w:hAnsi="Arial" w:cs="Arial"/>
                <w:b w:val="0"/>
                <w:sz w:val="17"/>
                <w:rtl/>
              </w:rPr>
              <w:t>پس از دور دوم اجماع نیست و توضیح‌ها به مشکل واژه‌بندی، هم‌پوشانی یا محتوای مرکب اشاره می‌کنند</w:t>
            </w:r>
          </w:p>
        </w:tc>
        <w:tc>
          <w:tcPr>
            <w:tcW w:type="dxa" w:w="2721"/>
          </w:tcPr>
          <w:p>
            <w:pPr>
              <w:bidi/>
              <w:jc w:val="right"/>
            </w:pPr>
            <w:r>
              <w:rPr>
                <w:rFonts w:ascii="Arial" w:hAnsi="Arial" w:cs="Arial"/>
                <w:rtl/>
              </w:rPr>
            </w:r>
            <w:r>
              <w:rPr>
                <w:rFonts w:ascii="Arial" w:hAnsi="Arial" w:cs="Arial"/>
                <w:b w:val="0"/>
                <w:sz w:val="17"/>
                <w:rtl/>
              </w:rPr>
              <w:t>مولفه بازنویسی یا ادغام‌شده یک بار دیگر امتیاز می‌گیرد</w:t>
            </w:r>
          </w:p>
        </w:tc>
      </w:tr>
      <w:tr>
        <w:tc>
          <w:tcPr>
            <w:tcW w:type="dxa" w:w="2154"/>
          </w:tcPr>
          <w:p>
            <w:pPr>
              <w:bidi/>
              <w:jc w:val="right"/>
            </w:pPr>
            <w:r>
              <w:rPr>
                <w:rFonts w:ascii="Arial" w:hAnsi="Arial" w:cs="Arial"/>
                <w:rtl/>
              </w:rPr>
            </w:r>
            <w:r>
              <w:rPr>
                <w:rFonts w:ascii="Arial" w:hAnsi="Arial" w:cs="Arial"/>
                <w:b w:val="0"/>
                <w:sz w:val="17"/>
                <w:rtl/>
              </w:rPr>
              <w:t>افزودن</w:t>
            </w:r>
          </w:p>
        </w:tc>
        <w:tc>
          <w:tcPr>
            <w:tcW w:type="dxa" w:w="4309"/>
          </w:tcPr>
          <w:p>
            <w:pPr>
              <w:bidi/>
              <w:jc w:val="right"/>
            </w:pPr>
            <w:r>
              <w:rPr>
                <w:rFonts w:ascii="Arial" w:hAnsi="Arial" w:cs="Arial"/>
                <w:rtl/>
              </w:rPr>
            </w:r>
            <w:r>
              <w:rPr>
                <w:rFonts w:ascii="Arial" w:hAnsi="Arial" w:cs="Arial"/>
                <w:b w:val="0"/>
                <w:sz w:val="17"/>
                <w:rtl/>
              </w:rPr>
              <w:t>مولفه تازه‌ای که دست‌کم [2] خبره پیشنهاد کنند</w:t>
            </w:r>
          </w:p>
        </w:tc>
        <w:tc>
          <w:tcPr>
            <w:tcW w:type="dxa" w:w="2721"/>
          </w:tcPr>
          <w:p>
            <w:pPr>
              <w:bidi/>
              <w:jc w:val="right"/>
            </w:pPr>
            <w:r>
              <w:rPr>
                <w:rFonts w:ascii="Arial" w:hAnsi="Arial" w:cs="Arial"/>
                <w:rtl/>
              </w:rPr>
            </w:r>
            <w:r>
              <w:rPr>
                <w:rFonts w:ascii="Arial" w:hAnsi="Arial" w:cs="Arial"/>
                <w:b w:val="0"/>
                <w:sz w:val="17"/>
                <w:rtl/>
              </w:rPr>
              <w:t>در دور بعد امتیاز می‌گیرد</w:t>
            </w:r>
          </w:p>
        </w:tc>
      </w:tr>
      <w:tr>
        <w:tc>
          <w:tcPr>
            <w:tcW w:type="dxa" w:w="2154"/>
          </w:tcPr>
          <w:p>
            <w:pPr>
              <w:bidi/>
              <w:jc w:val="right"/>
            </w:pPr>
            <w:r>
              <w:rPr>
                <w:rFonts w:ascii="Arial" w:hAnsi="Arial" w:cs="Arial"/>
                <w:rtl/>
              </w:rPr>
            </w:r>
            <w:r>
              <w:rPr>
                <w:rFonts w:ascii="Arial" w:hAnsi="Arial" w:cs="Arial"/>
                <w:b w:val="0"/>
                <w:sz w:val="17"/>
                <w:rtl/>
              </w:rPr>
              <w:t>حذف</w:t>
            </w:r>
          </w:p>
        </w:tc>
        <w:tc>
          <w:tcPr>
            <w:tcW w:type="dxa" w:w="4309"/>
          </w:tcPr>
          <w:p>
            <w:pPr>
              <w:bidi/>
              <w:jc w:val="right"/>
            </w:pPr>
            <w:r>
              <w:rPr>
                <w:rFonts w:ascii="Arial" w:hAnsi="Arial" w:cs="Arial"/>
                <w:rtl/>
              </w:rPr>
            </w:r>
            <w:r>
              <w:rPr>
                <w:rFonts w:ascii="Arial" w:hAnsi="Arial" w:cs="Arial"/>
                <w:b w:val="0"/>
                <w:sz w:val="17"/>
                <w:rtl/>
              </w:rPr>
              <w:t>دور آخر: میانه ≤ 3 و کمتر از 50% امتیاز 4 یا 5 در هر دو پانل</w:t>
            </w:r>
          </w:p>
        </w:tc>
        <w:tc>
          <w:tcPr>
            <w:tcW w:type="dxa" w:w="2721"/>
          </w:tcPr>
          <w:p>
            <w:pPr>
              <w:bidi/>
              <w:jc w:val="right"/>
            </w:pPr>
            <w:r>
              <w:rPr>
                <w:rFonts w:ascii="Arial" w:hAnsi="Arial" w:cs="Arial"/>
                <w:rtl/>
              </w:rPr>
            </w:r>
            <w:r>
              <w:rPr>
                <w:rFonts w:ascii="Arial" w:hAnsi="Arial" w:cs="Arial"/>
                <w:b w:val="0"/>
                <w:sz w:val="17"/>
                <w:rtl/>
              </w:rPr>
              <w:t>حذف و با دلایل گزارش می‌شود</w:t>
            </w:r>
          </w:p>
        </w:tc>
      </w:tr>
    </w:tbl>
    <w:p/>
    <w:p>
      <w:pPr>
        <w:spacing w:after="140" w:line="336" w:lineRule="auto"/>
        <w:bidi/>
        <w:jc w:val="right"/>
      </w:pPr>
      <w:r>
        <w:rPr>
          <w:rFonts w:ascii="Arial" w:hAnsi="Arial" w:cs="Arial"/>
          <w:b w:val="0"/>
          <w:rtl/>
        </w:rPr>
        <w:t>بنابراین 30 مولفه کاندیدند، نه ابزار ثابت. پس از دلفی مجموعه نهایی می‌تواند کوچک‌تر (مولفه‌های حذف یا ادغام‌شده)، بزرگ‌تر (مولفه‌های افزوده خبرگان) یا بازساخته (مولفه‌های بازطبقه‌بندی‌شده) باشد، و مولفه‌های ماندگار با برچسب ویژه یک دیدگاه یا وابسته به زمینه با همان برچسب در مدل می‌مانند، چون واگرایی میان پانل‌ها و میان اهمیت و قابلیت اجرا یکی از یافته‌هاست.</w:t>
      </w:r>
    </w:p>
    <w:p>
      <w:pPr>
        <w:spacing w:after="100" w:line="288" w:lineRule="auto"/>
        <w:bidi/>
        <w:jc w:val="right"/>
      </w:pPr>
      <w:r>
        <w:rPr>
          <w:rFonts w:ascii="Arial" w:hAnsi="Arial" w:cs="Arial"/>
          <w:b/>
          <w:color w:val="1F3864"/>
          <w:sz w:val="25"/>
          <w:rtl/>
        </w:rPr>
        <w:t>3-6. تحلیل</w:t>
      </w:r>
    </w:p>
    <w:p>
      <w:pPr>
        <w:spacing w:after="140" w:line="336" w:lineRule="auto"/>
        <w:bidi/>
        <w:jc w:val="right"/>
      </w:pPr>
      <w:r>
        <w:rPr>
          <w:rFonts w:ascii="Arial" w:hAnsi="Arial" w:cs="Arial"/>
          <w:b w:val="0"/>
          <w:rtl/>
        </w:rPr>
        <w:t>برای هر دور، پانل و مولفه تعداد پاسخ‌دهندگان، میانه، دامنه بین‌چارکی، درصد امتیاز 4 یا 5 و میانگین (توصیفی) گزارش می‌شود، و برای هر پانل W کندال به‌عنوان سنجه هم‌سویی و تغییر توافق بین دورها به‌عنوان سنجه پایداری. پاسخ‌های باز با تحلیل محتوا توسط دو کدگذار با کتابچه کد برگرفته از هفت بُعد و شش سازه و گسترش‌یافته به‌صورت استقرایی تحلیل شد و توافق با کاپای کوهن گزارش می‌شود. تفاوت پانل‌ها (RQ3) برای هر مولفه روی امتیازهای اهمیت و قابلیت اجرای دور آخر با آزمون U من–ویتنی و اندازه اثر r و تصحیح هولم روی 30 مقایسه برای هر نوع امتیاز آزمون می‌شود؛ شکاف اهمیت و قابلیت اجرا درون هر پانل با آزمون رتبه علامت‌دار ویلکاکسون آزمون می‌شود. چهار گزاره به شیوه جدول 4 بررسی می‌شوند. به‌دلیل کوچکی پانل‌ها همه آزمون‌ها اکتشافی‌اند، اندازه اثر را با فاصله اطمینان بوت‌استرپ گزارش می‌کنیم و تنها به مقدار p تکیه نمی‌کنیم.</w:t>
      </w:r>
    </w:p>
    <w:p>
      <w:pPr>
        <w:spacing w:after="60" w:line="264" w:lineRule="auto"/>
        <w:bidi/>
        <w:jc w:val="right"/>
      </w:pPr>
      <w:r>
        <w:rPr>
          <w:rFonts w:ascii="Arial" w:hAnsi="Arial" w:cs="Arial"/>
          <w:b/>
          <w:sz w:val="21"/>
          <w:rtl/>
        </w:rPr>
        <w:t>جدول 4. برنامه تحلیل</w:t>
      </w:r>
    </w:p>
    <w:tbl>
      <w:tblPr>
        <w:tblStyle w:val="TableGrid"/>
        <w:tblW w:type="auto" w:w="0"/>
        <w:tblLayout w:type="fixed"/>
        <w:tblLook w:firstColumn="1" w:firstRow="1" w:lastColumn="0" w:lastRow="0" w:noHBand="0" w:noVBand="1" w:val="04A0"/>
        <w:bidiVisual/>
      </w:tblPr>
      <w:tblGrid>
        <w:gridCol w:w="2154"/>
        <w:gridCol w:w="4309"/>
        <w:gridCol w:w="2721"/>
      </w:tblGrid>
      <w:tr>
        <w:tc>
          <w:tcPr>
            <w:tcW w:type="dxa" w:w="2154"/>
            <w:shd w:val="clear" w:color="auto" w:fill="1F3864"/>
          </w:tcPr>
          <w:p>
            <w:pPr>
              <w:bidi/>
              <w:jc w:val="right"/>
            </w:pPr>
            <w:r>
              <w:rPr>
                <w:rFonts w:ascii="Arial" w:hAnsi="Arial" w:cs="Arial"/>
                <w:rtl/>
              </w:rPr>
            </w:r>
            <w:r>
              <w:rPr>
                <w:rFonts w:ascii="Arial" w:hAnsi="Arial" w:cs="Arial"/>
                <w:b/>
                <w:color w:val="FFFFFF"/>
                <w:sz w:val="17"/>
                <w:rtl/>
              </w:rPr>
              <w:t>پرسش یا گزاره</w:t>
            </w:r>
          </w:p>
        </w:tc>
        <w:tc>
          <w:tcPr>
            <w:tcW w:type="dxa" w:w="4309"/>
            <w:shd w:val="clear" w:color="auto" w:fill="1F3864"/>
          </w:tcPr>
          <w:p>
            <w:pPr>
              <w:bidi/>
              <w:jc w:val="right"/>
            </w:pPr>
            <w:r>
              <w:rPr>
                <w:rFonts w:ascii="Arial" w:hAnsi="Arial" w:cs="Arial"/>
                <w:rtl/>
              </w:rPr>
            </w:r>
            <w:r>
              <w:rPr>
                <w:rFonts w:ascii="Arial" w:hAnsi="Arial" w:cs="Arial"/>
                <w:b/>
                <w:color w:val="FFFFFF"/>
                <w:sz w:val="17"/>
                <w:rtl/>
              </w:rPr>
              <w:t>داده</w:t>
            </w:r>
          </w:p>
        </w:tc>
        <w:tc>
          <w:tcPr>
            <w:tcW w:type="dxa" w:w="2721"/>
            <w:shd w:val="clear" w:color="auto" w:fill="1F3864"/>
          </w:tcPr>
          <w:p>
            <w:pPr>
              <w:bidi/>
              <w:jc w:val="right"/>
            </w:pPr>
            <w:r>
              <w:rPr>
                <w:rFonts w:ascii="Arial" w:hAnsi="Arial" w:cs="Arial"/>
                <w:rtl/>
              </w:rPr>
            </w:r>
            <w:r>
              <w:rPr>
                <w:rFonts w:ascii="Arial" w:hAnsi="Arial" w:cs="Arial"/>
                <w:b/>
                <w:color w:val="FFFFFF"/>
                <w:sz w:val="17"/>
                <w:rtl/>
              </w:rPr>
              <w:t>آزمون</w:t>
            </w:r>
          </w:p>
        </w:tc>
      </w:tr>
      <w:tr>
        <w:tc>
          <w:tcPr>
            <w:tcW w:type="dxa" w:w="2154"/>
          </w:tcPr>
          <w:p>
            <w:pPr>
              <w:bidi/>
              <w:jc w:val="right"/>
            </w:pPr>
            <w:r>
              <w:rPr>
                <w:rFonts w:ascii="Arial" w:hAnsi="Arial" w:cs="Arial"/>
                <w:rtl/>
              </w:rPr>
            </w:r>
            <w:r>
              <w:rPr>
                <w:rFonts w:ascii="Arial" w:hAnsi="Arial" w:cs="Arial"/>
                <w:b w:val="0"/>
                <w:sz w:val="17"/>
                <w:rtl/>
              </w:rPr>
              <w:t>RQ1</w:t>
            </w:r>
          </w:p>
        </w:tc>
        <w:tc>
          <w:tcPr>
            <w:tcW w:type="dxa" w:w="4309"/>
          </w:tcPr>
          <w:p>
            <w:pPr>
              <w:bidi/>
              <w:jc w:val="right"/>
            </w:pPr>
            <w:r>
              <w:rPr>
                <w:rFonts w:ascii="Arial" w:hAnsi="Arial" w:cs="Arial"/>
                <w:rtl/>
              </w:rPr>
            </w:r>
            <w:r>
              <w:rPr>
                <w:rFonts w:ascii="Arial" w:hAnsi="Arial" w:cs="Arial"/>
                <w:b w:val="0"/>
                <w:sz w:val="17"/>
                <w:rtl/>
              </w:rPr>
              <w:t>ماتریس مرحله 1 و جریان PRISMA</w:t>
            </w:r>
          </w:p>
        </w:tc>
        <w:tc>
          <w:tcPr>
            <w:tcW w:type="dxa" w:w="2721"/>
          </w:tcPr>
          <w:p>
            <w:pPr>
              <w:bidi/>
              <w:jc w:val="right"/>
            </w:pPr>
            <w:r>
              <w:rPr>
                <w:rFonts w:ascii="Arial" w:hAnsi="Arial" w:cs="Arial"/>
                <w:rtl/>
              </w:rPr>
            </w:r>
            <w:r>
              <w:rPr>
                <w:rFonts w:ascii="Arial" w:hAnsi="Arial" w:cs="Arial"/>
                <w:b w:val="0"/>
                <w:sz w:val="17"/>
                <w:rtl/>
              </w:rPr>
              <w:t>توصیفی؛ کاپا برای کدگذاران</w:t>
            </w:r>
          </w:p>
        </w:tc>
      </w:tr>
      <w:tr>
        <w:tc>
          <w:tcPr>
            <w:tcW w:type="dxa" w:w="2154"/>
          </w:tcPr>
          <w:p>
            <w:pPr>
              <w:bidi/>
              <w:jc w:val="right"/>
            </w:pPr>
            <w:r>
              <w:rPr>
                <w:rFonts w:ascii="Arial" w:hAnsi="Arial" w:cs="Arial"/>
                <w:rtl/>
              </w:rPr>
            </w:r>
            <w:r>
              <w:rPr>
                <w:rFonts w:ascii="Arial" w:hAnsi="Arial" w:cs="Arial"/>
                <w:b w:val="0"/>
                <w:sz w:val="17"/>
                <w:rtl/>
              </w:rPr>
              <w:t>RQ2</w:t>
            </w:r>
          </w:p>
        </w:tc>
        <w:tc>
          <w:tcPr>
            <w:tcW w:type="dxa" w:w="4309"/>
          </w:tcPr>
          <w:p>
            <w:pPr>
              <w:bidi/>
              <w:jc w:val="right"/>
            </w:pPr>
            <w:r>
              <w:rPr>
                <w:rFonts w:ascii="Arial" w:hAnsi="Arial" w:cs="Arial"/>
                <w:rtl/>
              </w:rPr>
            </w:r>
            <w:r>
              <w:rPr>
                <w:rFonts w:ascii="Arial" w:hAnsi="Arial" w:cs="Arial"/>
                <w:b w:val="0"/>
                <w:sz w:val="17"/>
                <w:rtl/>
              </w:rPr>
              <w:t>امتیازهای اهمیت و قابلیت اجرا؛ توضیح‌های باز</w:t>
            </w:r>
          </w:p>
        </w:tc>
        <w:tc>
          <w:tcPr>
            <w:tcW w:type="dxa" w:w="2721"/>
          </w:tcPr>
          <w:p>
            <w:pPr>
              <w:bidi/>
              <w:jc w:val="right"/>
            </w:pPr>
            <w:r>
              <w:rPr>
                <w:rFonts w:ascii="Arial" w:hAnsi="Arial" w:cs="Arial"/>
                <w:rtl/>
              </w:rPr>
            </w:r>
            <w:r>
              <w:rPr>
                <w:rFonts w:ascii="Arial" w:hAnsi="Arial" w:cs="Arial"/>
                <w:b w:val="0"/>
                <w:sz w:val="17"/>
                <w:rtl/>
              </w:rPr>
              <w:t>قواعد تصمیم (جدول 3)؛ تحلیل محتوا</w:t>
            </w:r>
          </w:p>
        </w:tc>
      </w:tr>
      <w:tr>
        <w:tc>
          <w:tcPr>
            <w:tcW w:type="dxa" w:w="2154"/>
          </w:tcPr>
          <w:p>
            <w:pPr>
              <w:bidi/>
              <w:jc w:val="right"/>
            </w:pPr>
            <w:r>
              <w:rPr>
                <w:rFonts w:ascii="Arial" w:hAnsi="Arial" w:cs="Arial"/>
                <w:rtl/>
              </w:rPr>
            </w:r>
            <w:r>
              <w:rPr>
                <w:rFonts w:ascii="Arial" w:hAnsi="Arial" w:cs="Arial"/>
                <w:b w:val="0"/>
                <w:sz w:val="17"/>
                <w:rtl/>
              </w:rPr>
              <w:t>RQ3</w:t>
            </w:r>
          </w:p>
        </w:tc>
        <w:tc>
          <w:tcPr>
            <w:tcW w:type="dxa" w:w="4309"/>
          </w:tcPr>
          <w:p>
            <w:pPr>
              <w:bidi/>
              <w:jc w:val="right"/>
            </w:pPr>
            <w:r>
              <w:rPr>
                <w:rFonts w:ascii="Arial" w:hAnsi="Arial" w:cs="Arial"/>
                <w:rtl/>
              </w:rPr>
            </w:r>
            <w:r>
              <w:rPr>
                <w:rFonts w:ascii="Arial" w:hAnsi="Arial" w:cs="Arial"/>
                <w:b w:val="0"/>
                <w:sz w:val="17"/>
                <w:rtl/>
              </w:rPr>
              <w:t>امتیازهای دور آخر به تفکیک پانل</w:t>
            </w:r>
          </w:p>
        </w:tc>
        <w:tc>
          <w:tcPr>
            <w:tcW w:type="dxa" w:w="2721"/>
          </w:tcPr>
          <w:p>
            <w:pPr>
              <w:bidi/>
              <w:jc w:val="right"/>
            </w:pPr>
            <w:r>
              <w:rPr>
                <w:rFonts w:ascii="Arial" w:hAnsi="Arial" w:cs="Arial"/>
                <w:rtl/>
              </w:rPr>
            </w:r>
            <w:r>
              <w:rPr>
                <w:rFonts w:ascii="Arial" w:hAnsi="Arial" w:cs="Arial"/>
                <w:b w:val="0"/>
                <w:sz w:val="17"/>
                <w:rtl/>
              </w:rPr>
              <w:t>U من–ویتنی، اندازه اثر r، تصحیح هولم</w:t>
            </w:r>
          </w:p>
        </w:tc>
      </w:tr>
      <w:tr>
        <w:tc>
          <w:tcPr>
            <w:tcW w:type="dxa" w:w="2154"/>
          </w:tcPr>
          <w:p>
            <w:pPr>
              <w:bidi/>
              <w:jc w:val="right"/>
            </w:pPr>
            <w:r>
              <w:rPr>
                <w:rFonts w:ascii="Arial" w:hAnsi="Arial" w:cs="Arial"/>
                <w:rtl/>
              </w:rPr>
            </w:r>
            <w:r>
              <w:rPr>
                <w:rFonts w:ascii="Arial" w:hAnsi="Arial" w:cs="Arial"/>
                <w:b w:val="0"/>
                <w:sz w:val="17"/>
                <w:rtl/>
              </w:rPr>
              <w:t>P1 (هم‌گرایی شواهد)</w:t>
            </w:r>
          </w:p>
        </w:tc>
        <w:tc>
          <w:tcPr>
            <w:tcW w:type="dxa" w:w="4309"/>
          </w:tcPr>
          <w:p>
            <w:pPr>
              <w:bidi/>
              <w:jc w:val="right"/>
            </w:pPr>
            <w:r>
              <w:rPr>
                <w:rFonts w:ascii="Arial" w:hAnsi="Arial" w:cs="Arial"/>
                <w:rtl/>
              </w:rPr>
            </w:r>
            <w:r>
              <w:rPr>
                <w:rFonts w:ascii="Arial" w:hAnsi="Arial" w:cs="Arial"/>
                <w:b w:val="0"/>
                <w:sz w:val="17"/>
                <w:rtl/>
              </w:rPr>
              <w:t>تعداد دور تا اجماع و دامنه بین‌چارکی مولفه‌های S+R در برابر S</w:t>
            </w:r>
          </w:p>
        </w:tc>
        <w:tc>
          <w:tcPr>
            <w:tcW w:type="dxa" w:w="2721"/>
          </w:tcPr>
          <w:p>
            <w:pPr>
              <w:bidi/>
              <w:jc w:val="right"/>
            </w:pPr>
            <w:r>
              <w:rPr>
                <w:rFonts w:ascii="Arial" w:hAnsi="Arial" w:cs="Arial"/>
                <w:rtl/>
              </w:rPr>
            </w:r>
            <w:r>
              <w:rPr>
                <w:rFonts w:ascii="Arial" w:hAnsi="Arial" w:cs="Arial"/>
                <w:b w:val="0"/>
                <w:sz w:val="17"/>
                <w:rtl/>
              </w:rPr>
              <w:t>U من–ویتنی یا آزمون دقیق فیشر</w:t>
            </w:r>
          </w:p>
        </w:tc>
      </w:tr>
      <w:tr>
        <w:tc>
          <w:tcPr>
            <w:tcW w:type="dxa" w:w="2154"/>
          </w:tcPr>
          <w:p>
            <w:pPr>
              <w:bidi/>
              <w:jc w:val="right"/>
            </w:pPr>
            <w:r>
              <w:rPr>
                <w:rFonts w:ascii="Arial" w:hAnsi="Arial" w:cs="Arial"/>
                <w:rtl/>
              </w:rPr>
            </w:r>
            <w:r>
              <w:rPr>
                <w:rFonts w:ascii="Arial" w:hAnsi="Arial" w:cs="Arial"/>
                <w:b w:val="0"/>
                <w:sz w:val="17"/>
                <w:rtl/>
              </w:rPr>
              <w:t>P2 (برجستگی نقطه دید)</w:t>
            </w:r>
          </w:p>
        </w:tc>
        <w:tc>
          <w:tcPr>
            <w:tcW w:type="dxa" w:w="4309"/>
          </w:tcPr>
          <w:p>
            <w:pPr>
              <w:bidi/>
              <w:jc w:val="right"/>
            </w:pPr>
            <w:r>
              <w:rPr>
                <w:rFonts w:ascii="Arial" w:hAnsi="Arial" w:cs="Arial"/>
                <w:rtl/>
              </w:rPr>
            </w:r>
            <w:r>
              <w:rPr>
                <w:rFonts w:ascii="Arial" w:hAnsi="Arial" w:cs="Arial"/>
                <w:b w:val="0"/>
                <w:sz w:val="17"/>
                <w:rtl/>
              </w:rPr>
              <w:t>میانه‌های سطح بُعد به تفکیک پانل (C09 تا C15 برای پانل الف؛ A01 تا A09 برای پانل ب)</w:t>
            </w:r>
          </w:p>
        </w:tc>
        <w:tc>
          <w:tcPr>
            <w:tcW w:type="dxa" w:w="2721"/>
          </w:tcPr>
          <w:p>
            <w:pPr>
              <w:bidi/>
              <w:jc w:val="right"/>
            </w:pPr>
            <w:r>
              <w:rPr>
                <w:rFonts w:ascii="Arial" w:hAnsi="Arial" w:cs="Arial"/>
                <w:rtl/>
              </w:rPr>
            </w:r>
            <w:r>
              <w:rPr>
                <w:rFonts w:ascii="Arial" w:hAnsi="Arial" w:cs="Arial"/>
                <w:b w:val="0"/>
                <w:sz w:val="17"/>
                <w:rtl/>
              </w:rPr>
              <w:t>ویلکاکسون درون پانل؛ U من–ویتنی بین پانل‌ها</w:t>
            </w:r>
          </w:p>
        </w:tc>
      </w:tr>
      <w:tr>
        <w:tc>
          <w:tcPr>
            <w:tcW w:type="dxa" w:w="2154"/>
          </w:tcPr>
          <w:p>
            <w:pPr>
              <w:bidi/>
              <w:jc w:val="right"/>
            </w:pPr>
            <w:r>
              <w:rPr>
                <w:rFonts w:ascii="Arial" w:hAnsi="Arial" w:cs="Arial"/>
                <w:rtl/>
              </w:rPr>
            </w:r>
            <w:r>
              <w:rPr>
                <w:rFonts w:ascii="Arial" w:hAnsi="Arial" w:cs="Arial"/>
                <w:b w:val="0"/>
                <w:sz w:val="17"/>
                <w:rtl/>
              </w:rPr>
              <w:t>P3 (شکاف اهمیت و قابلیت اجرا)</w:t>
            </w:r>
          </w:p>
        </w:tc>
        <w:tc>
          <w:tcPr>
            <w:tcW w:type="dxa" w:w="4309"/>
          </w:tcPr>
          <w:p>
            <w:pPr>
              <w:bidi/>
              <w:jc w:val="right"/>
            </w:pPr>
            <w:r>
              <w:rPr>
                <w:rFonts w:ascii="Arial" w:hAnsi="Arial" w:cs="Arial"/>
                <w:rtl/>
              </w:rPr>
            </w:r>
            <w:r>
              <w:rPr>
                <w:rFonts w:ascii="Arial" w:hAnsi="Arial" w:cs="Arial"/>
                <w:b w:val="0"/>
                <w:sz w:val="17"/>
                <w:rtl/>
              </w:rPr>
              <w:t>شکاف = اهمیت − قابلیت اجرا برای C15، C16، A05، A06 در برابر بقیه</w:t>
            </w:r>
          </w:p>
        </w:tc>
        <w:tc>
          <w:tcPr>
            <w:tcW w:type="dxa" w:w="2721"/>
          </w:tcPr>
          <w:p>
            <w:pPr>
              <w:bidi/>
              <w:jc w:val="right"/>
            </w:pPr>
            <w:r>
              <w:rPr>
                <w:rFonts w:ascii="Arial" w:hAnsi="Arial" w:cs="Arial"/>
                <w:rtl/>
              </w:rPr>
            </w:r>
            <w:r>
              <w:rPr>
                <w:rFonts w:ascii="Arial" w:hAnsi="Arial" w:cs="Arial"/>
                <w:b w:val="0"/>
                <w:sz w:val="17"/>
                <w:rtl/>
              </w:rPr>
              <w:t>U من–ویتنی روی شکاف‌های سطح مولفه</w:t>
            </w:r>
          </w:p>
        </w:tc>
      </w:tr>
      <w:tr>
        <w:tc>
          <w:tcPr>
            <w:tcW w:type="dxa" w:w="2154"/>
          </w:tcPr>
          <w:p>
            <w:pPr>
              <w:bidi/>
              <w:jc w:val="right"/>
            </w:pPr>
            <w:r>
              <w:rPr>
                <w:rFonts w:ascii="Arial" w:hAnsi="Arial" w:cs="Arial"/>
                <w:rtl/>
              </w:rPr>
            </w:r>
            <w:r>
              <w:rPr>
                <w:rFonts w:ascii="Arial" w:hAnsi="Arial" w:cs="Arial"/>
                <w:b w:val="0"/>
                <w:sz w:val="17"/>
                <w:rtl/>
              </w:rPr>
              <w:t>P4 (شکاف ترجمه)</w:t>
            </w:r>
          </w:p>
        </w:tc>
        <w:tc>
          <w:tcPr>
            <w:tcW w:type="dxa" w:w="4309"/>
          </w:tcPr>
          <w:p>
            <w:pPr>
              <w:bidi/>
              <w:jc w:val="right"/>
            </w:pPr>
            <w:r>
              <w:rPr>
                <w:rFonts w:ascii="Arial" w:hAnsi="Arial" w:cs="Arial"/>
                <w:rtl/>
              </w:rPr>
            </w:r>
            <w:r>
              <w:rPr>
                <w:rFonts w:ascii="Arial" w:hAnsi="Arial" w:cs="Arial"/>
                <w:b w:val="0"/>
                <w:sz w:val="17"/>
                <w:rtl/>
              </w:rPr>
              <w:t>قدر مطلق تفاوت میانه دو پانل برای C07، C08، A02 در برابر بقیه</w:t>
            </w:r>
          </w:p>
        </w:tc>
        <w:tc>
          <w:tcPr>
            <w:tcW w:type="dxa" w:w="2721"/>
          </w:tcPr>
          <w:p>
            <w:pPr>
              <w:bidi/>
              <w:jc w:val="right"/>
            </w:pPr>
            <w:r>
              <w:rPr>
                <w:rFonts w:ascii="Arial" w:hAnsi="Arial" w:cs="Arial"/>
                <w:rtl/>
              </w:rPr>
            </w:r>
            <w:r>
              <w:rPr>
                <w:rFonts w:ascii="Arial" w:hAnsi="Arial" w:cs="Arial"/>
                <w:b w:val="0"/>
                <w:sz w:val="17"/>
                <w:rtl/>
              </w:rPr>
              <w:t>آزمون جایگشت دقیق</w:t>
            </w:r>
          </w:p>
        </w:tc>
      </w:tr>
    </w:tbl>
    <w:p/>
    <w:p>
      <w:pPr>
        <w:spacing w:after="140" w:line="336" w:lineRule="auto"/>
        <w:bidi/>
        <w:jc w:val="right"/>
      </w:pPr>
      <w:r>
        <w:rPr>
          <w:rFonts w:ascii="Arial" w:hAnsi="Arial" w:cs="Arial"/>
          <w:b w:val="0"/>
          <w:rtl/>
        </w:rPr>
        <w:t>تحلیل‌های حساسیت تصمیم‌ها را (الف) بدون خبرگانی که فقط به دور اول پاسخ دادند، (ب) با حد سخت‌گیرانه‌تر امتیاز 5 به‌تنهایی و (پ) با ادغام دو پانل دوباره محاسبه می‌کنند و هر مولفه‌ای که تصمیمش تغییر کند گزارش می‌شود.</w:t>
      </w:r>
    </w:p>
    <w:p>
      <w:pPr>
        <w:spacing w:after="100" w:line="288" w:lineRule="auto"/>
        <w:bidi/>
        <w:jc w:val="right"/>
      </w:pPr>
      <w:r>
        <w:rPr>
          <w:rFonts w:ascii="Arial" w:hAnsi="Arial" w:cs="Arial"/>
          <w:b/>
          <w:color w:val="1F3864"/>
          <w:sz w:val="25"/>
          <w:rtl/>
        </w:rPr>
        <w:t>3-7. دقت و گزارش‌دهی</w:t>
      </w:r>
    </w:p>
    <w:p>
      <w:pPr>
        <w:spacing w:after="140" w:line="336" w:lineRule="auto"/>
        <w:bidi/>
        <w:jc w:val="right"/>
      </w:pPr>
      <w:r>
        <w:rPr>
          <w:rFonts w:ascii="Arial" w:hAnsi="Arial" w:cs="Arial"/>
          <w:b w:val="0"/>
          <w:rtl/>
        </w:rPr>
        <w:t>ناشناس‌بودن خبرگان نسبت به یکدیگر، هماهنگ‌کننده مستقل، بازخورد کنترل‌شده و پنهان‌ماندن برچسب‌های شواهد از غلبه و لنگر جلوگیری می‌کنند. از هر تغییر در واژه‌بندی، ادغام یا افزودن بین دورها رد حسابرسی نگه می‌داریم، بیانیه موقعیت پژوهشگر می‌آوریم و از فهرست CREDES برای گزارش (Jünger et al., 2017) و PRISMA 2020 برای مرحله 1 (Page et al., 2021) پیروی می‌کنیم.</w:t>
      </w:r>
    </w:p>
    <w:p>
      <w:pPr>
        <w:spacing w:after="100" w:line="288" w:lineRule="auto"/>
        <w:bidi/>
        <w:jc w:val="right"/>
      </w:pPr>
      <w:r>
        <w:rPr>
          <w:rFonts w:ascii="Arial" w:hAnsi="Arial" w:cs="Arial"/>
          <w:b/>
          <w:color w:val="1F3864"/>
          <w:sz w:val="25"/>
          <w:rtl/>
        </w:rPr>
        <w:t>3-8. اخلاق و مدیریت داده</w:t>
      </w:r>
    </w:p>
    <w:p>
      <w:pPr>
        <w:spacing w:after="140" w:line="336" w:lineRule="auto"/>
        <w:bidi/>
        <w:jc w:val="right"/>
      </w:pPr>
      <w:r>
        <w:rPr>
          <w:rFonts w:ascii="Arial" w:hAnsi="Arial" w:cs="Arial"/>
          <w:b w:val="0"/>
          <w:rtl/>
        </w:rPr>
        <w:t>مشارکت داوطلبانه و با رضایت کتبی آگاهانه و حق انصراف بود. پاسخ‌ها فقط با کد شناخته می‌شوند، کلید جدا نگهداری می‌شود و داده‌ها به مدت [پنج] سال روی حافظه رمزگذاری‌شده نگهداری می‌شوند. مطالعه توسط [کمیته، کد تأیید] تأیید شد. ابزارهای هوش مصنوعی مولد فقط برای ویرایش زبان به کار رفتند و نویسندگان همه محتوا و ارجاع‌ها را راستی‌آزمایی کردند.</w:t>
      </w:r>
    </w:p>
    <w:p>
      <w:pPr>
        <w:spacing w:after="140" w:line="288" w:lineRule="auto"/>
        <w:jc w:val="left"/>
      </w:pPr>
      <w:r>
        <w:rPr>
          <w:b/>
          <w:color w:val="1F3864"/>
          <w:sz w:val="26"/>
        </w:rPr>
        <w:t>References</w:t>
      </w:r>
    </w:p>
    <w:p>
      <w:pPr>
        <w:spacing w:after="60" w:line="264" w:lineRule="auto"/>
        <w:ind w:left="567" w:hanging="567"/>
        <w:jc w:val="left"/>
      </w:pPr>
      <w:r>
        <w:rPr>
          <w:b w:val="0"/>
          <w:sz w:val="20"/>
        </w:rPr>
        <w:t>Brislin, R. W. (1970). Back-translation for cross-cultural research. Journal of Cross-Cultural Psychology, 1(3), 185–216.</w:t>
      </w:r>
    </w:p>
    <w:p>
      <w:pPr>
        <w:spacing w:after="60" w:line="264" w:lineRule="auto"/>
        <w:ind w:left="567" w:hanging="567"/>
        <w:jc w:val="left"/>
      </w:pPr>
      <w:r>
        <w:rPr>
          <w:b w:val="0"/>
          <w:sz w:val="20"/>
        </w:rPr>
        <w:t>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60" w:line="264" w:lineRule="auto"/>
        <w:ind w:left="567" w:hanging="567"/>
        <w:jc w:val="left"/>
      </w:pPr>
      <w:r>
        <w:rPr>
          <w:b w:val="0"/>
          <w:sz w:val="20"/>
        </w:rPr>
        <w:t>Diamond, I. R., Grant, R. C., Feldman, B. M., Pencharz, P. B., Ling, S. C., Moore, A. M., &amp; Wales, P. W. (2014). Defining consensus: A systematic review recommends methodologic criteria for reporting of Delphi studies. Journal of Clinical Epidemiology, 67(4), 401–409. https://doi.org/10.1016/j.jclinepi.2013.12.002</w:t>
      </w:r>
    </w:p>
    <w:p>
      <w:pPr>
        <w:spacing w:after="60" w:line="264" w:lineRule="auto"/>
        <w:ind w:left="567" w:hanging="567"/>
        <w:jc w:val="left"/>
      </w:pPr>
      <w:r>
        <w:rPr>
          <w:b w:val="0"/>
          <w:sz w:val="20"/>
        </w:rPr>
        <w:t>Jünger, S., Payne, S. A., Brine, J., Radbruch, L., &amp; Brearley, S. G. (2017). Guidance on Conducting and REporting DElphi Studies (CREDES) in palliative care: Recommendations based on a methodological systematic review. Palliative Medicine, 31(8), 684–706.</w:t>
      </w:r>
    </w:p>
    <w:p>
      <w:pPr>
        <w:spacing w:after="60" w:line="264" w:lineRule="auto"/>
        <w:ind w:left="567" w:hanging="567"/>
        <w:jc w:val="left"/>
      </w:pPr>
      <w:r>
        <w:rPr>
          <w:b w:val="0"/>
          <w:sz w:val="20"/>
        </w:rPr>
        <w:t>Lawshe, C. H. (1975). A quantitative approach to content validity. Personnel Psychology, 28(4), 563–575. https://doi.org/10.1111/j.1744-6570.1975.tb01393.x</w:t>
      </w:r>
    </w:p>
    <w:p>
      <w:pPr>
        <w:spacing w:after="60" w:line="264" w:lineRule="auto"/>
        <w:ind w:left="567" w:hanging="567"/>
        <w:jc w:val="left"/>
      </w:pPr>
      <w:r>
        <w:rPr>
          <w:b w:val="0"/>
          <w:sz w:val="20"/>
        </w:rPr>
        <w:t>Okoli, C., &amp; Pawlowski, S. D. (2004). The Delphi method as a research tool: An example, design considerations and applications. Information &amp; Management, 42(1), 15–29.</w:t>
      </w:r>
    </w:p>
    <w:p>
      <w:pPr>
        <w:spacing w:after="60" w:line="264" w:lineRule="auto"/>
        <w:ind w:left="567" w:hanging="567"/>
        <w:jc w:val="left"/>
      </w:pPr>
      <w:r>
        <w:rPr>
          <w:b w:val="0"/>
          <w:sz w:val="20"/>
        </w:rPr>
        <w:t>Page, M. J., McKenzie, J. E., Bossuyt, P. M., et al. (2021). The PRISMA 2020 statement: An updated guideline for reporting systematic reviews. BMJ, 372, n71. https://doi.org/10.1136/bmj.n71</w:t>
      </w:r>
    </w:p>
    <w:p>
      <w:pPr>
        <w:spacing w:after="60" w:line="264" w:lineRule="auto"/>
        <w:ind w:left="567" w:hanging="567"/>
        <w:jc w:val="left"/>
      </w:pPr>
      <w:r>
        <w:rPr>
          <w:b w:val="0"/>
          <w:sz w:val="20"/>
        </w:rPr>
        <w:t>Skulmoski, G. J., Hartman, F. T., &amp; Krahn, J. (2007). The Delphi method for graduate research. Journal of Information Technology Education, 6.</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