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64" w:lineRule="auto"/>
        <w:jc w:val="center"/>
      </w:pPr>
      <w:r>
        <w:rPr>
          <w:b w:val="0"/>
          <w:color w:val="5A5A5A"/>
          <w:sz w:val="19"/>
        </w:rPr>
        <w:t>Paper 2 of 2: Methodology</w:t>
      </w:r>
    </w:p>
    <w:p>
      <w:pPr>
        <w:spacing w:after="140" w:line="288" w:lineRule="auto"/>
        <w:jc w:val="left"/>
      </w:pPr>
      <w:r>
        <w:rPr>
          <w:b/>
          <w:color w:val="1F3864"/>
          <w:sz w:val="30"/>
        </w:rPr>
        <w:t>3. Methodology</w:t>
      </w:r>
    </w:p>
    <w:p>
      <w:pPr>
        <w:spacing w:after="100" w:line="288" w:lineRule="auto"/>
        <w:jc w:val="left"/>
      </w:pPr>
      <w:r>
        <w:rPr>
          <w:b/>
          <w:color w:val="1F3864"/>
          <w:sz w:val="25"/>
        </w:rPr>
        <w:t>3.1 Research design</w:t>
      </w:r>
    </w:p>
    <w:p>
      <w:pPr>
        <w:spacing w:after="140" w:line="336" w:lineRule="auto"/>
        <w:jc w:val="both"/>
      </w:pPr>
      <w:r>
        <w:rPr>
          <w:b w:val="0"/>
        </w:rPr>
        <w:t>The study is a cross-sectional survey of two populations, professionals from audited entities and auditors, that tests the structural model of Section 2 using variance-based structural equation modelling (PLS-SEM). The constructs and their indicators come from the companion study (Authors, [year]). PLS-SEM is chosen because the model is prediction- and theory-development-oriented, contains composite constructs formed from distinct components, includes interaction terms and mediation, and is estimated on samples drawn from small professional populations (Hair et al., 2019).</w:t>
      </w:r>
    </w:p>
    <w:p>
      <w:pPr>
        <w:spacing w:after="100" w:line="288" w:lineRule="auto"/>
        <w:jc w:val="left"/>
      </w:pPr>
      <w:r>
        <w:rPr>
          <w:b/>
          <w:color w:val="1F3864"/>
          <w:sz w:val="25"/>
        </w:rPr>
        <w:t>3.2 Populations, sampling and procedure</w:t>
      </w:r>
    </w:p>
    <w:p>
      <w:pPr>
        <w:spacing w:after="140" w:line="336" w:lineRule="auto"/>
        <w:jc w:val="both"/>
      </w:pPr>
      <w:r>
        <w:rPr>
          <w:b w:val="0"/>
        </w:rPr>
        <w:t>Population A comprises professionals of audited entities with responsibility for, or direct experience of, cyber risk assessment in their dealings with auditors (information security and IT managers, internal auditors, risk managers). Population B comprises auditors with experience of assessing cyber or IT risk in audits (independent auditors, IT auditors and auditors of the Audit Organization). A screening question requires at least [two] years of such experience. Because no complete sampling frame exists, we use purposive sampling through the registers of professional bodies where accessible, institutional contacts and referral, with quotas for sector and organization or firm size, and we report the invited, responding and usable cases and the response rate for each group. The questionnaire is administered online and on paper in Persian, anonymously.</w:t>
      </w:r>
    </w:p>
    <w:p>
      <w:pPr>
        <w:spacing w:after="140" w:line="336" w:lineRule="auto"/>
        <w:jc w:val="both"/>
      </w:pPr>
      <w:r>
        <w:rPr>
          <w:b w:val="0"/>
        </w:rPr>
        <w:t>Sample size was planned with the inverse square root method (Kock &amp; Hadaya, 2018), which gives a minimum n of (2.486 / |p_min|)², where p_min is the smallest path coefficient to be detected at the 5% level (one-tailed) with 80% power. For p_min = 0.25 the minimum is 99 per group. To support the multi-group analysis we target at least [120] usable responses per group. The value of p_min is a design assumption; after data collection we report the minimum detectable effect for the achieved sample, and where a group falls below the minimum we treat its comparisons, and the interaction hypotheses H4a and H4b, as exploratory.</w:t>
      </w:r>
    </w:p>
    <w:p>
      <w:pPr>
        <w:spacing w:after="100" w:line="288" w:lineRule="auto"/>
        <w:jc w:val="left"/>
      </w:pPr>
      <w:r>
        <w:rPr>
          <w:b/>
          <w:color w:val="1F3864"/>
          <w:sz w:val="25"/>
        </w:rPr>
        <w:t>3.3 Measures</w:t>
      </w:r>
    </w:p>
    <w:p>
      <w:pPr>
        <w:spacing w:after="140" w:line="336" w:lineRule="auto"/>
        <w:jc w:val="both"/>
      </w:pPr>
      <w:r>
        <w:rPr>
          <w:b w:val="0"/>
        </w:rPr>
        <w:t>Items were generated from the components retained by the Delphi study, using the experts' wording and their assignment of components to constructs. Every item has two parallel forms, one for entity respondents (about the cyber risk assessment carried out in the audit of their entity) and one for auditors (about assessments they perform), with identical content so that invariance can be tested. Items use a seven-point extent scale (1 = not at all to 7 = to a very great extent). The instrument was prepared in English, translated into Persian and back-translated (Brislin, 1970), and assessed by [five to eight] experts outside the earlier panels for relevance and clarity, summarized by content validity ratios (Lawshe, 1975). A pilot with about [30] respondents outside the sample tests clarity and completion time, and a test–retest on [20–30] pilot respondents after two weeks estimates the stability of single items (intraclass correlation).</w:t>
      </w:r>
    </w:p>
    <w:p>
      <w:pPr>
        <w:spacing w:after="140" w:line="336" w:lineRule="auto"/>
        <w:jc w:val="both"/>
      </w:pPr>
      <w:r>
        <w:rPr>
          <w:b w:val="0"/>
        </w:rPr>
        <w:t>The measurement plan (Table 3) follows from the nature of the constructs. TVI, CCE, COL, RRJ and MOL are composites whose components are distinct facets: an asset inventory is not a substitute for a vulnerability review, and an access-control review is not a substitute for a change-management review. For such constructs the indicators must cover the content domain rather than correlate with one another, and internal consistency is not a criterion (Diamantopoulos &amp; Winklhofer, 2001). Each retained component is therefore represented by one item, and the items form a formative composite for the construct. Several items per component would not add information, and would turn a 30-component instrument into one of about 90 items, which is unrealistic for small and busy professional populations. A component that the Delphi comments show to be multi-faceted receives two items, combined into a first-order composite before entering the construct (a two-stage, reflective–formative specification; Sarstedt et al., 2019). The costs of single items are managed by the content validation, the pilot test–retest and a redundancy item for each composite: a global item summarizing the construct, used to test convergent validity. PEF is the outcome and is measured reflectively: four items derived from the reporting-related components (C21, A07, A08, A09) and two global items on perceived effectiveness. Context variables (C02, C03, C19) enter as single items, together with entity size, sector, respondent experience, certification and type of auditor. If components are dropped, merged or added after the Delphi study, the item counts in Table 3 change accordingly.</w:t>
      </w:r>
    </w:p>
    <w:p>
      <w:pPr>
        <w:spacing w:after="60" w:line="264" w:lineRule="auto"/>
        <w:jc w:val="left"/>
      </w:pPr>
      <w:r>
        <w:rPr>
          <w:b/>
          <w:sz w:val="21"/>
        </w:rPr>
        <w:t>Table 3. Measurement plan (item counts are finalized after the Delphi study)</w:t>
      </w:r>
    </w:p>
    <w:tbl>
      <w:tblPr>
        <w:tblStyle w:val="TableGrid"/>
        <w:tblW w:type="auto" w:w="0"/>
        <w:tblLayout w:type="fixed"/>
        <w:tblLook w:firstColumn="1" w:firstRow="1" w:lastColumn="0" w:lastRow="0" w:noHBand="0" w:noVBand="1" w:val="04A0"/>
      </w:tblPr>
      <w:tblGrid>
        <w:gridCol w:w="1020"/>
        <w:gridCol w:w="1701"/>
        <w:gridCol w:w="2608"/>
        <w:gridCol w:w="1020"/>
        <w:gridCol w:w="2835"/>
      </w:tblGrid>
      <w:tr>
        <w:tc>
          <w:tcPr>
            <w:tcW w:type="dxa" w:w="1020"/>
            <w:shd w:val="clear" w:color="auto" w:fill="1F3864"/>
          </w:tcPr>
          <w:p>
            <w:pPr>
              <w:jc w:val="left"/>
            </w:pPr>
            <w:r/>
            <w:r>
              <w:rPr>
                <w:b/>
                <w:color w:val="FFFFFF"/>
                <w:sz w:val="17"/>
              </w:rPr>
              <w:t>Construct</w:t>
            </w:r>
          </w:p>
        </w:tc>
        <w:tc>
          <w:tcPr>
            <w:tcW w:type="dxa" w:w="1701"/>
            <w:shd w:val="clear" w:color="auto" w:fill="1F3864"/>
          </w:tcPr>
          <w:p>
            <w:pPr>
              <w:jc w:val="left"/>
            </w:pPr>
            <w:r/>
            <w:r>
              <w:rPr>
                <w:b/>
                <w:color w:val="FFFFFF"/>
                <w:sz w:val="17"/>
              </w:rPr>
              <w:t>Type</w:t>
            </w:r>
          </w:p>
        </w:tc>
        <w:tc>
          <w:tcPr>
            <w:tcW w:type="dxa" w:w="2608"/>
            <w:shd w:val="clear" w:color="auto" w:fill="1F3864"/>
          </w:tcPr>
          <w:p>
            <w:pPr>
              <w:jc w:val="left"/>
            </w:pPr>
            <w:r/>
            <w:r>
              <w:rPr>
                <w:b/>
                <w:color w:val="FFFFFF"/>
                <w:sz w:val="17"/>
              </w:rPr>
              <w:t>Component items</w:t>
            </w:r>
          </w:p>
        </w:tc>
        <w:tc>
          <w:tcPr>
            <w:tcW w:type="dxa" w:w="1020"/>
            <w:shd w:val="clear" w:color="auto" w:fill="1F3864"/>
          </w:tcPr>
          <w:p>
            <w:pPr>
              <w:jc w:val="left"/>
            </w:pPr>
            <w:r/>
            <w:r>
              <w:rPr>
                <w:b/>
                <w:color w:val="FFFFFF"/>
                <w:sz w:val="17"/>
              </w:rPr>
              <w:t>Global items</w:t>
            </w:r>
          </w:p>
        </w:tc>
        <w:tc>
          <w:tcPr>
            <w:tcW w:type="dxa" w:w="2835"/>
            <w:shd w:val="clear" w:color="auto" w:fill="1F3864"/>
          </w:tcPr>
          <w:p>
            <w:pPr>
              <w:jc w:val="left"/>
            </w:pPr>
            <w:r/>
            <w:r>
              <w:rPr>
                <w:b/>
                <w:color w:val="FFFFFF"/>
                <w:sz w:val="17"/>
              </w:rPr>
              <w:t>Name</w:t>
            </w:r>
          </w:p>
        </w:tc>
      </w:tr>
      <w:tr>
        <w:tc>
          <w:tcPr>
            <w:tcW w:type="dxa" w:w="1020"/>
          </w:tcPr>
          <w:p>
            <w:pPr>
              <w:jc w:val="left"/>
            </w:pPr>
            <w:r/>
            <w:r>
              <w:rPr>
                <w:b w:val="0"/>
                <w:sz w:val="17"/>
              </w:rPr>
              <w:t>TVI</w:t>
            </w:r>
          </w:p>
        </w:tc>
        <w:tc>
          <w:tcPr>
            <w:tcW w:type="dxa" w:w="1701"/>
          </w:tcPr>
          <w:p>
            <w:pPr>
              <w:jc w:val="left"/>
            </w:pPr>
            <w:r/>
            <w:r>
              <w:rPr>
                <w:b w:val="0"/>
                <w:sz w:val="17"/>
              </w:rPr>
              <w:t>Formative composite</w:t>
            </w:r>
          </w:p>
        </w:tc>
        <w:tc>
          <w:tcPr>
            <w:tcW w:type="dxa" w:w="2608"/>
          </w:tcPr>
          <w:p>
            <w:pPr>
              <w:jc w:val="left"/>
            </w:pPr>
            <w:r/>
            <w:r>
              <w:rPr>
                <w:b w:val="0"/>
                <w:sz w:val="17"/>
              </w:rPr>
              <w:t>4: C04, C05, C06, A01</w:t>
            </w:r>
          </w:p>
        </w:tc>
        <w:tc>
          <w:tcPr>
            <w:tcW w:type="dxa" w:w="1020"/>
          </w:tcPr>
          <w:p>
            <w:pPr>
              <w:jc w:val="left"/>
            </w:pPr>
            <w:r/>
            <w:r>
              <w:rPr>
                <w:b w:val="0"/>
                <w:sz w:val="17"/>
              </w:rPr>
              <w:t>1</w:t>
            </w:r>
          </w:p>
        </w:tc>
        <w:tc>
          <w:tcPr>
            <w:tcW w:type="dxa" w:w="2835"/>
          </w:tcPr>
          <w:p>
            <w:pPr>
              <w:jc w:val="left"/>
            </w:pPr>
            <w:r/>
            <w:r>
              <w:rPr>
                <w:b w:val="0"/>
                <w:sz w:val="17"/>
              </w:rPr>
              <w:t>Threat and vulnerability identification</w:t>
            </w:r>
          </w:p>
        </w:tc>
      </w:tr>
      <w:tr>
        <w:tc>
          <w:tcPr>
            <w:tcW w:type="dxa" w:w="1020"/>
          </w:tcPr>
          <w:p>
            <w:pPr>
              <w:jc w:val="left"/>
            </w:pPr>
            <w:r/>
            <w:r>
              <w:rPr>
                <w:b w:val="0"/>
                <w:sz w:val="17"/>
              </w:rPr>
              <w:t>CCE</w:t>
            </w:r>
          </w:p>
        </w:tc>
        <w:tc>
          <w:tcPr>
            <w:tcW w:type="dxa" w:w="1701"/>
          </w:tcPr>
          <w:p>
            <w:pPr>
              <w:jc w:val="left"/>
            </w:pPr>
            <w:r/>
            <w:r>
              <w:rPr>
                <w:b w:val="0"/>
                <w:sz w:val="17"/>
              </w:rPr>
              <w:t>Formative composite</w:t>
            </w:r>
          </w:p>
        </w:tc>
        <w:tc>
          <w:tcPr>
            <w:tcW w:type="dxa" w:w="2608"/>
          </w:tcPr>
          <w:p>
            <w:pPr>
              <w:jc w:val="left"/>
            </w:pPr>
            <w:r/>
            <w:r>
              <w:rPr>
                <w:b w:val="0"/>
                <w:sz w:val="17"/>
              </w:rPr>
              <w:t>9: C09–C15, A03, A04</w:t>
            </w:r>
          </w:p>
        </w:tc>
        <w:tc>
          <w:tcPr>
            <w:tcW w:type="dxa" w:w="1020"/>
          </w:tcPr>
          <w:p>
            <w:pPr>
              <w:jc w:val="left"/>
            </w:pPr>
            <w:r/>
            <w:r>
              <w:rPr>
                <w:b w:val="0"/>
                <w:sz w:val="17"/>
              </w:rPr>
              <w:t>1</w:t>
            </w:r>
          </w:p>
        </w:tc>
        <w:tc>
          <w:tcPr>
            <w:tcW w:type="dxa" w:w="2835"/>
          </w:tcPr>
          <w:p>
            <w:pPr>
              <w:jc w:val="left"/>
            </w:pPr>
            <w:r/>
            <w:r>
              <w:rPr>
                <w:b w:val="0"/>
                <w:sz w:val="17"/>
              </w:rPr>
              <w:t>Control maturity and effectiveness evaluation</w:t>
            </w:r>
          </w:p>
        </w:tc>
      </w:tr>
      <w:tr>
        <w:tc>
          <w:tcPr>
            <w:tcW w:type="dxa" w:w="1020"/>
          </w:tcPr>
          <w:p>
            <w:pPr>
              <w:jc w:val="left"/>
            </w:pPr>
            <w:r/>
            <w:r>
              <w:rPr>
                <w:b w:val="0"/>
                <w:sz w:val="17"/>
              </w:rPr>
              <w:t>COL</w:t>
            </w:r>
          </w:p>
        </w:tc>
        <w:tc>
          <w:tcPr>
            <w:tcW w:type="dxa" w:w="1701"/>
          </w:tcPr>
          <w:p>
            <w:pPr>
              <w:jc w:val="left"/>
            </w:pPr>
            <w:r/>
            <w:r>
              <w:rPr>
                <w:b w:val="0"/>
                <w:sz w:val="17"/>
              </w:rPr>
              <w:t>Formative composite</w:t>
            </w:r>
          </w:p>
        </w:tc>
        <w:tc>
          <w:tcPr>
            <w:tcW w:type="dxa" w:w="2608"/>
          </w:tcPr>
          <w:p>
            <w:pPr>
              <w:jc w:val="left"/>
            </w:pPr>
            <w:r/>
            <w:r>
              <w:rPr>
                <w:b w:val="0"/>
                <w:sz w:val="17"/>
              </w:rPr>
              <w:t>3: C01, A05, A06</w:t>
            </w:r>
          </w:p>
        </w:tc>
        <w:tc>
          <w:tcPr>
            <w:tcW w:type="dxa" w:w="1020"/>
          </w:tcPr>
          <w:p>
            <w:pPr>
              <w:jc w:val="left"/>
            </w:pPr>
            <w:r/>
            <w:r>
              <w:rPr>
                <w:b w:val="0"/>
                <w:sz w:val="17"/>
              </w:rPr>
              <w:t>1</w:t>
            </w:r>
          </w:p>
        </w:tc>
        <w:tc>
          <w:tcPr>
            <w:tcW w:type="dxa" w:w="2835"/>
          </w:tcPr>
          <w:p>
            <w:pPr>
              <w:jc w:val="left"/>
            </w:pPr>
            <w:r/>
            <w:r>
              <w:rPr>
                <w:b w:val="0"/>
                <w:sz w:val="17"/>
              </w:rPr>
              <w:t>Auditor–specialist collaboration and competence</w:t>
            </w:r>
          </w:p>
        </w:tc>
      </w:tr>
      <w:tr>
        <w:tc>
          <w:tcPr>
            <w:tcW w:type="dxa" w:w="1020"/>
          </w:tcPr>
          <w:p>
            <w:pPr>
              <w:jc w:val="left"/>
            </w:pPr>
            <w:r/>
            <w:r>
              <w:rPr>
                <w:b w:val="0"/>
                <w:sz w:val="17"/>
              </w:rPr>
              <w:t>RRJ</w:t>
            </w:r>
          </w:p>
        </w:tc>
        <w:tc>
          <w:tcPr>
            <w:tcW w:type="dxa" w:w="1701"/>
          </w:tcPr>
          <w:p>
            <w:pPr>
              <w:jc w:val="left"/>
            </w:pPr>
            <w:r/>
            <w:r>
              <w:rPr>
                <w:b w:val="0"/>
                <w:sz w:val="17"/>
              </w:rPr>
              <w:t>Formative composite</w:t>
            </w:r>
          </w:p>
        </w:tc>
        <w:tc>
          <w:tcPr>
            <w:tcW w:type="dxa" w:w="2608"/>
          </w:tcPr>
          <w:p>
            <w:pPr>
              <w:jc w:val="left"/>
            </w:pPr>
            <w:r/>
            <w:r>
              <w:rPr>
                <w:b w:val="0"/>
                <w:sz w:val="17"/>
              </w:rPr>
              <w:t>3: C07, C08, A02</w:t>
            </w:r>
          </w:p>
        </w:tc>
        <w:tc>
          <w:tcPr>
            <w:tcW w:type="dxa" w:w="1020"/>
          </w:tcPr>
          <w:p>
            <w:pPr>
              <w:jc w:val="left"/>
            </w:pPr>
            <w:r/>
            <w:r>
              <w:rPr>
                <w:b w:val="0"/>
                <w:sz w:val="17"/>
              </w:rPr>
              <w:t>1</w:t>
            </w:r>
          </w:p>
        </w:tc>
        <w:tc>
          <w:tcPr>
            <w:tcW w:type="dxa" w:w="2835"/>
          </w:tcPr>
          <w:p>
            <w:pPr>
              <w:jc w:val="left"/>
            </w:pPr>
            <w:r/>
            <w:r>
              <w:rPr>
                <w:b w:val="0"/>
                <w:sz w:val="17"/>
              </w:rPr>
              <w:t>Residual-risk judgment</w:t>
            </w:r>
          </w:p>
        </w:tc>
      </w:tr>
      <w:tr>
        <w:tc>
          <w:tcPr>
            <w:tcW w:type="dxa" w:w="1020"/>
          </w:tcPr>
          <w:p>
            <w:pPr>
              <w:jc w:val="left"/>
            </w:pPr>
            <w:r/>
            <w:r>
              <w:rPr>
                <w:b w:val="0"/>
                <w:sz w:val="17"/>
              </w:rPr>
              <w:t>MOL</w:t>
            </w:r>
          </w:p>
        </w:tc>
        <w:tc>
          <w:tcPr>
            <w:tcW w:type="dxa" w:w="1701"/>
          </w:tcPr>
          <w:p>
            <w:pPr>
              <w:jc w:val="left"/>
            </w:pPr>
            <w:r/>
            <w:r>
              <w:rPr>
                <w:b w:val="0"/>
                <w:sz w:val="17"/>
              </w:rPr>
              <w:t>Formative composite</w:t>
            </w:r>
          </w:p>
        </w:tc>
        <w:tc>
          <w:tcPr>
            <w:tcW w:type="dxa" w:w="2608"/>
          </w:tcPr>
          <w:p>
            <w:pPr>
              <w:jc w:val="left"/>
            </w:pPr>
            <w:r/>
            <w:r>
              <w:rPr>
                <w:b w:val="0"/>
                <w:sz w:val="17"/>
              </w:rPr>
              <w:t>4: C16, C17, C18, C20</w:t>
            </w:r>
          </w:p>
        </w:tc>
        <w:tc>
          <w:tcPr>
            <w:tcW w:type="dxa" w:w="1020"/>
          </w:tcPr>
          <w:p>
            <w:pPr>
              <w:jc w:val="left"/>
            </w:pPr>
            <w:r/>
            <w:r>
              <w:rPr>
                <w:b w:val="0"/>
                <w:sz w:val="17"/>
              </w:rPr>
              <w:t>1</w:t>
            </w:r>
          </w:p>
        </w:tc>
        <w:tc>
          <w:tcPr>
            <w:tcW w:type="dxa" w:w="2835"/>
          </w:tcPr>
          <w:p>
            <w:pPr>
              <w:jc w:val="left"/>
            </w:pPr>
            <w:r/>
            <w:r>
              <w:rPr>
                <w:b w:val="0"/>
                <w:sz w:val="17"/>
              </w:rPr>
              <w:t>Monitoring and organizational learning</w:t>
            </w:r>
          </w:p>
        </w:tc>
      </w:tr>
      <w:tr>
        <w:tc>
          <w:tcPr>
            <w:tcW w:type="dxa" w:w="1020"/>
          </w:tcPr>
          <w:p>
            <w:pPr>
              <w:jc w:val="left"/>
            </w:pPr>
            <w:r/>
            <w:r>
              <w:rPr>
                <w:b w:val="0"/>
                <w:sz w:val="17"/>
              </w:rPr>
              <w:t>PEF</w:t>
            </w:r>
          </w:p>
        </w:tc>
        <w:tc>
          <w:tcPr>
            <w:tcW w:type="dxa" w:w="1701"/>
          </w:tcPr>
          <w:p>
            <w:pPr>
              <w:jc w:val="left"/>
            </w:pPr>
            <w:r/>
            <w:r>
              <w:rPr>
                <w:b w:val="0"/>
                <w:sz w:val="17"/>
              </w:rPr>
              <w:t>Reflective outcome</w:t>
            </w:r>
          </w:p>
        </w:tc>
        <w:tc>
          <w:tcPr>
            <w:tcW w:type="dxa" w:w="2608"/>
          </w:tcPr>
          <w:p>
            <w:pPr>
              <w:jc w:val="left"/>
            </w:pPr>
            <w:r/>
            <w:r>
              <w:rPr>
                <w:b w:val="0"/>
                <w:sz w:val="17"/>
              </w:rPr>
              <w:t>4 items from C21, A07, A08, A09</w:t>
            </w:r>
          </w:p>
        </w:tc>
        <w:tc>
          <w:tcPr>
            <w:tcW w:type="dxa" w:w="1020"/>
          </w:tcPr>
          <w:p>
            <w:pPr>
              <w:jc w:val="left"/>
            </w:pPr>
            <w:r/>
            <w:r>
              <w:rPr>
                <w:b w:val="0"/>
                <w:sz w:val="17"/>
              </w:rPr>
              <w:t>2</w:t>
            </w:r>
          </w:p>
        </w:tc>
        <w:tc>
          <w:tcPr>
            <w:tcW w:type="dxa" w:w="2835"/>
          </w:tcPr>
          <w:p>
            <w:pPr>
              <w:jc w:val="left"/>
            </w:pPr>
            <w:r/>
            <w:r>
              <w:rPr>
                <w:b w:val="0"/>
                <w:sz w:val="17"/>
              </w:rPr>
              <w:t>Effectiveness of the assessment process</w:t>
            </w:r>
          </w:p>
        </w:tc>
      </w:tr>
      <w:tr>
        <w:tc>
          <w:tcPr>
            <w:tcW w:type="dxa" w:w="1020"/>
          </w:tcPr>
          <w:p>
            <w:pPr>
              <w:jc w:val="left"/>
            </w:pPr>
            <w:r/>
            <w:r>
              <w:rPr>
                <w:b w:val="0"/>
                <w:sz w:val="17"/>
              </w:rPr>
              <w:t>Context</w:t>
            </w:r>
          </w:p>
        </w:tc>
        <w:tc>
          <w:tcPr>
            <w:tcW w:type="dxa" w:w="1701"/>
          </w:tcPr>
          <w:p>
            <w:pPr>
              <w:jc w:val="left"/>
            </w:pPr>
            <w:r/>
            <w:r>
              <w:rPr>
                <w:b w:val="0"/>
                <w:sz w:val="17"/>
              </w:rPr>
              <w:t>Single items</w:t>
            </w:r>
          </w:p>
        </w:tc>
        <w:tc>
          <w:tcPr>
            <w:tcW w:type="dxa" w:w="2608"/>
          </w:tcPr>
          <w:p>
            <w:pPr>
              <w:jc w:val="left"/>
            </w:pPr>
            <w:r/>
            <w:r>
              <w:rPr>
                <w:b w:val="0"/>
                <w:sz w:val="17"/>
              </w:rPr>
              <w:t>3: C02, C03, C19</w:t>
            </w:r>
          </w:p>
        </w:tc>
        <w:tc>
          <w:tcPr>
            <w:tcW w:type="dxa" w:w="1020"/>
          </w:tcPr>
          <w:p>
            <w:pPr>
              <w:jc w:val="left"/>
            </w:pPr>
            <w:r/>
            <w:r>
              <w:rPr>
                <w:b w:val="0"/>
                <w:sz w:val="17"/>
              </w:rPr>
              <w:t>—</w:t>
            </w:r>
          </w:p>
        </w:tc>
        <w:tc>
          <w:tcPr>
            <w:tcW w:type="dxa" w:w="2835"/>
          </w:tcPr>
          <w:p>
            <w:pPr>
              <w:jc w:val="left"/>
            </w:pPr>
            <w:r/>
            <w:r>
              <w:rPr>
                <w:b w:val="0"/>
                <w:sz w:val="17"/>
              </w:rPr>
              <w:t>Policy and scope, legal requirements</w:t>
            </w:r>
          </w:p>
        </w:tc>
      </w:tr>
    </w:tbl>
    <w:p/>
    <w:p>
      <w:pPr>
        <w:spacing w:after="100" w:line="288" w:lineRule="auto"/>
        <w:jc w:val="left"/>
      </w:pPr>
      <w:r>
        <w:rPr>
          <w:b/>
          <w:color w:val="1F3864"/>
          <w:sz w:val="25"/>
        </w:rPr>
        <w:t>3.4 Data screening and common method bias</w:t>
      </w:r>
    </w:p>
    <w:p>
      <w:pPr>
        <w:spacing w:after="140" w:line="336" w:lineRule="auto"/>
        <w:jc w:val="both"/>
      </w:pPr>
      <w:r>
        <w:rPr>
          <w:b w:val="0"/>
        </w:rPr>
        <w:t>We screen for missing data (pattern and percentage), straight-lining, an embedded attention check, implausibly short completion times and outliers, and compare early and late respondents and respondent characteristics with the available frame to assess non-response bias. Common method bias is addressed procedurally by anonymity, separation of predictor and outcome sections and neutral wording (Podsakoff et al., 2003), and statistically by the full-collinearity variance inflation factors, with the conventional cut-off of 3.3 (Kock, 2015).</w:t>
      </w:r>
    </w:p>
    <w:p>
      <w:pPr>
        <w:spacing w:after="100" w:line="288" w:lineRule="auto"/>
        <w:jc w:val="left"/>
      </w:pPr>
      <w:r>
        <w:rPr>
          <w:b/>
          <w:color w:val="1F3864"/>
          <w:sz w:val="25"/>
        </w:rPr>
        <w:t>3.5 Analysis strategy</w:t>
      </w:r>
    </w:p>
    <w:p>
      <w:pPr>
        <w:spacing w:after="140" w:line="336" w:lineRule="auto"/>
        <w:jc w:val="both"/>
      </w:pPr>
      <w:r>
        <w:rPr>
          <w:b w:val="0"/>
        </w:rPr>
        <w:t>Analysis follows the reporting recommendations of Hair et al. (2019). The measurement models are assessed first (Table 4). The structural model is then assessed for collinearity, path coefficients and their bootstrap confidence intervals (at least 5,000 resamples), explained variance (R²), effect sizes (f²) and out-of-sample predictive power with PLSpredict (Hair et al., 2019). Mediation (H8) is tested with bootstrapped indirect effects, and moderation (H4) with a two-stage product-term approach and simple-slope plots. For the group comparison (H10) we first test measurement invariance of composites in three steps, configural invariance, compositional invariance by permutation, and equality of composite means and variances (Henseler et al., 2016), and compare paths by permutation-based multi-group analysis only where at least partial invariance is established, with Holm correction across paths; otherwise group models are reported side by side descriptively. Robustness checks re-estimate the model without outliers, with equal-weight composites, with a reflective specification for the constructs, and with the control variables added.</w:t>
      </w:r>
    </w:p>
    <w:p>
      <w:pPr>
        <w:spacing w:after="60" w:line="264" w:lineRule="auto"/>
        <w:jc w:val="left"/>
      </w:pPr>
      <w:r>
        <w:rPr>
          <w:b/>
          <w:sz w:val="21"/>
        </w:rPr>
        <w:t>Table 4. Assessment criteria</w:t>
      </w:r>
    </w:p>
    <w:tbl>
      <w:tblPr>
        <w:tblStyle w:val="TableGrid"/>
        <w:tblW w:type="auto" w:w="0"/>
        <w:tblLayout w:type="fixed"/>
        <w:tblLook w:firstColumn="1" w:firstRow="1" w:lastColumn="0" w:lastRow="0" w:noHBand="0" w:noVBand="1" w:val="04A0"/>
      </w:tblPr>
      <w:tblGrid>
        <w:gridCol w:w="1814"/>
        <w:gridCol w:w="5102"/>
        <w:gridCol w:w="2268"/>
      </w:tblGrid>
      <w:tr>
        <w:tc>
          <w:tcPr>
            <w:tcW w:type="dxa" w:w="1814"/>
            <w:shd w:val="clear" w:color="auto" w:fill="1F3864"/>
          </w:tcPr>
          <w:p>
            <w:pPr>
              <w:jc w:val="left"/>
            </w:pPr>
            <w:r/>
            <w:r>
              <w:rPr>
                <w:b/>
                <w:color w:val="FFFFFF"/>
                <w:sz w:val="17"/>
              </w:rPr>
              <w:t>Element</w:t>
            </w:r>
          </w:p>
        </w:tc>
        <w:tc>
          <w:tcPr>
            <w:tcW w:type="dxa" w:w="5102"/>
            <w:shd w:val="clear" w:color="auto" w:fill="1F3864"/>
          </w:tcPr>
          <w:p>
            <w:pPr>
              <w:jc w:val="left"/>
            </w:pPr>
            <w:r/>
            <w:r>
              <w:rPr>
                <w:b/>
                <w:color w:val="FFFFFF"/>
                <w:sz w:val="17"/>
              </w:rPr>
              <w:t>Criterion</w:t>
            </w:r>
          </w:p>
        </w:tc>
        <w:tc>
          <w:tcPr>
            <w:tcW w:type="dxa" w:w="2268"/>
            <w:shd w:val="clear" w:color="auto" w:fill="1F3864"/>
          </w:tcPr>
          <w:p>
            <w:pPr>
              <w:jc w:val="left"/>
            </w:pPr>
            <w:r/>
            <w:r>
              <w:rPr>
                <w:b/>
                <w:color w:val="FFFFFF"/>
                <w:sz w:val="17"/>
              </w:rPr>
              <w:t>Source</w:t>
            </w:r>
          </w:p>
        </w:tc>
      </w:tr>
      <w:tr>
        <w:tc>
          <w:tcPr>
            <w:tcW w:type="dxa" w:w="1814"/>
          </w:tcPr>
          <w:p>
            <w:pPr>
              <w:jc w:val="left"/>
            </w:pPr>
            <w:r/>
            <w:r>
              <w:rPr>
                <w:b w:val="0"/>
                <w:sz w:val="17"/>
              </w:rPr>
              <w:t>Formative composites</w:t>
            </w:r>
          </w:p>
        </w:tc>
        <w:tc>
          <w:tcPr>
            <w:tcW w:type="dxa" w:w="5102"/>
          </w:tcPr>
          <w:p>
            <w:pPr>
              <w:jc w:val="left"/>
            </w:pPr>
            <w:r/>
            <w:r>
              <w:rPr>
                <w:b w:val="0"/>
                <w:sz w:val="17"/>
              </w:rPr>
              <w:t>Indicator collinearity: VIF below 3 (values near 5 are critical); outer weights and loadings with bootstrap confidence intervals; an indicator with a non-significant weight but a loading of at least 0.50 is retained on content grounds; redundancy analysis: path from the composite to its global item of at least 0.70 (conventional)</w:t>
            </w:r>
          </w:p>
        </w:tc>
        <w:tc>
          <w:tcPr>
            <w:tcW w:type="dxa" w:w="2268"/>
          </w:tcPr>
          <w:p>
            <w:pPr>
              <w:jc w:val="left"/>
            </w:pPr>
            <w:r/>
            <w:r>
              <w:rPr>
                <w:b w:val="0"/>
                <w:sz w:val="17"/>
              </w:rPr>
              <w:t>Diamantopoulos &amp; Winklhofer (2001); Hair et al. (2019)</w:t>
            </w:r>
          </w:p>
        </w:tc>
      </w:tr>
      <w:tr>
        <w:tc>
          <w:tcPr>
            <w:tcW w:type="dxa" w:w="1814"/>
          </w:tcPr>
          <w:p>
            <w:pPr>
              <w:jc w:val="left"/>
            </w:pPr>
            <w:r/>
            <w:r>
              <w:rPr>
                <w:b w:val="0"/>
                <w:sz w:val="17"/>
              </w:rPr>
              <w:t>Reflective outcome (PEF)</w:t>
            </w:r>
          </w:p>
        </w:tc>
        <w:tc>
          <w:tcPr>
            <w:tcW w:type="dxa" w:w="5102"/>
          </w:tcPr>
          <w:p>
            <w:pPr>
              <w:jc w:val="left"/>
            </w:pPr>
            <w:r/>
            <w:r>
              <w:rPr>
                <w:b w:val="0"/>
                <w:sz w:val="17"/>
              </w:rPr>
              <w:t>Loadings ≥ 0.70 (0.40–0.70 retained if composite reliability and AVE are met); composite reliability 0.70–0.95; AVE ≥ 0.50; HTMT below 0.85 or 0.90 (conventional cut-offs)</w:t>
            </w:r>
          </w:p>
        </w:tc>
        <w:tc>
          <w:tcPr>
            <w:tcW w:type="dxa" w:w="2268"/>
          </w:tcPr>
          <w:p>
            <w:pPr>
              <w:jc w:val="left"/>
            </w:pPr>
            <w:r/>
            <w:r>
              <w:rPr>
                <w:b w:val="0"/>
                <w:sz w:val="17"/>
              </w:rPr>
              <w:t>Hair et al. (2019); Henseler et al. (2015)</w:t>
            </w:r>
          </w:p>
        </w:tc>
      </w:tr>
      <w:tr>
        <w:tc>
          <w:tcPr>
            <w:tcW w:type="dxa" w:w="1814"/>
          </w:tcPr>
          <w:p>
            <w:pPr>
              <w:jc w:val="left"/>
            </w:pPr>
            <w:r/>
            <w:r>
              <w:rPr>
                <w:b w:val="0"/>
                <w:sz w:val="17"/>
              </w:rPr>
              <w:t>Structural model</w:t>
            </w:r>
          </w:p>
        </w:tc>
        <w:tc>
          <w:tcPr>
            <w:tcW w:type="dxa" w:w="5102"/>
          </w:tcPr>
          <w:p>
            <w:pPr>
              <w:jc w:val="left"/>
            </w:pPr>
            <w:r/>
            <w:r>
              <w:rPr>
                <w:b w:val="0"/>
                <w:sz w:val="17"/>
              </w:rPr>
              <w:t>Inner VIF below 3; path coefficients with 5,000 bootstrap resamples; R², f²; PLSpredict (Q²predict and prediction error against a naive benchmark)</w:t>
            </w:r>
          </w:p>
        </w:tc>
        <w:tc>
          <w:tcPr>
            <w:tcW w:type="dxa" w:w="2268"/>
          </w:tcPr>
          <w:p>
            <w:pPr>
              <w:jc w:val="left"/>
            </w:pPr>
            <w:r/>
            <w:r>
              <w:rPr>
                <w:b w:val="0"/>
                <w:sz w:val="17"/>
              </w:rPr>
              <w:t>Hair et al. (2019)</w:t>
            </w:r>
          </w:p>
        </w:tc>
      </w:tr>
      <w:tr>
        <w:tc>
          <w:tcPr>
            <w:tcW w:type="dxa" w:w="1814"/>
          </w:tcPr>
          <w:p>
            <w:pPr>
              <w:jc w:val="left"/>
            </w:pPr>
            <w:r/>
            <w:r>
              <w:rPr>
                <w:b w:val="0"/>
                <w:sz w:val="17"/>
              </w:rPr>
              <w:t>Mediation and moderation</w:t>
            </w:r>
          </w:p>
        </w:tc>
        <w:tc>
          <w:tcPr>
            <w:tcW w:type="dxa" w:w="5102"/>
          </w:tcPr>
          <w:p>
            <w:pPr>
              <w:jc w:val="left"/>
            </w:pPr>
            <w:r/>
            <w:r>
              <w:rPr>
                <w:b w:val="0"/>
                <w:sz w:val="17"/>
              </w:rPr>
              <w:t>Bootstrapped indirect effects; two-stage interaction terms and simple slopes</w:t>
            </w:r>
          </w:p>
        </w:tc>
        <w:tc>
          <w:tcPr>
            <w:tcW w:type="dxa" w:w="2268"/>
          </w:tcPr>
          <w:p>
            <w:pPr>
              <w:jc w:val="left"/>
            </w:pPr>
            <w:r/>
            <w:r>
              <w:rPr>
                <w:b w:val="0"/>
                <w:sz w:val="17"/>
              </w:rPr>
              <w:t>Hair et al. (2019)</w:t>
            </w:r>
          </w:p>
        </w:tc>
      </w:tr>
      <w:tr>
        <w:tc>
          <w:tcPr>
            <w:tcW w:type="dxa" w:w="1814"/>
          </w:tcPr>
          <w:p>
            <w:pPr>
              <w:jc w:val="left"/>
            </w:pPr>
            <w:r/>
            <w:r>
              <w:rPr>
                <w:b w:val="0"/>
                <w:sz w:val="17"/>
              </w:rPr>
              <w:t>Group comparison</w:t>
            </w:r>
          </w:p>
        </w:tc>
        <w:tc>
          <w:tcPr>
            <w:tcW w:type="dxa" w:w="5102"/>
          </w:tcPr>
          <w:p>
            <w:pPr>
              <w:jc w:val="left"/>
            </w:pPr>
            <w:r/>
            <w:r>
              <w:rPr>
                <w:b w:val="0"/>
                <w:sz w:val="17"/>
              </w:rPr>
              <w:t>MICOM steps 1–3; permutation-based multi-group analysis with Holm correction</w:t>
            </w:r>
          </w:p>
        </w:tc>
        <w:tc>
          <w:tcPr>
            <w:tcW w:type="dxa" w:w="2268"/>
          </w:tcPr>
          <w:p>
            <w:pPr>
              <w:jc w:val="left"/>
            </w:pPr>
            <w:r/>
            <w:r>
              <w:rPr>
                <w:b w:val="0"/>
                <w:sz w:val="17"/>
              </w:rPr>
              <w:t>Henseler et al. (2016)</w:t>
            </w:r>
          </w:p>
        </w:tc>
      </w:tr>
      <w:tr>
        <w:tc>
          <w:tcPr>
            <w:tcW w:type="dxa" w:w="1814"/>
          </w:tcPr>
          <w:p>
            <w:pPr>
              <w:jc w:val="left"/>
            </w:pPr>
            <w:r/>
            <w:r>
              <w:rPr>
                <w:b w:val="0"/>
                <w:sz w:val="17"/>
              </w:rPr>
              <w:t>Common method bias</w:t>
            </w:r>
          </w:p>
        </w:tc>
        <w:tc>
          <w:tcPr>
            <w:tcW w:type="dxa" w:w="5102"/>
          </w:tcPr>
          <w:p>
            <w:pPr>
              <w:jc w:val="left"/>
            </w:pPr>
            <w:r/>
            <w:r>
              <w:rPr>
                <w:b w:val="0"/>
                <w:sz w:val="17"/>
              </w:rPr>
              <w:t>Full-collinearity VIF of 3.3 or lower</w:t>
            </w:r>
          </w:p>
        </w:tc>
        <w:tc>
          <w:tcPr>
            <w:tcW w:type="dxa" w:w="2268"/>
          </w:tcPr>
          <w:p>
            <w:pPr>
              <w:jc w:val="left"/>
            </w:pPr>
            <w:r/>
            <w:r>
              <w:rPr>
                <w:b w:val="0"/>
                <w:sz w:val="17"/>
              </w:rPr>
              <w:t>Kock (2015); Podsakoff et al. (2003)</w:t>
            </w:r>
          </w:p>
        </w:tc>
      </w:tr>
    </w:tbl>
    <w:p/>
    <w:p>
      <w:pPr>
        <w:spacing w:after="100" w:line="288" w:lineRule="auto"/>
        <w:jc w:val="left"/>
      </w:pPr>
      <w:r>
        <w:rPr>
          <w:b/>
          <w:color w:val="1F3864"/>
          <w:sz w:val="25"/>
        </w:rPr>
        <w:t>3.6 Ethics and data management</w:t>
      </w:r>
    </w:p>
    <w:p>
      <w:pPr>
        <w:spacing w:after="140" w:line="336" w:lineRule="auto"/>
        <w:jc w:val="both"/>
      </w:pPr>
      <w:r>
        <w:rPr>
          <w:b w:val="0"/>
        </w:rPr>
        <w:t>Participation is voluntary, anonymous and based on informed consent; no names of individuals or organizations are collected; data are stored on an encrypted drive for [five] years, and the study was approved by [committee, approval code]. Generative AI tools were used only for language editing, and the authors verified all content and references.</w:t>
      </w:r>
    </w:p>
    <w:p>
      <w:pPr>
        <w:spacing w:after="140" w:line="288" w:lineRule="auto"/>
        <w:jc w:val="left"/>
      </w:pPr>
      <w:r>
        <w:rPr>
          <w:b/>
          <w:color w:val="1F3864"/>
          <w:sz w:val="26"/>
        </w:rPr>
        <w:t>References</w:t>
      </w:r>
    </w:p>
    <w:p>
      <w:pPr>
        <w:spacing w:after="60" w:line="264" w:lineRule="auto"/>
        <w:ind w:left="567" w:hanging="567"/>
        <w:jc w:val="left"/>
      </w:pPr>
      <w:r>
        <w:rPr>
          <w:b w:val="0"/>
          <w:sz w:val="20"/>
        </w:rPr>
        <w:t>Brislin, R. W. (1970). Back-translation for cross-cultural research. Journal of Cross-Cultural Psychology, 1(3), 185–216.</w:t>
      </w:r>
    </w:p>
    <w:p>
      <w:pPr>
        <w:spacing w:after="60" w:line="264" w:lineRule="auto"/>
        <w:ind w:left="567" w:hanging="567"/>
        <w:jc w:val="left"/>
      </w:pPr>
      <w:r>
        <w:rPr>
          <w:b w:val="0"/>
          <w:sz w:val="20"/>
        </w:rPr>
        <w:t>Diamantopoulos, A., &amp; Winklhofer, H. M. (2001). Index construction with formative indicators: An alternative to scale development. Journal of Marketing Research, 38(2), 269–277. https://doi.org/10.1509/jmkr.38.2.269.18845</w:t>
      </w:r>
    </w:p>
    <w:p>
      <w:pPr>
        <w:spacing w:after="60" w:line="264" w:lineRule="auto"/>
        <w:ind w:left="567" w:hanging="567"/>
        <w:jc w:val="left"/>
      </w:pPr>
      <w:r>
        <w:rPr>
          <w:b w:val="0"/>
          <w:sz w:val="20"/>
        </w:rPr>
        <w:t>Hair, J. F., Risher, J. J., Sarstedt, M., &amp; Ringle, C. M. (2019). When to use and how to report the results of PLS-SEM. European Business Review, 31(1), 2–24. https://doi.org/10.1108/EBR-11-2018-0203</w:t>
      </w:r>
    </w:p>
    <w:p>
      <w:pPr>
        <w:spacing w:after="60" w:line="264" w:lineRule="auto"/>
        <w:ind w:left="567" w:hanging="567"/>
        <w:jc w:val="left"/>
      </w:pPr>
      <w:r>
        <w:rPr>
          <w:b w:val="0"/>
          <w:sz w:val="20"/>
        </w:rPr>
        <w:t>Henseler, J., Ringle, C. M., &amp; Sarstedt, M. (2015). A new criterion for assessing discriminant validity in variance-based structural equation modeling. Journal of the Academy of Marketing Science, 43(1), 115–135. https://doi.org/10.1007/s11747-014-0403-8</w:t>
      </w:r>
    </w:p>
    <w:p>
      <w:pPr>
        <w:spacing w:after="60" w:line="264" w:lineRule="auto"/>
        <w:ind w:left="567" w:hanging="567"/>
        <w:jc w:val="left"/>
      </w:pPr>
      <w:r>
        <w:rPr>
          <w:b w:val="0"/>
          <w:sz w:val="20"/>
        </w:rPr>
        <w:t>Henseler, J., Ringle, C. M., &amp; Sarstedt, M. (2016). Testing measurement invariance of composites using partial least squares. International Marketing Review, 33(3), 405–431. https://doi.org/10.1108/IMR-09-2014-0304</w:t>
      </w:r>
    </w:p>
    <w:p>
      <w:pPr>
        <w:spacing w:after="60" w:line="264" w:lineRule="auto"/>
        <w:ind w:left="567" w:hanging="567"/>
        <w:jc w:val="left"/>
      </w:pPr>
      <w:r>
        <w:rPr>
          <w:b w:val="0"/>
          <w:sz w:val="20"/>
        </w:rPr>
        <w:t>Kock, N. (2015). Common method bias in PLS-SEM: A full collinearity assessment approach. International Journal of e-Collaboration, 11(4), 1–10. https://doi.org/10.4018/ijec.2015100101</w:t>
      </w:r>
    </w:p>
    <w:p>
      <w:pPr>
        <w:spacing w:after="60" w:line="264" w:lineRule="auto"/>
        <w:ind w:left="567" w:hanging="567"/>
        <w:jc w:val="left"/>
      </w:pPr>
      <w:r>
        <w:rPr>
          <w:b w:val="0"/>
          <w:sz w:val="20"/>
        </w:rPr>
        <w:t>Kock, N., &amp; Hadaya, P. (2018). Minimum sample size estimation in PLS-SEM: The inverse square root and gamma-exponential methods. Information Systems Journal, 28(1), 227–261. https://doi.org/10.1111/isj.12131</w:t>
      </w:r>
    </w:p>
    <w:p>
      <w:pPr>
        <w:spacing w:after="60" w:line="264" w:lineRule="auto"/>
        <w:ind w:left="567" w:hanging="567"/>
        <w:jc w:val="left"/>
      </w:pPr>
      <w:r>
        <w:rPr>
          <w:b w:val="0"/>
          <w:sz w:val="20"/>
        </w:rPr>
        <w:t>Lawshe, C. H. (1975). A quantitative approach to content validity. Personnel Psychology, 28(4), 563–575. https://doi.org/10.1111/j.1744-6570.1975.tb01393.x</w:t>
      </w:r>
    </w:p>
    <w:p>
      <w:pPr>
        <w:spacing w:after="60" w:line="264" w:lineRule="auto"/>
        <w:ind w:left="567" w:hanging="567"/>
        <w:jc w:val="left"/>
      </w:pPr>
      <w:r>
        <w:rPr>
          <w:b w:val="0"/>
          <w:sz w:val="20"/>
        </w:rPr>
        <w:t>Podsakoff, P. M., MacKenzie, S. B., Lee, J.-Y., &amp; Podsakoff, N. P. (2003). Common method biases in behavioral research: A critical review of the literature and recommended remedies. Journal of Applied Psychology, 88(5), 879–903. https://doi.org/10.1037/0021-9010.88.5.879</w:t>
      </w:r>
    </w:p>
    <w:p>
      <w:pPr>
        <w:spacing w:after="60" w:line="264" w:lineRule="auto"/>
        <w:ind w:left="567" w:hanging="567"/>
        <w:jc w:val="left"/>
      </w:pPr>
      <w:r>
        <w:rPr>
          <w:b w:val="0"/>
          <w:sz w:val="20"/>
        </w:rPr>
        <w:t>Sarstedt, M., Hair, J. F., Cheah, J.-H., Becker, J.-M., &amp; Ringle, C. M. (2019). How to specify, estimate, and validate higher-order constructs in PLS-SEM. Australasian Marketing Journal, 27(3), 197–211. https://doi.org/10.1016/j.ausmj.2019.05.003</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