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4" w:lineRule="auto"/>
        <w:bidi/>
        <w:jc w:val="center"/>
      </w:pPr>
      <w:r>
        <w:rPr>
          <w:rFonts w:ascii="Arial" w:hAnsi="Arial" w:cs="Arial"/>
          <w:b w:val="0"/>
          <w:color w:val="5A5A5A"/>
          <w:sz w:val="19"/>
          <w:rtl/>
        </w:rPr>
        <w:t>مقاله دوم از دو مقاله: روش‌شناسی</w:t>
      </w:r>
    </w:p>
    <w:p>
      <w:pPr>
        <w:spacing w:after="140" w:line="288" w:lineRule="auto"/>
        <w:bidi/>
        <w:jc w:val="right"/>
      </w:pPr>
      <w:r>
        <w:rPr>
          <w:rFonts w:ascii="Arial" w:hAnsi="Arial" w:cs="Arial"/>
          <w:b/>
          <w:color w:val="1F3864"/>
          <w:sz w:val="30"/>
          <w:rtl/>
        </w:rPr>
        <w:t>3. روش‌شناسی</w:t>
      </w:r>
    </w:p>
    <w:p>
      <w:pPr>
        <w:spacing w:after="100" w:line="288" w:lineRule="auto"/>
        <w:bidi/>
        <w:jc w:val="right"/>
      </w:pPr>
      <w:r>
        <w:rPr>
          <w:rFonts w:ascii="Arial" w:hAnsi="Arial" w:cs="Arial"/>
          <w:b/>
          <w:color w:val="1F3864"/>
          <w:sz w:val="25"/>
          <w:rtl/>
        </w:rPr>
        <w:t>3-1. طرح پژوهش</w:t>
      </w:r>
    </w:p>
    <w:p>
      <w:pPr>
        <w:spacing w:after="140" w:line="336" w:lineRule="auto"/>
        <w:bidi/>
        <w:jc w:val="right"/>
      </w:pPr>
      <w:r>
        <w:rPr>
          <w:rFonts w:ascii="Arial" w:hAnsi="Arial" w:cs="Arial"/>
          <w:b w:val="0"/>
          <w:rtl/>
        </w:rPr>
        <w:t>مطالعه پیمایشی مقطعی روی دو جمعیت، متخصصان سازمان‌های مورد رسیدگی و حسابرسان، است که مدل ساختاری بخش 2 را با مدل‌سازی معادلات ساختاری مبتنی بر واریانس (PLS-SEM) آزمون می‌کند. سازه‌ها و شاخص‌هایشان از مطالعه همراه (Authors, [year]) می‌آیند. PLS-SEM را انتخاب می‌کنیم چون مدل پیش‌بینی‌محور و توسعه‌دهنده نظریه است، سازه‌های ترکیبی شکل‌گرفته از مولفه‌های متمایز دارد، شامل جمله‌های تعاملی و میانجی‌گری است و روی نمونه‌هایی از جمعیت‌های حرفه‌ای کوچک برآورد می‌شود (Hair et al., 2019).</w:t>
      </w:r>
    </w:p>
    <w:p>
      <w:pPr>
        <w:spacing w:after="100" w:line="288" w:lineRule="auto"/>
        <w:bidi/>
        <w:jc w:val="right"/>
      </w:pPr>
      <w:r>
        <w:rPr>
          <w:rFonts w:ascii="Arial" w:hAnsi="Arial" w:cs="Arial"/>
          <w:b/>
          <w:color w:val="1F3864"/>
          <w:sz w:val="25"/>
          <w:rtl/>
        </w:rPr>
        <w:t>3-2. جمعیت‌ها، نمونه‌گیری و روال اجرا</w:t>
      </w:r>
    </w:p>
    <w:p>
      <w:pPr>
        <w:spacing w:after="140" w:line="336" w:lineRule="auto"/>
        <w:bidi/>
        <w:jc w:val="right"/>
      </w:pPr>
      <w:r>
        <w:rPr>
          <w:rFonts w:ascii="Arial" w:hAnsi="Arial" w:cs="Arial"/>
          <w:b w:val="0"/>
          <w:rtl/>
        </w:rPr>
        <w:t>جمعیت الف متخصصان سازمان‌های مورد رسیدگی‌اند که مسئولیت یا تجربه مستقیم ارزیابی ریسک سایبری در تعامل با حسابرسان دارند (مدیران امنیت و فناوری اطلاعات، حسابرسان داخلی، مدیران ریسک). جمعیت ب حسابرسانی‌اند که تجربه ارزیابی ریسک سایبری یا IT در حسابرسی دارند (حسابرسان مستقل، حسابرسان IT و حسابرسان سازمان حسابرسی). یک پرسش غربال دست‌کم [دو] سال چنین تجربه‌ای را می‌طلبد. چون چارچوب نمونه‌گیری کامل وجود ندارد، نمونه‌گیری هدفمند از راه فهرست اعضای نهادهای حرفه‌ای در صورت دسترسی، ارتباط‌های نهادی و معرفی را با سهمیه برای صنعت و اندازه سازمان یا موسسه به کار می‌بریم و تعداد دعوت‌شده، پاسخ‌دهنده و قابل‌استفاده و نرخ پاسخ هر گروه را گزارش می‌کنیم. پرسشنامه به‌صورت آنلاین و کاغذی، به فارسی و ناشناس اجرا می‌شود.</w:t>
      </w:r>
    </w:p>
    <w:p>
      <w:pPr>
        <w:spacing w:after="140" w:line="336" w:lineRule="auto"/>
        <w:bidi/>
        <w:jc w:val="right"/>
      </w:pPr>
      <w:r>
        <w:rPr>
          <w:rFonts w:ascii="Arial" w:hAnsi="Arial" w:cs="Arial"/>
          <w:b w:val="0"/>
          <w:rtl/>
        </w:rPr>
        <w:t>حجم نمونه با روش ریشه دوم معکوس (Kock &amp; Hadaya, 2018) برنامه‌ریزی شد که حداقل n را برابر (2.486 / |p_min|)² می‌دهد، که p_min کوچک‌ترین ضریب مسیر قابل کشف در سطح 5% (یک‌دنباله) با توان 80% است. برای p_min = 0.25 حداقل 99 نفر در هر گروه می‌شود. برای پشتیبانی از تحلیل چندگروهی دست‌کم [120] پاسخ قابل‌استفاده در هر گروه هدف می‌گیریم. مقدار p_min یک فرض طراحی است؛ پس از گردآوری، حداقل اثر قابل کشف برای نمونه به‌دست‌آمده را گزارش می‌کنیم و هرجا گروهی کمتر از حداقل باشد، مقایسه‌های آن و فرضیه‌های تعاملی H4a و H4b را اکتشافی می‌دانیم.</w:t>
      </w:r>
    </w:p>
    <w:p>
      <w:pPr>
        <w:spacing w:after="100" w:line="288" w:lineRule="auto"/>
        <w:bidi/>
        <w:jc w:val="right"/>
      </w:pPr>
      <w:r>
        <w:rPr>
          <w:rFonts w:ascii="Arial" w:hAnsi="Arial" w:cs="Arial"/>
          <w:b/>
          <w:color w:val="1F3864"/>
          <w:sz w:val="25"/>
          <w:rtl/>
        </w:rPr>
        <w:t>3-3. سنجه‌ها</w:t>
      </w:r>
    </w:p>
    <w:p>
      <w:pPr>
        <w:spacing w:after="140" w:line="336" w:lineRule="auto"/>
        <w:bidi/>
        <w:jc w:val="right"/>
      </w:pPr>
      <w:r>
        <w:rPr>
          <w:rFonts w:ascii="Arial" w:hAnsi="Arial" w:cs="Arial"/>
          <w:b w:val="0"/>
          <w:rtl/>
        </w:rPr>
        <w:t>گویه‌ها از مولفه‌های ماندگار دلفی ساخته شدند، با واژه‌بندی خبرگان و نسبت‌دادن آن‌ها مولفه‌ها را به سازه‌ها. هر گویه دو نسخه موازی دارد، یکی برای پاسخ‌دهندگان سازمان (درباره ارزیابی ریسک سایبری انجام‌شده در حسابرسی سازمانشان) و یکی برای حسابرسان (درباره ارزیابی‌هایی که انجام می‌دهند)، با محتوای یکسان تا ثبات اندازه‌گیری آزمون‌پذیر باشد. گویه‌ها مقیاس هفت‌درجه‌ای میزان دارند (1 = اصلاً تا 7 = در حد بسیار زیاد). ابزار به انگلیسی تهیه، به فارسی ترجمه و ترجمه معکوس شد (Brislin, 1970) و [پنج تا هشت] خبره بیرون از پانل‌های پیشین آن را برای ارتباط و وضوح سنجیدند و خلاصه با نسبت‌های روایی محتوا بیان می‌شود (Lawshe, 1975). یک مطالعه آزمایشی با حدود [30] پاسخ‌دهنده بیرون از نمونه وضوح و زمان تکمیل را می‌آزماید و بازآزمون پس از دو هفته روی [20 تا 30] نفر از آن‌ها پایداری گویه‌های منفرد را برآورد می‌کند (همبستگی درون‌ردی).</w:t>
      </w:r>
    </w:p>
    <w:p>
      <w:pPr>
        <w:spacing w:after="140" w:line="336" w:lineRule="auto"/>
        <w:bidi/>
        <w:jc w:val="right"/>
      </w:pPr>
      <w:r>
        <w:rPr>
          <w:rFonts w:ascii="Arial" w:hAnsi="Arial" w:cs="Arial"/>
          <w:b w:val="0"/>
          <w:rtl/>
        </w:rPr>
        <w:t>طرح اندازه‌گیری (جدول 3) از ماهیت سازه‌ها نتیجه می‌شود. TVI، CCE، COL، RRJ و MOL ترکیب‌هایی‌اند که مولفه‌هایشان وجه‌های متمایزند: فهرست دارایی جانشین بازبینی آسیب‌پذیری نیست و بازبینی کنترل دسترسی جانشین بازبینی مدیریت تغییر نیست. برای چنین سازه‌هایی شاخص‌ها باید قلمرو محتوا را بپوشانند، نه با هم همبسته باشند، و سازگاری درونی معیار نیست (Diamantopoulos &amp; Winklhofer, 2001). بنابراین هر مولفه ماندگار با یک گویه نمایندگی می‌شود و گویه‌ها ترکیب شکل‌دهنده سازه را می‌سازند. چند گویه برای هر مولفه اطلاعاتی نمی‌افزاید و ابزاری با 30 مولفه را به ابزاری با حدود 90 گویه تبدیل می‌کند که برای جمعیت‌های حرفه‌ای کوچک و پرمشغله واقع‌بینانه نیست. مولفه‌ای که توضیح‌های دلفی نشان دهند چندوجهی است دو گویه می‌گیرد که پیش از ورود به سازه در ترکیبی مرتبه اول ادغام می‌شوند (مشخصه‌سازی دومرحله‌ای بازتابی–شکل‌دهنده؛ Sarstedt et al., 2019). هزینه گویه‌های منفرد با اعتبارسنجی محتوا، بازآزمون مطالعه آزمایشی و یک گویه افزونگی برای هر ترکیب، یعنی گویه کلی که سازه را خلاصه می‌کند و برای آزمون روایی همگرا به کار می‌رود، مدیریت می‌شود. PEF سازه پیامد است و بازتابی سنجیده می‌شود: چهار گویه برگرفته از مولفه‌های مرتبط با گزارشگری (C21، A07، A08، A09) و دو گویه کلی درباره اثربخشی ادراک‌شده. متغیرهای زمینه‌ای (C02، C03، C19) به‌صورت گویه منفرد همراه با اندازه سازمان، صنعت، سابقه پاسخ‌دهنده، گواهینامه و نوع حسابرس وارد می‌شوند. اگر پس از دلفی مولفه‌ای حذف، ادغام یا افزوده شود، تعداد گویه‌های جدول 3 متناسب تغییر می‌کند.</w:t>
      </w:r>
    </w:p>
    <w:p>
      <w:pPr>
        <w:spacing w:after="60" w:line="264" w:lineRule="auto"/>
        <w:bidi/>
        <w:jc w:val="right"/>
      </w:pPr>
      <w:r>
        <w:rPr>
          <w:rFonts w:ascii="Arial" w:hAnsi="Arial" w:cs="Arial"/>
          <w:b/>
          <w:sz w:val="21"/>
          <w:rtl/>
        </w:rPr>
        <w:t>جدول 3. طرح اندازه‌گیری (تعداد گویه‌ها پس از دلفی نهایی می‌شود)</w:t>
      </w:r>
    </w:p>
    <w:tbl>
      <w:tblPr>
        <w:tblStyle w:val="TableGrid"/>
        <w:tblW w:type="auto" w:w="0"/>
        <w:tblLayout w:type="fixed"/>
        <w:tblLook w:firstColumn="1" w:firstRow="1" w:lastColumn="0" w:lastRow="0" w:noHBand="0" w:noVBand="1" w:val="04A0"/>
        <w:bidiVisual/>
      </w:tblPr>
      <w:tblGrid>
        <w:gridCol w:w="1020"/>
        <w:gridCol w:w="1701"/>
        <w:gridCol w:w="2608"/>
        <w:gridCol w:w="1020"/>
        <w:gridCol w:w="2835"/>
      </w:tblGrid>
      <w:tr>
        <w:tc>
          <w:tcPr>
            <w:tcW w:type="dxa" w:w="1020"/>
            <w:shd w:val="clear" w:color="auto" w:fill="1F3864"/>
          </w:tcPr>
          <w:p>
            <w:pPr>
              <w:bidi/>
              <w:jc w:val="right"/>
            </w:pPr>
            <w:r>
              <w:rPr>
                <w:rFonts w:ascii="Arial" w:hAnsi="Arial" w:cs="Arial"/>
                <w:rtl/>
              </w:rPr>
            </w:r>
            <w:r>
              <w:rPr>
                <w:rFonts w:ascii="Arial" w:hAnsi="Arial" w:cs="Arial"/>
                <w:b/>
                <w:color w:val="FFFFFF"/>
                <w:sz w:val="17"/>
                <w:rtl/>
              </w:rPr>
              <w:t>سازه</w:t>
            </w:r>
          </w:p>
        </w:tc>
        <w:tc>
          <w:tcPr>
            <w:tcW w:type="dxa" w:w="1701"/>
            <w:shd w:val="clear" w:color="auto" w:fill="1F3864"/>
          </w:tcPr>
          <w:p>
            <w:pPr>
              <w:bidi/>
              <w:jc w:val="right"/>
            </w:pPr>
            <w:r>
              <w:rPr>
                <w:rFonts w:ascii="Arial" w:hAnsi="Arial" w:cs="Arial"/>
                <w:rtl/>
              </w:rPr>
            </w:r>
            <w:r>
              <w:rPr>
                <w:rFonts w:ascii="Arial" w:hAnsi="Arial" w:cs="Arial"/>
                <w:b/>
                <w:color w:val="FFFFFF"/>
                <w:sz w:val="17"/>
                <w:rtl/>
              </w:rPr>
              <w:t>نوع</w:t>
            </w:r>
          </w:p>
        </w:tc>
        <w:tc>
          <w:tcPr>
            <w:tcW w:type="dxa" w:w="2608"/>
            <w:shd w:val="clear" w:color="auto" w:fill="1F3864"/>
          </w:tcPr>
          <w:p>
            <w:pPr>
              <w:bidi/>
              <w:jc w:val="right"/>
            </w:pPr>
            <w:r>
              <w:rPr>
                <w:rFonts w:ascii="Arial" w:hAnsi="Arial" w:cs="Arial"/>
                <w:rtl/>
              </w:rPr>
            </w:r>
            <w:r>
              <w:rPr>
                <w:rFonts w:ascii="Arial" w:hAnsi="Arial" w:cs="Arial"/>
                <w:b/>
                <w:color w:val="FFFFFF"/>
                <w:sz w:val="17"/>
                <w:rtl/>
              </w:rPr>
              <w:t>گویه‌های مولفه‌ای</w:t>
            </w:r>
          </w:p>
        </w:tc>
        <w:tc>
          <w:tcPr>
            <w:tcW w:type="dxa" w:w="1020"/>
            <w:shd w:val="clear" w:color="auto" w:fill="1F3864"/>
          </w:tcPr>
          <w:p>
            <w:pPr>
              <w:bidi/>
              <w:jc w:val="right"/>
            </w:pPr>
            <w:r>
              <w:rPr>
                <w:rFonts w:ascii="Arial" w:hAnsi="Arial" w:cs="Arial"/>
                <w:rtl/>
              </w:rPr>
            </w:r>
            <w:r>
              <w:rPr>
                <w:rFonts w:ascii="Arial" w:hAnsi="Arial" w:cs="Arial"/>
                <w:b/>
                <w:color w:val="FFFFFF"/>
                <w:sz w:val="17"/>
                <w:rtl/>
              </w:rPr>
              <w:t>گویه کلی</w:t>
            </w:r>
          </w:p>
        </w:tc>
        <w:tc>
          <w:tcPr>
            <w:tcW w:type="dxa" w:w="2835"/>
            <w:shd w:val="clear" w:color="auto" w:fill="1F3864"/>
          </w:tcPr>
          <w:p>
            <w:pPr>
              <w:bidi/>
              <w:jc w:val="right"/>
            </w:pPr>
            <w:r>
              <w:rPr>
                <w:rFonts w:ascii="Arial" w:hAnsi="Arial" w:cs="Arial"/>
                <w:rtl/>
              </w:rPr>
            </w:r>
            <w:r>
              <w:rPr>
                <w:rFonts w:ascii="Arial" w:hAnsi="Arial" w:cs="Arial"/>
                <w:b/>
                <w:color w:val="FFFFFF"/>
                <w:sz w:val="17"/>
                <w:rtl/>
              </w:rPr>
              <w:t>نام</w:t>
            </w:r>
          </w:p>
        </w:tc>
      </w:tr>
      <w:tr>
        <w:tc>
          <w:tcPr>
            <w:tcW w:type="dxa" w:w="1020"/>
          </w:tcPr>
          <w:p>
            <w:pPr>
              <w:bidi/>
              <w:jc w:val="right"/>
            </w:pPr>
            <w:r>
              <w:rPr>
                <w:rFonts w:ascii="Arial" w:hAnsi="Arial" w:cs="Arial"/>
                <w:rtl/>
              </w:rPr>
            </w:r>
            <w:r>
              <w:rPr>
                <w:rFonts w:ascii="Arial" w:hAnsi="Arial" w:cs="Arial"/>
                <w:b w:val="0"/>
                <w:sz w:val="17"/>
                <w:rtl/>
              </w:rPr>
              <w:t>TVI</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4: C04, C05, C06, A01</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شناسایی تهدید و آسیب‌پذیری</w:t>
            </w:r>
          </w:p>
        </w:tc>
      </w:tr>
      <w:tr>
        <w:tc>
          <w:tcPr>
            <w:tcW w:type="dxa" w:w="1020"/>
          </w:tcPr>
          <w:p>
            <w:pPr>
              <w:bidi/>
              <w:jc w:val="right"/>
            </w:pPr>
            <w:r>
              <w:rPr>
                <w:rFonts w:ascii="Arial" w:hAnsi="Arial" w:cs="Arial"/>
                <w:rtl/>
              </w:rPr>
            </w:r>
            <w:r>
              <w:rPr>
                <w:rFonts w:ascii="Arial" w:hAnsi="Arial" w:cs="Arial"/>
                <w:b w:val="0"/>
                <w:sz w:val="17"/>
                <w:rtl/>
              </w:rPr>
              <w:t>CCE</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9: C09 تا C15, A03, A04</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ارزیابی بلوغ و اثربخشی کنترل‌ها</w:t>
            </w:r>
          </w:p>
        </w:tc>
      </w:tr>
      <w:tr>
        <w:tc>
          <w:tcPr>
            <w:tcW w:type="dxa" w:w="1020"/>
          </w:tcPr>
          <w:p>
            <w:pPr>
              <w:bidi/>
              <w:jc w:val="right"/>
            </w:pPr>
            <w:r>
              <w:rPr>
                <w:rFonts w:ascii="Arial" w:hAnsi="Arial" w:cs="Arial"/>
                <w:rtl/>
              </w:rPr>
            </w:r>
            <w:r>
              <w:rPr>
                <w:rFonts w:ascii="Arial" w:hAnsi="Arial" w:cs="Arial"/>
                <w:b w:val="0"/>
                <w:sz w:val="17"/>
                <w:rtl/>
              </w:rPr>
              <w:t>COL</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3: C01, A05, A06</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همکاری و صلاحیت حسابرس–متخصص</w:t>
            </w:r>
          </w:p>
        </w:tc>
      </w:tr>
      <w:tr>
        <w:tc>
          <w:tcPr>
            <w:tcW w:type="dxa" w:w="1020"/>
          </w:tcPr>
          <w:p>
            <w:pPr>
              <w:bidi/>
              <w:jc w:val="right"/>
            </w:pPr>
            <w:r>
              <w:rPr>
                <w:rFonts w:ascii="Arial" w:hAnsi="Arial" w:cs="Arial"/>
                <w:rtl/>
              </w:rPr>
            </w:r>
            <w:r>
              <w:rPr>
                <w:rFonts w:ascii="Arial" w:hAnsi="Arial" w:cs="Arial"/>
                <w:b w:val="0"/>
                <w:sz w:val="17"/>
                <w:rtl/>
              </w:rPr>
              <w:t>RRJ</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3: C07, C08, A02</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قضاوت ریسک باقیمانده</w:t>
            </w:r>
          </w:p>
        </w:tc>
      </w:tr>
      <w:tr>
        <w:tc>
          <w:tcPr>
            <w:tcW w:type="dxa" w:w="1020"/>
          </w:tcPr>
          <w:p>
            <w:pPr>
              <w:bidi/>
              <w:jc w:val="right"/>
            </w:pPr>
            <w:r>
              <w:rPr>
                <w:rFonts w:ascii="Arial" w:hAnsi="Arial" w:cs="Arial"/>
                <w:rtl/>
              </w:rPr>
            </w:r>
            <w:r>
              <w:rPr>
                <w:rFonts w:ascii="Arial" w:hAnsi="Arial" w:cs="Arial"/>
                <w:b w:val="0"/>
                <w:sz w:val="17"/>
                <w:rtl/>
              </w:rPr>
              <w:t>MOL</w:t>
            </w:r>
          </w:p>
        </w:tc>
        <w:tc>
          <w:tcPr>
            <w:tcW w:type="dxa" w:w="1701"/>
          </w:tcPr>
          <w:p>
            <w:pPr>
              <w:bidi/>
              <w:jc w:val="right"/>
            </w:pPr>
            <w:r>
              <w:rPr>
                <w:rFonts w:ascii="Arial" w:hAnsi="Arial" w:cs="Arial"/>
                <w:rtl/>
              </w:rPr>
            </w:r>
            <w:r>
              <w:rPr>
                <w:rFonts w:ascii="Arial" w:hAnsi="Arial" w:cs="Arial"/>
                <w:b w:val="0"/>
                <w:sz w:val="17"/>
                <w:rtl/>
              </w:rPr>
              <w:t>ترکیب شکل‌دهنده</w:t>
            </w:r>
          </w:p>
        </w:tc>
        <w:tc>
          <w:tcPr>
            <w:tcW w:type="dxa" w:w="2608"/>
          </w:tcPr>
          <w:p>
            <w:pPr>
              <w:bidi/>
              <w:jc w:val="right"/>
            </w:pPr>
            <w:r>
              <w:rPr>
                <w:rFonts w:ascii="Arial" w:hAnsi="Arial" w:cs="Arial"/>
                <w:rtl/>
              </w:rPr>
            </w:r>
            <w:r>
              <w:rPr>
                <w:rFonts w:ascii="Arial" w:hAnsi="Arial" w:cs="Arial"/>
                <w:b w:val="0"/>
                <w:sz w:val="17"/>
                <w:rtl/>
              </w:rPr>
              <w:t>4: C16, C17, C18, C20</w:t>
            </w:r>
          </w:p>
        </w:tc>
        <w:tc>
          <w:tcPr>
            <w:tcW w:type="dxa" w:w="1020"/>
          </w:tcPr>
          <w:p>
            <w:pPr>
              <w:bidi/>
              <w:jc w:val="right"/>
            </w:pPr>
            <w:r>
              <w:rPr>
                <w:rFonts w:ascii="Arial" w:hAnsi="Arial" w:cs="Arial"/>
                <w:rtl/>
              </w:rPr>
            </w:r>
            <w:r>
              <w:rPr>
                <w:rFonts w:ascii="Arial" w:hAnsi="Arial" w:cs="Arial"/>
                <w:b w:val="0"/>
                <w:sz w:val="17"/>
                <w:rtl/>
              </w:rPr>
              <w:t>1</w:t>
            </w:r>
          </w:p>
        </w:tc>
        <w:tc>
          <w:tcPr>
            <w:tcW w:type="dxa" w:w="2835"/>
          </w:tcPr>
          <w:p>
            <w:pPr>
              <w:bidi/>
              <w:jc w:val="right"/>
            </w:pPr>
            <w:r>
              <w:rPr>
                <w:rFonts w:ascii="Arial" w:hAnsi="Arial" w:cs="Arial"/>
                <w:rtl/>
              </w:rPr>
            </w:r>
            <w:r>
              <w:rPr>
                <w:rFonts w:ascii="Arial" w:hAnsi="Arial" w:cs="Arial"/>
                <w:b w:val="0"/>
                <w:sz w:val="17"/>
                <w:rtl/>
              </w:rPr>
              <w:t>پایش و یادگیری سازمانی</w:t>
            </w:r>
          </w:p>
        </w:tc>
      </w:tr>
      <w:tr>
        <w:tc>
          <w:tcPr>
            <w:tcW w:type="dxa" w:w="1020"/>
          </w:tcPr>
          <w:p>
            <w:pPr>
              <w:bidi/>
              <w:jc w:val="right"/>
            </w:pPr>
            <w:r>
              <w:rPr>
                <w:rFonts w:ascii="Arial" w:hAnsi="Arial" w:cs="Arial"/>
                <w:rtl/>
              </w:rPr>
            </w:r>
            <w:r>
              <w:rPr>
                <w:rFonts w:ascii="Arial" w:hAnsi="Arial" w:cs="Arial"/>
                <w:b w:val="0"/>
                <w:sz w:val="17"/>
                <w:rtl/>
              </w:rPr>
              <w:t>PEF</w:t>
            </w:r>
          </w:p>
        </w:tc>
        <w:tc>
          <w:tcPr>
            <w:tcW w:type="dxa" w:w="1701"/>
          </w:tcPr>
          <w:p>
            <w:pPr>
              <w:bidi/>
              <w:jc w:val="right"/>
            </w:pPr>
            <w:r>
              <w:rPr>
                <w:rFonts w:ascii="Arial" w:hAnsi="Arial" w:cs="Arial"/>
                <w:rtl/>
              </w:rPr>
            </w:r>
            <w:r>
              <w:rPr>
                <w:rFonts w:ascii="Arial" w:hAnsi="Arial" w:cs="Arial"/>
                <w:b w:val="0"/>
                <w:sz w:val="17"/>
                <w:rtl/>
              </w:rPr>
              <w:t>پیامد بازتابی</w:t>
            </w:r>
          </w:p>
        </w:tc>
        <w:tc>
          <w:tcPr>
            <w:tcW w:type="dxa" w:w="2608"/>
          </w:tcPr>
          <w:p>
            <w:pPr>
              <w:bidi/>
              <w:jc w:val="right"/>
            </w:pPr>
            <w:r>
              <w:rPr>
                <w:rFonts w:ascii="Arial" w:hAnsi="Arial" w:cs="Arial"/>
                <w:rtl/>
              </w:rPr>
            </w:r>
            <w:r>
              <w:rPr>
                <w:rFonts w:ascii="Arial" w:hAnsi="Arial" w:cs="Arial"/>
                <w:b w:val="0"/>
                <w:sz w:val="17"/>
                <w:rtl/>
              </w:rPr>
              <w:t>4 گویه برگرفته از C21, A07, A08, A09</w:t>
            </w:r>
          </w:p>
        </w:tc>
        <w:tc>
          <w:tcPr>
            <w:tcW w:type="dxa" w:w="1020"/>
          </w:tcPr>
          <w:p>
            <w:pPr>
              <w:bidi/>
              <w:jc w:val="right"/>
            </w:pPr>
            <w:r>
              <w:rPr>
                <w:rFonts w:ascii="Arial" w:hAnsi="Arial" w:cs="Arial"/>
                <w:rtl/>
              </w:rPr>
            </w:r>
            <w:r>
              <w:rPr>
                <w:rFonts w:ascii="Arial" w:hAnsi="Arial" w:cs="Arial"/>
                <w:b w:val="0"/>
                <w:sz w:val="17"/>
                <w:rtl/>
              </w:rPr>
              <w:t>2</w:t>
            </w:r>
          </w:p>
        </w:tc>
        <w:tc>
          <w:tcPr>
            <w:tcW w:type="dxa" w:w="2835"/>
          </w:tcPr>
          <w:p>
            <w:pPr>
              <w:bidi/>
              <w:jc w:val="right"/>
            </w:pPr>
            <w:r>
              <w:rPr>
                <w:rFonts w:ascii="Arial" w:hAnsi="Arial" w:cs="Arial"/>
                <w:rtl/>
              </w:rPr>
            </w:r>
            <w:r>
              <w:rPr>
                <w:rFonts w:ascii="Arial" w:hAnsi="Arial" w:cs="Arial"/>
                <w:b w:val="0"/>
                <w:sz w:val="17"/>
                <w:rtl/>
              </w:rPr>
              <w:t>اثربخشی فرایند ارزیابی</w:t>
            </w:r>
          </w:p>
        </w:tc>
      </w:tr>
      <w:tr>
        <w:tc>
          <w:tcPr>
            <w:tcW w:type="dxa" w:w="1020"/>
          </w:tcPr>
          <w:p>
            <w:pPr>
              <w:bidi/>
              <w:jc w:val="right"/>
            </w:pPr>
            <w:r>
              <w:rPr>
                <w:rFonts w:ascii="Arial" w:hAnsi="Arial" w:cs="Arial"/>
                <w:rtl/>
              </w:rPr>
            </w:r>
            <w:r>
              <w:rPr>
                <w:rFonts w:ascii="Arial" w:hAnsi="Arial" w:cs="Arial"/>
                <w:b w:val="0"/>
                <w:sz w:val="17"/>
                <w:rtl/>
              </w:rPr>
              <w:t>Context</w:t>
            </w:r>
          </w:p>
        </w:tc>
        <w:tc>
          <w:tcPr>
            <w:tcW w:type="dxa" w:w="1701"/>
          </w:tcPr>
          <w:p>
            <w:pPr>
              <w:bidi/>
              <w:jc w:val="right"/>
            </w:pPr>
            <w:r>
              <w:rPr>
                <w:rFonts w:ascii="Arial" w:hAnsi="Arial" w:cs="Arial"/>
                <w:rtl/>
              </w:rPr>
            </w:r>
            <w:r>
              <w:rPr>
                <w:rFonts w:ascii="Arial" w:hAnsi="Arial" w:cs="Arial"/>
                <w:b w:val="0"/>
                <w:sz w:val="17"/>
                <w:rtl/>
              </w:rPr>
              <w:t>گویه‌های منفرد</w:t>
            </w:r>
          </w:p>
        </w:tc>
        <w:tc>
          <w:tcPr>
            <w:tcW w:type="dxa" w:w="2608"/>
          </w:tcPr>
          <w:p>
            <w:pPr>
              <w:bidi/>
              <w:jc w:val="right"/>
            </w:pPr>
            <w:r>
              <w:rPr>
                <w:rFonts w:ascii="Arial" w:hAnsi="Arial" w:cs="Arial"/>
                <w:rtl/>
              </w:rPr>
            </w:r>
            <w:r>
              <w:rPr>
                <w:rFonts w:ascii="Arial" w:hAnsi="Arial" w:cs="Arial"/>
                <w:b w:val="0"/>
                <w:sz w:val="17"/>
                <w:rtl/>
              </w:rPr>
              <w:t>3: C02, C03, C19</w:t>
            </w:r>
          </w:p>
        </w:tc>
        <w:tc>
          <w:tcPr>
            <w:tcW w:type="dxa" w:w="1020"/>
          </w:tcPr>
          <w:p>
            <w:pPr>
              <w:bidi/>
              <w:jc w:val="right"/>
            </w:pPr>
            <w:r>
              <w:rPr>
                <w:rFonts w:ascii="Arial" w:hAnsi="Arial" w:cs="Arial"/>
                <w:rtl/>
              </w:rPr>
            </w:r>
            <w:r>
              <w:rPr>
                <w:rFonts w:ascii="Arial" w:hAnsi="Arial" w:cs="Arial"/>
                <w:b w:val="0"/>
                <w:sz w:val="17"/>
                <w:rtl/>
              </w:rPr>
              <w:t>—</w:t>
            </w:r>
          </w:p>
        </w:tc>
        <w:tc>
          <w:tcPr>
            <w:tcW w:type="dxa" w:w="2835"/>
          </w:tcPr>
          <w:p>
            <w:pPr>
              <w:bidi/>
              <w:jc w:val="right"/>
            </w:pPr>
            <w:r>
              <w:rPr>
                <w:rFonts w:ascii="Arial" w:hAnsi="Arial" w:cs="Arial"/>
                <w:rtl/>
              </w:rPr>
            </w:r>
            <w:r>
              <w:rPr>
                <w:rFonts w:ascii="Arial" w:hAnsi="Arial" w:cs="Arial"/>
                <w:b w:val="0"/>
                <w:sz w:val="17"/>
                <w:rtl/>
              </w:rPr>
              <w:t>سیاست و دامنه، الزام قانونی</w:t>
            </w:r>
          </w:p>
        </w:tc>
      </w:tr>
    </w:tbl>
    <w:p/>
    <w:p>
      <w:pPr>
        <w:spacing w:after="100" w:line="288" w:lineRule="auto"/>
        <w:bidi/>
        <w:jc w:val="right"/>
      </w:pPr>
      <w:r>
        <w:rPr>
          <w:rFonts w:ascii="Arial" w:hAnsi="Arial" w:cs="Arial"/>
          <w:b/>
          <w:color w:val="1F3864"/>
          <w:sz w:val="25"/>
          <w:rtl/>
        </w:rPr>
        <w:t>3-4. پالایش داده و سوگیری روش مشترک</w:t>
      </w:r>
    </w:p>
    <w:p>
      <w:pPr>
        <w:spacing w:after="140" w:line="336" w:lineRule="auto"/>
        <w:bidi/>
        <w:jc w:val="right"/>
      </w:pPr>
      <w:r>
        <w:rPr>
          <w:rFonts w:ascii="Arial" w:hAnsi="Arial" w:cs="Arial"/>
          <w:b w:val="0"/>
          <w:rtl/>
        </w:rPr>
        <w:t>داده گمشده (الگو و درصد)، پاسخ ردیفی، پرسش بررسی توجه، زمان‌های تکمیل نامعقول کوتاه و داده‌های پرت بررسی می‌شوند و پاسخ‌دهندگان زودهنگام و دیرهنگام و ویژگی‌های پاسخ‌دهندگان با چارچوب موجود برای سنجش سوگیری عدم پاسخ مقایسه می‌شوند. سوگیری روش مشترک از نظر رویه‌ای با ناشناسی، جداسازی بخش‌های پیش‌بین و پیامد و واژه‌بندی خنثی (Podsakoff et al., 2003) و از نظر آماری با عامل تورم واریانس هم‌خطی کامل و حد قراردادی 3.3 (Kock, 2015) بررسی می‌شود.</w:t>
      </w:r>
    </w:p>
    <w:p>
      <w:pPr>
        <w:spacing w:after="100" w:line="288" w:lineRule="auto"/>
        <w:bidi/>
        <w:jc w:val="right"/>
      </w:pPr>
      <w:r>
        <w:rPr>
          <w:rFonts w:ascii="Arial" w:hAnsi="Arial" w:cs="Arial"/>
          <w:b/>
          <w:color w:val="1F3864"/>
          <w:sz w:val="25"/>
          <w:rtl/>
        </w:rPr>
        <w:t>3-5. راهبرد تحلیل</w:t>
      </w:r>
    </w:p>
    <w:p>
      <w:pPr>
        <w:spacing w:after="140" w:line="336" w:lineRule="auto"/>
        <w:bidi/>
        <w:jc w:val="right"/>
      </w:pPr>
      <w:r>
        <w:rPr>
          <w:rFonts w:ascii="Arial" w:hAnsi="Arial" w:cs="Arial"/>
          <w:b w:val="0"/>
          <w:rtl/>
        </w:rPr>
        <w:t>تحلیل از توصیه‌های گزارش‌دهی Hair et al. (2019) پیروی می‌کند. ابتدا مدل‌های اندازه‌گیری سنجیده می‌شوند (جدول 4). سپس مدل ساختاری از نظر هم‌خطی، ضرایب مسیر و فاصله اطمینان بوت‌استرپ آن‌ها (دست‌کم 5000 نمونه)، واریانس تبیین‌شده (R²)، اندازه اثر (f²) و توان پیش‌بینی بیرون‌نمونه با PLSpredict (Hair et al., 2019) ارزیابی می‌شود. میانجی‌گری (H8) با اثرهای غیرمستقیم بوت‌استرپ و تعدیل (H4) با رویکرد دومرحله‌ای جمله ضرب‌شده و نمودار شیب ساده آزمون می‌شود. برای مقایسه گروه‌ها (H10) ابتدا ثبات اندازه‌گیری ترکیب‌ها در سه گام آزمون می‌شود: ثبات پیکربندی، ثبات ترکیبی با جایگشت و برابری میانگین و واریانس ترکیب‌ها (Henseler et al., 2016)، و مسیرها با تحلیل چندگروهی مبتنی بر جایگشت فقط وقتی مقایسه می‌شوند که دست‌کم ثبات جزئی برقرار باشد، با تصحیح هولم روی مسیرها؛ در غیر این صورت مدل گروه‌ها کنار هم و توصیفی گزارش می‌شود. بررسی‌های استواری مدل را بدون داده پرت، با ترکیب‌های هم‌وزن، با مشخصه بازتابی سازه‌ها و با افزودن متغیرهای کنترلی دوباره برآورد می‌کنند.</w:t>
      </w:r>
    </w:p>
    <w:p>
      <w:pPr>
        <w:spacing w:after="60" w:line="264" w:lineRule="auto"/>
        <w:bidi/>
        <w:jc w:val="right"/>
      </w:pPr>
      <w:r>
        <w:rPr>
          <w:rFonts w:ascii="Arial" w:hAnsi="Arial" w:cs="Arial"/>
          <w:b/>
          <w:sz w:val="21"/>
          <w:rtl/>
        </w:rPr>
        <w:t>جدول 4. معیارهای ارزیابی</w:t>
      </w:r>
    </w:p>
    <w:tbl>
      <w:tblPr>
        <w:tblStyle w:val="TableGrid"/>
        <w:tblW w:type="auto" w:w="0"/>
        <w:tblLayout w:type="fixed"/>
        <w:tblLook w:firstColumn="1" w:firstRow="1" w:lastColumn="0" w:lastRow="0" w:noHBand="0" w:noVBand="1" w:val="04A0"/>
        <w:bidiVisual/>
      </w:tblPr>
      <w:tblGrid>
        <w:gridCol w:w="1814"/>
        <w:gridCol w:w="5102"/>
        <w:gridCol w:w="2268"/>
      </w:tblGrid>
      <w:tr>
        <w:tc>
          <w:tcPr>
            <w:tcW w:type="dxa" w:w="1814"/>
            <w:shd w:val="clear" w:color="auto" w:fill="1F3864"/>
          </w:tcPr>
          <w:p>
            <w:pPr>
              <w:bidi/>
              <w:jc w:val="right"/>
            </w:pPr>
            <w:r>
              <w:rPr>
                <w:rFonts w:ascii="Arial" w:hAnsi="Arial" w:cs="Arial"/>
                <w:rtl/>
              </w:rPr>
            </w:r>
            <w:r>
              <w:rPr>
                <w:rFonts w:ascii="Arial" w:hAnsi="Arial" w:cs="Arial"/>
                <w:b/>
                <w:color w:val="FFFFFF"/>
                <w:sz w:val="17"/>
                <w:rtl/>
              </w:rPr>
              <w:t>مورد</w:t>
            </w:r>
          </w:p>
        </w:tc>
        <w:tc>
          <w:tcPr>
            <w:tcW w:type="dxa" w:w="5102"/>
            <w:shd w:val="clear" w:color="auto" w:fill="1F3864"/>
          </w:tcPr>
          <w:p>
            <w:pPr>
              <w:bidi/>
              <w:jc w:val="right"/>
            </w:pPr>
            <w:r>
              <w:rPr>
                <w:rFonts w:ascii="Arial" w:hAnsi="Arial" w:cs="Arial"/>
                <w:rtl/>
              </w:rPr>
            </w:r>
            <w:r>
              <w:rPr>
                <w:rFonts w:ascii="Arial" w:hAnsi="Arial" w:cs="Arial"/>
                <w:b/>
                <w:color w:val="FFFFFF"/>
                <w:sz w:val="17"/>
                <w:rtl/>
              </w:rPr>
              <w:t>معیار</w:t>
            </w:r>
          </w:p>
        </w:tc>
        <w:tc>
          <w:tcPr>
            <w:tcW w:type="dxa" w:w="2268"/>
            <w:shd w:val="clear" w:color="auto" w:fill="1F3864"/>
          </w:tcPr>
          <w:p>
            <w:pPr>
              <w:bidi/>
              <w:jc w:val="right"/>
            </w:pPr>
            <w:r>
              <w:rPr>
                <w:rFonts w:ascii="Arial" w:hAnsi="Arial" w:cs="Arial"/>
                <w:rtl/>
              </w:rPr>
            </w:r>
            <w:r>
              <w:rPr>
                <w:rFonts w:ascii="Arial" w:hAnsi="Arial" w:cs="Arial"/>
                <w:b/>
                <w:color w:val="FFFFFF"/>
                <w:sz w:val="17"/>
                <w:rtl/>
              </w:rPr>
              <w:t>منبع</w:t>
            </w:r>
          </w:p>
        </w:tc>
      </w:tr>
      <w:tr>
        <w:tc>
          <w:tcPr>
            <w:tcW w:type="dxa" w:w="1814"/>
          </w:tcPr>
          <w:p>
            <w:pPr>
              <w:bidi/>
              <w:jc w:val="right"/>
            </w:pPr>
            <w:r>
              <w:rPr>
                <w:rFonts w:ascii="Arial" w:hAnsi="Arial" w:cs="Arial"/>
                <w:rtl/>
              </w:rPr>
            </w:r>
            <w:r>
              <w:rPr>
                <w:rFonts w:ascii="Arial" w:hAnsi="Arial" w:cs="Arial"/>
                <w:b w:val="0"/>
                <w:sz w:val="17"/>
                <w:rtl/>
              </w:rPr>
              <w:t>ترکیب‌های شکل‌دهنده</w:t>
            </w:r>
          </w:p>
        </w:tc>
        <w:tc>
          <w:tcPr>
            <w:tcW w:type="dxa" w:w="5102"/>
          </w:tcPr>
          <w:p>
            <w:pPr>
              <w:bidi/>
              <w:jc w:val="right"/>
            </w:pPr>
            <w:r>
              <w:rPr>
                <w:rFonts w:ascii="Arial" w:hAnsi="Arial" w:cs="Arial"/>
                <w:rtl/>
              </w:rPr>
            </w:r>
            <w:r>
              <w:rPr>
                <w:rFonts w:ascii="Arial" w:hAnsi="Arial" w:cs="Arial"/>
                <w:b w:val="0"/>
                <w:sz w:val="17"/>
                <w:rtl/>
              </w:rPr>
              <w:t>هم‌خطی شاخص‌ها: VIF کمتر از 3 (مقادیر نزدیک 5 بحرانی‌اند)؛ وزن‌ها و بارهای بیرونی با فاصله اطمینان بوت‌استرپ؛ شاخصی با وزن غیرمعنادار ولی بار دست‌کم 0.50 به دلیل محتوا حفظ می‌شود؛ تحلیل افزونگی: مسیر از ترکیب به گویه کلی‌اش دست‌کم 0.70 (قراردادی)</w:t>
            </w:r>
          </w:p>
        </w:tc>
        <w:tc>
          <w:tcPr>
            <w:tcW w:type="dxa" w:w="2268"/>
          </w:tcPr>
          <w:p>
            <w:pPr>
              <w:bidi/>
              <w:jc w:val="right"/>
            </w:pPr>
            <w:r>
              <w:rPr>
                <w:rFonts w:ascii="Arial" w:hAnsi="Arial" w:cs="Arial"/>
                <w:rtl/>
              </w:rPr>
            </w:r>
            <w:r>
              <w:rPr>
                <w:rFonts w:ascii="Arial" w:hAnsi="Arial" w:cs="Arial"/>
                <w:b w:val="0"/>
                <w:sz w:val="17"/>
                <w:rtl/>
              </w:rPr>
              <w:t>Diamantopoulos &amp; Winklhofer (2001); Hair et al. (2019)</w:t>
            </w:r>
          </w:p>
        </w:tc>
      </w:tr>
      <w:tr>
        <w:tc>
          <w:tcPr>
            <w:tcW w:type="dxa" w:w="1814"/>
          </w:tcPr>
          <w:p>
            <w:pPr>
              <w:bidi/>
              <w:jc w:val="right"/>
            </w:pPr>
            <w:r>
              <w:rPr>
                <w:rFonts w:ascii="Arial" w:hAnsi="Arial" w:cs="Arial"/>
                <w:rtl/>
              </w:rPr>
            </w:r>
            <w:r>
              <w:rPr>
                <w:rFonts w:ascii="Arial" w:hAnsi="Arial" w:cs="Arial"/>
                <w:b w:val="0"/>
                <w:sz w:val="17"/>
                <w:rtl/>
              </w:rPr>
              <w:t>پیامد بازتابی (PEF)</w:t>
            </w:r>
          </w:p>
        </w:tc>
        <w:tc>
          <w:tcPr>
            <w:tcW w:type="dxa" w:w="5102"/>
          </w:tcPr>
          <w:p>
            <w:pPr>
              <w:bidi/>
              <w:jc w:val="right"/>
            </w:pPr>
            <w:r>
              <w:rPr>
                <w:rFonts w:ascii="Arial" w:hAnsi="Arial" w:cs="Arial"/>
                <w:rtl/>
              </w:rPr>
            </w:r>
            <w:r>
              <w:rPr>
                <w:rFonts w:ascii="Arial" w:hAnsi="Arial" w:cs="Arial"/>
                <w:b w:val="0"/>
                <w:sz w:val="17"/>
                <w:rtl/>
              </w:rPr>
              <w:t>بارها ≥ 0.70 (0.40 تا 0.70 اگر پایایی ترکیبی و AVE برقرار باشد)؛ پایایی ترکیبی 0.70 تا 0.95؛ AVE ≥ 0.50؛ HTMT کمتر از 0.85 یا 0.90 (حدود قراردادی)</w:t>
            </w:r>
          </w:p>
        </w:tc>
        <w:tc>
          <w:tcPr>
            <w:tcW w:type="dxa" w:w="2268"/>
          </w:tcPr>
          <w:p>
            <w:pPr>
              <w:bidi/>
              <w:jc w:val="right"/>
            </w:pPr>
            <w:r>
              <w:rPr>
                <w:rFonts w:ascii="Arial" w:hAnsi="Arial" w:cs="Arial"/>
                <w:rtl/>
              </w:rPr>
            </w:r>
            <w:r>
              <w:rPr>
                <w:rFonts w:ascii="Arial" w:hAnsi="Arial" w:cs="Arial"/>
                <w:b w:val="0"/>
                <w:sz w:val="17"/>
                <w:rtl/>
              </w:rPr>
              <w:t>Hair et al. (2019); Henseler et al. (2015)</w:t>
            </w:r>
          </w:p>
        </w:tc>
      </w:tr>
      <w:tr>
        <w:tc>
          <w:tcPr>
            <w:tcW w:type="dxa" w:w="1814"/>
          </w:tcPr>
          <w:p>
            <w:pPr>
              <w:bidi/>
              <w:jc w:val="right"/>
            </w:pPr>
            <w:r>
              <w:rPr>
                <w:rFonts w:ascii="Arial" w:hAnsi="Arial" w:cs="Arial"/>
                <w:rtl/>
              </w:rPr>
            </w:r>
            <w:r>
              <w:rPr>
                <w:rFonts w:ascii="Arial" w:hAnsi="Arial" w:cs="Arial"/>
                <w:b w:val="0"/>
                <w:sz w:val="17"/>
                <w:rtl/>
              </w:rPr>
              <w:t>مدل ساختاری</w:t>
            </w:r>
          </w:p>
        </w:tc>
        <w:tc>
          <w:tcPr>
            <w:tcW w:type="dxa" w:w="5102"/>
          </w:tcPr>
          <w:p>
            <w:pPr>
              <w:bidi/>
              <w:jc w:val="right"/>
            </w:pPr>
            <w:r>
              <w:rPr>
                <w:rFonts w:ascii="Arial" w:hAnsi="Arial" w:cs="Arial"/>
                <w:rtl/>
              </w:rPr>
            </w:r>
            <w:r>
              <w:rPr>
                <w:rFonts w:ascii="Arial" w:hAnsi="Arial" w:cs="Arial"/>
                <w:b w:val="0"/>
                <w:sz w:val="17"/>
                <w:rtl/>
              </w:rPr>
              <w:t>VIF درونی کمتر از 3؛ ضرایب مسیر با 5000 نمونه بوت‌استرپ؛ R²، f²؛ PLSpredict (Q²predict و خطای پیش‌بینی در برابر معیار ساده)</w:t>
            </w:r>
          </w:p>
        </w:tc>
        <w:tc>
          <w:tcPr>
            <w:tcW w:type="dxa" w:w="2268"/>
          </w:tcPr>
          <w:p>
            <w:pPr>
              <w:bidi/>
              <w:jc w:val="right"/>
            </w:pPr>
            <w:r>
              <w:rPr>
                <w:rFonts w:ascii="Arial" w:hAnsi="Arial" w:cs="Arial"/>
                <w:rtl/>
              </w:rPr>
            </w:r>
            <w:r>
              <w:rPr>
                <w:rFonts w:ascii="Arial" w:hAnsi="Arial" w:cs="Arial"/>
                <w:b w:val="0"/>
                <w:sz w:val="17"/>
                <w:rtl/>
              </w:rPr>
              <w:t>Hair et al. (2019)</w:t>
            </w:r>
          </w:p>
        </w:tc>
      </w:tr>
      <w:tr>
        <w:tc>
          <w:tcPr>
            <w:tcW w:type="dxa" w:w="1814"/>
          </w:tcPr>
          <w:p>
            <w:pPr>
              <w:bidi/>
              <w:jc w:val="right"/>
            </w:pPr>
            <w:r>
              <w:rPr>
                <w:rFonts w:ascii="Arial" w:hAnsi="Arial" w:cs="Arial"/>
                <w:rtl/>
              </w:rPr>
            </w:r>
            <w:r>
              <w:rPr>
                <w:rFonts w:ascii="Arial" w:hAnsi="Arial" w:cs="Arial"/>
                <w:b w:val="0"/>
                <w:sz w:val="17"/>
                <w:rtl/>
              </w:rPr>
              <w:t>میانجی‌گری و تعدیل</w:t>
            </w:r>
          </w:p>
        </w:tc>
        <w:tc>
          <w:tcPr>
            <w:tcW w:type="dxa" w:w="5102"/>
          </w:tcPr>
          <w:p>
            <w:pPr>
              <w:bidi/>
              <w:jc w:val="right"/>
            </w:pPr>
            <w:r>
              <w:rPr>
                <w:rFonts w:ascii="Arial" w:hAnsi="Arial" w:cs="Arial"/>
                <w:rtl/>
              </w:rPr>
            </w:r>
            <w:r>
              <w:rPr>
                <w:rFonts w:ascii="Arial" w:hAnsi="Arial" w:cs="Arial"/>
                <w:b w:val="0"/>
                <w:sz w:val="17"/>
                <w:rtl/>
              </w:rPr>
              <w:t>اثرهای غیرمستقیم بوت‌استرپ؛ جمله‌های تعاملی دومرحله‌ای و شیب‌های ساده</w:t>
            </w:r>
          </w:p>
        </w:tc>
        <w:tc>
          <w:tcPr>
            <w:tcW w:type="dxa" w:w="2268"/>
          </w:tcPr>
          <w:p>
            <w:pPr>
              <w:bidi/>
              <w:jc w:val="right"/>
            </w:pPr>
            <w:r>
              <w:rPr>
                <w:rFonts w:ascii="Arial" w:hAnsi="Arial" w:cs="Arial"/>
                <w:rtl/>
              </w:rPr>
            </w:r>
            <w:r>
              <w:rPr>
                <w:rFonts w:ascii="Arial" w:hAnsi="Arial" w:cs="Arial"/>
                <w:b w:val="0"/>
                <w:sz w:val="17"/>
                <w:rtl/>
              </w:rPr>
              <w:t>Hair et al. (2019)</w:t>
            </w:r>
          </w:p>
        </w:tc>
      </w:tr>
      <w:tr>
        <w:tc>
          <w:tcPr>
            <w:tcW w:type="dxa" w:w="1814"/>
          </w:tcPr>
          <w:p>
            <w:pPr>
              <w:bidi/>
              <w:jc w:val="right"/>
            </w:pPr>
            <w:r>
              <w:rPr>
                <w:rFonts w:ascii="Arial" w:hAnsi="Arial" w:cs="Arial"/>
                <w:rtl/>
              </w:rPr>
            </w:r>
            <w:r>
              <w:rPr>
                <w:rFonts w:ascii="Arial" w:hAnsi="Arial" w:cs="Arial"/>
                <w:b w:val="0"/>
                <w:sz w:val="17"/>
                <w:rtl/>
              </w:rPr>
              <w:t>مقایسه گروه‌ها</w:t>
            </w:r>
          </w:p>
        </w:tc>
        <w:tc>
          <w:tcPr>
            <w:tcW w:type="dxa" w:w="5102"/>
          </w:tcPr>
          <w:p>
            <w:pPr>
              <w:bidi/>
              <w:jc w:val="right"/>
            </w:pPr>
            <w:r>
              <w:rPr>
                <w:rFonts w:ascii="Arial" w:hAnsi="Arial" w:cs="Arial"/>
                <w:rtl/>
              </w:rPr>
            </w:r>
            <w:r>
              <w:rPr>
                <w:rFonts w:ascii="Arial" w:hAnsi="Arial" w:cs="Arial"/>
                <w:b w:val="0"/>
                <w:sz w:val="17"/>
                <w:rtl/>
              </w:rPr>
              <w:t>گام‌های 1 تا 3 MICOM؛ تحلیل چندگروهی مبتنی بر جایگشت با تصحیح هولم</w:t>
            </w:r>
          </w:p>
        </w:tc>
        <w:tc>
          <w:tcPr>
            <w:tcW w:type="dxa" w:w="2268"/>
          </w:tcPr>
          <w:p>
            <w:pPr>
              <w:bidi/>
              <w:jc w:val="right"/>
            </w:pPr>
            <w:r>
              <w:rPr>
                <w:rFonts w:ascii="Arial" w:hAnsi="Arial" w:cs="Arial"/>
                <w:rtl/>
              </w:rPr>
            </w:r>
            <w:r>
              <w:rPr>
                <w:rFonts w:ascii="Arial" w:hAnsi="Arial" w:cs="Arial"/>
                <w:b w:val="0"/>
                <w:sz w:val="17"/>
                <w:rtl/>
              </w:rPr>
              <w:t>Henseler et al. (2016)</w:t>
            </w:r>
          </w:p>
        </w:tc>
      </w:tr>
      <w:tr>
        <w:tc>
          <w:tcPr>
            <w:tcW w:type="dxa" w:w="1814"/>
          </w:tcPr>
          <w:p>
            <w:pPr>
              <w:bidi/>
              <w:jc w:val="right"/>
            </w:pPr>
            <w:r>
              <w:rPr>
                <w:rFonts w:ascii="Arial" w:hAnsi="Arial" w:cs="Arial"/>
                <w:rtl/>
              </w:rPr>
            </w:r>
            <w:r>
              <w:rPr>
                <w:rFonts w:ascii="Arial" w:hAnsi="Arial" w:cs="Arial"/>
                <w:b w:val="0"/>
                <w:sz w:val="17"/>
                <w:rtl/>
              </w:rPr>
              <w:t>سوگیری روش مشترک</w:t>
            </w:r>
          </w:p>
        </w:tc>
        <w:tc>
          <w:tcPr>
            <w:tcW w:type="dxa" w:w="5102"/>
          </w:tcPr>
          <w:p>
            <w:pPr>
              <w:bidi/>
              <w:jc w:val="right"/>
            </w:pPr>
            <w:r>
              <w:rPr>
                <w:rFonts w:ascii="Arial" w:hAnsi="Arial" w:cs="Arial"/>
                <w:rtl/>
              </w:rPr>
            </w:r>
            <w:r>
              <w:rPr>
                <w:rFonts w:ascii="Arial" w:hAnsi="Arial" w:cs="Arial"/>
                <w:b w:val="0"/>
                <w:sz w:val="17"/>
                <w:rtl/>
              </w:rPr>
              <w:t>VIF هم‌خطی کامل 3.3 یا کمتر</w:t>
            </w:r>
          </w:p>
        </w:tc>
        <w:tc>
          <w:tcPr>
            <w:tcW w:type="dxa" w:w="2268"/>
          </w:tcPr>
          <w:p>
            <w:pPr>
              <w:bidi/>
              <w:jc w:val="right"/>
            </w:pPr>
            <w:r>
              <w:rPr>
                <w:rFonts w:ascii="Arial" w:hAnsi="Arial" w:cs="Arial"/>
                <w:rtl/>
              </w:rPr>
            </w:r>
            <w:r>
              <w:rPr>
                <w:rFonts w:ascii="Arial" w:hAnsi="Arial" w:cs="Arial"/>
                <w:b w:val="0"/>
                <w:sz w:val="17"/>
                <w:rtl/>
              </w:rPr>
              <w:t>Kock (2015); Podsakoff et al. (2003)</w:t>
            </w:r>
          </w:p>
        </w:tc>
      </w:tr>
    </w:tbl>
    <w:p/>
    <w:p>
      <w:pPr>
        <w:spacing w:after="100" w:line="288" w:lineRule="auto"/>
        <w:bidi/>
        <w:jc w:val="right"/>
      </w:pPr>
      <w:r>
        <w:rPr>
          <w:rFonts w:ascii="Arial" w:hAnsi="Arial" w:cs="Arial"/>
          <w:b/>
          <w:color w:val="1F3864"/>
          <w:sz w:val="25"/>
          <w:rtl/>
        </w:rPr>
        <w:t>3-6. اخلاق و مدیریت داده</w:t>
      </w:r>
    </w:p>
    <w:p>
      <w:pPr>
        <w:spacing w:after="140" w:line="336" w:lineRule="auto"/>
        <w:bidi/>
        <w:jc w:val="right"/>
      </w:pPr>
      <w:r>
        <w:rPr>
          <w:rFonts w:ascii="Arial" w:hAnsi="Arial" w:cs="Arial"/>
          <w:b w:val="0"/>
          <w:rtl/>
        </w:rPr>
        <w:t>مشارکت داوطلبانه، ناشناس و بر پایه رضایت آگاهانه است؛ نام افراد یا سازمان‌ها گردآوری نمی‌شود؛ داده‌ها [پنج] سال روی حافظه رمزگذاری‌شده نگهداری می‌شوند و مطالعه توسط [کمیته، کد تأیید] تأیید شد. ابزارهای هوش مصنوعی مولد فقط برای ویرایش زبان به کار رفتند و نویسندگان همه محتوا و ارجاع‌ها را راستی‌آزمایی کردند.</w:t>
      </w:r>
    </w:p>
    <w:p>
      <w:pPr>
        <w:spacing w:after="140" w:line="288" w:lineRule="auto"/>
        <w:jc w:val="left"/>
      </w:pPr>
      <w:r>
        <w:rPr>
          <w:b/>
          <w:color w:val="1F3864"/>
          <w:sz w:val="26"/>
        </w:rPr>
        <w:t>References</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Diamantopoulos, A., &amp; Winklhofer, H. M. (2001). Index construction with formative indicators: An alternative to scale development. Journal of Marketing Research, 38(2), 269–277. https://doi.org/10.1509/jmkr.38.2.269.18845</w:t>
      </w:r>
    </w:p>
    <w:p>
      <w:pPr>
        <w:spacing w:after="60" w:line="264" w:lineRule="auto"/>
        <w:ind w:left="567" w:hanging="567"/>
        <w:jc w:val="left"/>
      </w:pPr>
      <w:r>
        <w:rPr>
          <w:b w:val="0"/>
          <w:sz w:val="20"/>
        </w:rPr>
        <w:t>Hair, J. F., Risher, J. J., Sarstedt, M., &amp; Ringle, C. M. (2019). When to use and how to report the results of PLS-SEM. European Business Review, 31(1), 2–24. https://doi.org/10.1108/EBR-11-2018-0203</w:t>
      </w:r>
    </w:p>
    <w:p>
      <w:pPr>
        <w:spacing w:after="60" w:line="264" w:lineRule="auto"/>
        <w:ind w:left="567" w:hanging="567"/>
        <w:jc w:val="left"/>
      </w:pPr>
      <w:r>
        <w:rPr>
          <w:b w:val="0"/>
          <w:sz w:val="20"/>
        </w:rPr>
        <w:t>Henseler, J., Ringle, C. M., &amp; Sarstedt, M. (2015). A new criterion for assessing discriminant validity in variance-based structural equation modeling. Journal of the Academy of Marketing Science, 43(1), 115–135. https://doi.org/10.1007/s11747-014-0403-8</w:t>
      </w:r>
    </w:p>
    <w:p>
      <w:pPr>
        <w:spacing w:after="60" w:line="264" w:lineRule="auto"/>
        <w:ind w:left="567" w:hanging="567"/>
        <w:jc w:val="left"/>
      </w:pPr>
      <w:r>
        <w:rPr>
          <w:b w:val="0"/>
          <w:sz w:val="20"/>
        </w:rPr>
        <w:t>Henseler, J., Ringle, C. M., &amp; Sarstedt, M. (2016). Testing measurement invariance of composites using partial least squares. International Marketing Review, 33(3), 405–431. https://doi.org/10.1108/IMR-09-2014-0304</w:t>
      </w:r>
    </w:p>
    <w:p>
      <w:pPr>
        <w:spacing w:after="60" w:line="264" w:lineRule="auto"/>
        <w:ind w:left="567" w:hanging="567"/>
        <w:jc w:val="left"/>
      </w:pPr>
      <w:r>
        <w:rPr>
          <w:b w:val="0"/>
          <w:sz w:val="20"/>
        </w:rPr>
        <w:t>Kock, N. (2015). Common method bias in PLS-SEM: A full collinearity assessment approach. International Journal of e-Collaboration, 11(4), 1–10. https://doi.org/10.4018/ijec.2015100101</w:t>
      </w:r>
    </w:p>
    <w:p>
      <w:pPr>
        <w:spacing w:after="60" w:line="264" w:lineRule="auto"/>
        <w:ind w:left="567" w:hanging="567"/>
        <w:jc w:val="left"/>
      </w:pPr>
      <w:r>
        <w:rPr>
          <w:b w:val="0"/>
          <w:sz w:val="20"/>
        </w:rPr>
        <w:t>Kock, N., &amp; Hadaya, P. (2018). Minimum sample size estimation in PLS-SEM: The inverse square root and gamma-exponential methods. Information Systems Journal, 28(1), 227–261. https://doi.org/10.1111/isj.12131</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Podsakoff, P. M., MacKenzie, S. B., Lee, J.-Y., &amp; Podsakoff, N. P. (2003). Common method biases in behavioral research: A critical review of the literature and recommended remedies. Journal of Applied Psychology, 88(5), 879–903. https://doi.org/10.1037/0021-9010.88.5.879</w:t>
      </w:r>
    </w:p>
    <w:p>
      <w:pPr>
        <w:spacing w:after="60" w:line="264" w:lineRule="auto"/>
        <w:ind w:left="567" w:hanging="567"/>
        <w:jc w:val="left"/>
      </w:pPr>
      <w:r>
        <w:rPr>
          <w:b w:val="0"/>
          <w:sz w:val="20"/>
        </w:rPr>
        <w:t>Sarstedt, M., Hair, J. F., Cheah, J.-H., Becker, J.-M., &amp; Ringle, C. M. (2019). How to specify, estimate, and validate higher-order constructs in PLS-SEM. Australasian Marketing Journal, 27(3), 197–211. https://doi.org/10.1016/j.ausmj.2019.05.003</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