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Version 3.0 (English) — October 2026 — Pilot draft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[15]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r>
        <w:br w:type="page"/>
      </w:r>
    </w:p>
    <w:p>
      <w:pPr>
        <w:pStyle w:val="Heading2"/>
        <w:keepNext/>
        <w:bidi w:val="false"/>
        <w:spacing w:after="120" w:before="280"/>
      </w:pPr>
      <w:r>
        <w:rPr>
          <w:rFonts w:ascii="Arial" w:cs="Arial" w:eastAsia="Arial" w:hAnsi="Arial"/>
          <w:b/>
          <w:bCs/>
          <w:color w:val="2E5597"/>
          <w:sz w:val="25"/>
          <w:szCs w:val="25"/>
          <w:rtl w:val="false"/>
        </w:rPr>
        <w:t xml:space="preserve">Time budget on the reference engagement</w:t>
      </w:r>
    </w:p>
    <w:p>
      <w:pPr>
        <w:bidi w:val="false"/>
        <w:spacing w:after="100" w:line="300"/>
      </w:pPr>
      <w:r>
        <w:rPr>
          <w:rFonts w:ascii="Arial" w:cs="Arial" w:eastAsia="Arial" w:hAnsi="Arial"/>
          <w:b/>
          <w:bCs/>
          <w:sz w:val="22"/>
          <w:szCs w:val="22"/>
          <w:rtl w:val="false"/>
        </w:rPr>
        <w:t xml:space="preserve">BT1. In general, were the time budgets for the jobs you worked on in the reference engagement:</w:t>
      </w:r>
    </w:p>
    <w:p>
      <w:pPr>
        <w:bidi w:val="false"/>
        <w:spacing w:after="100" w:line="300"/>
      </w:pPr>
      <w:r>
        <w:rPr>
          <w:rFonts w:ascii="Arial" w:cs="Arial" w:eastAsia="Arial" w:hAnsi="Arial"/>
          <w:sz w:val="22"/>
          <w:szCs w:val="22"/>
          <w:rtl w:val="false"/>
        </w:rPr>
        <w:t xml:space="preserve">☐ Very easy to attain  ☐ Attainable with reasonable effort  ☐ Attainable with considerable effort  ☐ Very tight, practically unattainable  ☐ Impossible to achieve</w:t>
      </w:r>
    </w:p>
    <w:p>
      <w:pPr>
        <w:bidi w:val="false"/>
        <w:spacing w:after="100" w:line="300"/>
      </w:pPr>
      <w:r>
        <w:rPr>
          <w:rFonts w:ascii="Arial" w:cs="Arial" w:eastAsia="Arial" w:hAnsi="Arial"/>
          <w:b/>
          <w:bCs/>
          <w:sz w:val="22"/>
          <w:szCs w:val="22"/>
          <w:rtl w:val="false"/>
        </w:rPr>
        <w:t xml:space="preserve">BT2. How often do you achieve your time budgets?</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b/>
          <w:bCs/>
          <w:sz w:val="22"/>
          <w:szCs w:val="22"/>
          <w:rtl w:val="false"/>
        </w:rPr>
        <w:t xml:space="preserve">BT3. If you did not under-report any time, how often would you meet budget?</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sz w:val="20"/>
          <w:szCs w:val="20"/>
          <w:rtl w:val="false"/>
        </w:rPr>
        <w:t xml:space="preserve">To what extent do each of the following influence the time budgets which are set for your clients? 1 = Not at all … 5 = Very great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Last year's reported actual</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Estimated time to complete audit programme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Fees expected by clients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often did members of this team disagree about opinions regarding the work being done?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conflict about the work you did was there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what extent were there differences of opinion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frequently were there conflicts about ideas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Placeholder: "Obedience pressure"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the literature obedience pressure is usually manipulated through scenarios (DeZoort &amp; Lord 1994; Lord &amp; DeZoort 2001), not measured with a multi-item scale. If Tsunogaya et al. also has no self-report scale, Situation 2 (the client situation) takes its place and this block is deleted.]</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Answer the first three questions by degree and the next four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Is your work emotionally exhausting?</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burnt out because of your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your work frustrate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worn out at the end of the working day?</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exhausted in the morning at the thought of another day at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every working hour is tiring for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have enough energy for family and friends during leisure time?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 in order to meet budget.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worked on my personal time without recording the hours.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shifted part of my time to non-chargeable codes.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4 versions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w:t>
      </w:r>
    </w:p>
    <w:p>
      <w:pPr>
        <w:bidi w:val="false"/>
        <w:spacing w:after="100" w:line="300"/>
      </w:pPr>
      <w:r>
        <w:rPr>
          <w:rFonts w:ascii="Arial" w:cs="Arial" w:eastAsia="Arial" w:hAnsi="Arial"/>
          <w:sz w:val="22"/>
          <w:szCs w:val="22"/>
          <w:rtl w:val="false"/>
        </w:rPr>
        <w:t xml:space="preserve">Imagine that on another engagement, while testing inventory valuation, you conclude that a material write-down is needed and has not been recorded.</w:t>
      </w:r>
    </w:p>
    <w:p>
      <w:pPr>
        <w:bidi w:val="false"/>
        <w:spacing w:after="100" w:line="300"/>
      </w:pPr>
      <w:r>
        <w:rPr>
          <w:rFonts w:ascii="Arial" w:cs="Arial" w:eastAsia="Arial" w:hAnsi="Arial"/>
          <w:i/>
          <w:iCs/>
          <w:sz w:val="19"/>
          <w:szCs w:val="19"/>
          <w:rtl w:val="false"/>
        </w:rPr>
        <w:t xml:space="preserve">[Client pressure — one of two texts:]</w:t>
      </w:r>
    </w:p>
    <w:p>
      <w:pPr>
        <w:bidi w:val="false"/>
        <w:spacing w:after="100" w:line="300"/>
      </w:pPr>
      <w:r>
        <w:rPr>
          <w:rFonts w:ascii="Arial" w:cs="Arial" w:eastAsia="Arial" w:hAnsi="Arial"/>
          <w:sz w:val="22"/>
          <w:szCs w:val="22"/>
          <w:rtl w:val="false"/>
        </w:rPr>
        <w:t xml:space="preserve">(A – high pressure) The partner has told you this client is one of the firm's few key clients. The client's finance director asks you not to raise the matter and hints they may switch auditors next year if you insist.</w:t>
      </w:r>
    </w:p>
    <w:p>
      <w:pPr>
        <w:bidi w:val="false"/>
        <w:spacing w:after="100" w:line="300"/>
      </w:pPr>
      <w:r>
        <w:rPr>
          <w:rFonts w:ascii="Arial" w:cs="Arial" w:eastAsia="Arial" w:hAnsi="Arial"/>
          <w:sz w:val="22"/>
          <w:szCs w:val="22"/>
          <w:rtl w:val="false"/>
        </w:rPr>
        <w:t xml:space="preserve">(B – low pressure) The client is an ordinary client of the firm and the finance director says you should report whatever conclusion you consider necessary.</w:t>
      </w:r>
    </w:p>
    <w:p>
      <w:pPr>
        <w:bidi w:val="false"/>
        <w:spacing w:after="100" w:line="300"/>
      </w:pPr>
      <w:r>
        <w:rPr>
          <w:rFonts w:ascii="Arial" w:cs="Arial" w:eastAsia="Arial" w:hAnsi="Arial"/>
          <w:i/>
          <w:iCs/>
          <w:sz w:val="19"/>
          <w:szCs w:val="19"/>
          <w:rtl w:val="false"/>
        </w:rPr>
        <w:t xml:space="preserve">[Firm support — one of two texts:]</w:t>
      </w:r>
    </w:p>
    <w:p>
      <w:pPr>
        <w:bidi w:val="false"/>
        <w:spacing w:after="100" w:line="300"/>
      </w:pPr>
      <w:r>
        <w:rPr>
          <w:rFonts w:ascii="Arial" w:cs="Arial" w:eastAsia="Arial" w:hAnsi="Arial"/>
          <w:sz w:val="22"/>
          <w:szCs w:val="22"/>
          <w:rtl w:val="false"/>
        </w:rPr>
        <w:t xml:space="preserve">(A – explicit support) The firm has a written, actively applied policy of supporting auditors who raise findings.</w:t>
      </w:r>
    </w:p>
    <w:p>
      <w:pPr>
        <w:bidi w:val="false"/>
        <w:spacing w:after="100" w:line="300"/>
      </w:pPr>
      <w:r>
        <w:rPr>
          <w:rFonts w:ascii="Arial" w:cs="Arial" w:eastAsia="Arial" w:hAnsi="Arial"/>
          <w:sz w:val="22"/>
          <w:szCs w:val="22"/>
          <w:rtl w:val="false"/>
        </w:rPr>
        <w:t xml:space="preserve">(B – unclear support) The firm has no clear position on whether it supports auditors in such cases.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V2a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Play the matter down in the working papers.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V2b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Raise it only verbally and not document it in the working papers.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V2c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Insist that the adjustment is recorded and reported.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V2d. In your view, what percentage of auditors at your level would play the matter down or not raise it in such a situation? [0–100%]</w:t>
      </w:r>
    </w:p>
    <w:p>
      <w:pPr>
        <w:bidi w:val="false"/>
        <w:spacing w:after="100" w:line="300"/>
      </w:pPr>
      <w:r>
        <w:rPr>
          <w:rFonts w:ascii="Arial" w:cs="Arial" w:eastAsia="Arial" w:hAnsi="Arial"/>
          <w:sz w:val="20"/>
          <w:szCs w:val="20"/>
          <w:rtl w:val="false"/>
        </w:rPr>
        <w:t xml:space="preserve">Manipulation checks (1 = Not at all … 7 = Very): V2m1: How high was the client pressure?  V2m2: How clear was the firm's support?</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affective commitment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(user-supplied image), Factor 1; "nursing" replaced by "auditing"</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affective commitment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Allen &amp; Meyer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Factor 4</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Appendix questions 6 and 7 (based on Alderman &amp; Deitrick 1982; Kelley &amp; Margheim 1987, 1990). The same behaviours are used by Paino, Thani &amp; Syed Ahmad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The percentages in your image (37, 41, 29, 33, 26 and 28%) match Otley &amp; Pierce's text exactly, so the image comes from that paper. Scale Nearly always = 5 … Never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Cite Paino as a later application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Under-reporting of time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VIII (after Kelley &amp; Seiler 1982) and the dysfunctional-behaviour section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Structure VERIFIED: URT measured by a direct question and a question about "seniors in general"; two Table VIII responses ("working on personal time", "shift time to non-chargeable") are table labels. Full wording of DB6, DB7, PN6 is mine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wording to paper; 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and reverse keys (1, 3, 5) match your report. Scale: 7-point, Very inaccurate to Very accurate (per republication evidence; the scale paragraph of the paper itself not directly seen). team → audit team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the scale paragraph in Methods; report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Table 1 (Factor Analysis of Intragroup Conflict Items)</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 of 8 verified (4 relationship + 3 task: TC1, TC2, TC4). TC3 ("To what extent are there differences of opinion…") is unverified. 5-point: 1 = None to 5 = A lot; midpoint labels not reported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See row 8 of Table 1</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Work-related burnout</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Seven items and response type per item established: EX1–EX3 intensity (To a very high degree … To a very low degree), EX4–EX7 frequency (Always … Never/almost never), EX7 reversed. Source is a republication of the English form, not the 2005 table. Do not rename the subscale "emotional exhaustion"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the 2005 table; check terms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MD-8</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item 1 and item domains confirmed by secondary source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 internalization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original paper (Table 3, p. 1428): nine traits, 10 final items (5 internalization + 5 symbolization); items 1, 2, 4(R), 5(R), 7 = MI1–MI5. 5-point, strongly disagree to strongly agree. Only internalization is used here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that only the internalization subscale was used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DeZoort &amp; Lord (1994); Lord &amp; DeZoort (2001); Tsunogaya et al. (2017)</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Items not found. The Tsunogaya abstract only confirms the construct. In this literature obedience pressure is often manipulated through scenarios</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Tsunogaya Methods; Situation 2 may suffice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II (Q1 after Kelley &amp; Seiler 1982 and Kelley &amp; Margheim 1990; Q2–Q3 their own)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wording and options (5 to 1). Correlations 0.64–0.67; composite alpha 0.85 (per your text). Q3 presupposes under-reporting and is sensitive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changed from "last year" to "reference engagement";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time budgets (client fee expectation)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question and three options, 1–5. "Fees expected by clients" can indicate client pressure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Useful for Paper 2</w:t>
            </w:r>
          </w:p>
        </w:tc>
      </w:tr>
    </w:tbl>
    <w:p>
      <w:pPr>
        <w:bidi w:val="false"/>
        <w:spacing w:after="100" w:line="300"/>
      </w:pPr>
      <w:r>
        <w:rPr>
          <w:rFonts w:ascii="Arial" w:cs="Arial" w:eastAsia="Arial" w:hAnsi="Arial"/>
          <w:i/>
          <w:iCs/>
          <w:sz w:val="22"/>
          <w:szCs w:val="22"/>
          <w:rtl w:val="false"/>
        </w:rPr>
        <w:t xml:space="preserve">Reverse-keyed items: OC2, OC4, OC5; AC3, AC4, AC5; TS1, TS3, TS5; MI3, MI4; EX7; V2c. Lencioni is used only as a conceptual framework; measurement uses psychological safety and conflict (only "trust" overlaps with Lencioni).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Relationship/task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 TC1–4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OC1–OC6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AC1–AC6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 1–5 ≈ 0–100</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V2a–c</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V2c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 composite (reported alpha .85); BT1: 5 = easy … 1 = impossible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budgets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FI3 = fee-expectation pressure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2026-10-08T17:19:23.864Z</dcterms:created>
  <dcterms:modified xsi:type="dcterms:W3CDTF">2026-10-08T17:19:23.864Z</dcterms:modified>
</cp:coreProperties>
</file>

<file path=docProps/custom.xml><?xml version="1.0" encoding="utf-8"?>
<Properties xmlns="http://schemas.openxmlformats.org/officeDocument/2006/custom-properties" xmlns:vt="http://schemas.openxmlformats.org/officeDocument/2006/docPropsVTypes"/>
</file>