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Methodology</w:t>
      </w:r>
    </w:p>
    <w:p>
      <w:pPr>
        <w:pStyle w:val="Subtitle"/>
      </w:pPr>
      <w:r>
        <w:t xml:space="preserve">The Asymmetric Impact of Managerial Ability on Investment Efficiency under Capital Structure Deviation: Evidence from Emerging Markets</w:t>
      </w:r>
    </w:p>
    <w:bookmarkStart w:id="34" w:name="research-methodology"/>
    <w:p>
      <w:pPr>
        <w:pStyle w:val="Heading1"/>
      </w:pPr>
      <w:r>
        <w:t xml:space="preserve">3. Research Methodology</w:t>
      </w:r>
    </w:p>
    <w:bookmarkStart w:id="9" w:name="sample-selection-and-data-sources"/>
    <w:p>
      <w:pPr>
        <w:pStyle w:val="Heading2"/>
      </w:pPr>
      <w:r>
        <w:t xml:space="preserve">3.1 Sample Selection and Data Sources</w:t>
      </w:r>
    </w:p>
    <w:p>
      <w:pPr>
        <w:pStyle w:val="FirstParagraph"/>
      </w:pPr>
      <w:r>
        <w:t xml:space="preserve">The population comprises all firms listed on the Tehran Stock Exchange (TSE) over the Iranian fiscal years 1393–1403 (11 years, approximately March 2014 to March 2025). Data for fiscal year 1392 are also collected as a base year, used only to compute variables that need prior-year values (lagged total assets, sales growth and lagged determinants). A purposive (screening) sample is drawn using the following criteria:</w:t>
      </w:r>
    </w:p>
    <w:p>
      <w:pPr>
        <w:pStyle w:val="Compact"/>
        <w:numPr>
          <w:ilvl w:val="0"/>
          <w:numId w:val="1001"/>
        </w:numPr>
      </w:pPr>
      <w:r>
        <w:t xml:space="preserve">The fiscal year ends in March (end of Esfand), and the firm did not change its fiscal year during the sample period, so that all firm-years share the same macroeconomic window.</w:t>
      </w:r>
    </w:p>
    <w:p>
      <w:pPr>
        <w:pStyle w:val="Compact"/>
        <w:numPr>
          <w:ilvl w:val="0"/>
          <w:numId w:val="1001"/>
        </w:numPr>
      </w:pPr>
      <w:r>
        <w:t xml:space="preserve">Banks, credit institutions, investment companies, holdings and leasing companies are excluded because their capital structure, asset composition and regulatory reporting differ fundamentally from non-financial firms (Fama &amp; French, 1992).</w:t>
      </w:r>
    </w:p>
    <w:p>
      <w:pPr>
        <w:pStyle w:val="Compact"/>
        <w:numPr>
          <w:ilvl w:val="0"/>
          <w:numId w:val="1001"/>
        </w:numPr>
      </w:pPr>
      <w:r>
        <w:t xml:space="preserve">The firm is continuously listed and has the financial and market data required to compute every model variable. Delisted firms and firms with missing data in consecutive years are removed.</w:t>
      </w:r>
    </w:p>
    <w:p>
      <w:pPr>
        <w:pStyle w:val="FirstParagraph"/>
      </w:pPr>
      <w:r>
        <w:t xml:space="preserve">Financial statement data are collected from the Codal disclosure system and the Rahavard Novin database. Market data (market value of equity) and the annual inflation rate are taken from the TSE and the Central Bank of the Islamic Republic of Iran, respectively. The final sample is a balanced panel of 299 firms: 3,289 firm-years in 1393–1403, plus 299 base-year observations from 1392 (3,588 records in total).</w:t>
      </w:r>
    </w:p>
    <w:p>
      <w:pPr>
        <w:pStyle w:val="BodyText"/>
      </w:pPr>
      <w:r>
        <w:t xml:space="preserve">The raw data items are: firm age; inflation (INF); inventory (INV); intangible assets (IA); net property, plant and equipment (PPE); total assets (TA); total debt (TD); book value of equity (BV); sales; cost of goods sold (COGS); selling, general and administrative expenses (SGA); operating income (OI); financial expense (FinExp); operating, investing and financing cash flows (CFO, CFI, CFF); and market value of equity (MV). Firms are classified into industries by the TSE industry code (IndID).</w:t>
      </w:r>
    </w:p>
    <w:p>
      <w:pPr>
        <w:pStyle w:val="BodyText"/>
      </w:pPr>
      <w:r>
        <w:t xml:space="preserve">Because the models use lags, the first usable year differs by step:</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Step</w:t>
            </w:r>
          </w:p>
        </w:tc>
        <w:tc>
          <w:tcPr>
            <w:shd w:val="clear" w:color="auto" w:fill="E8ECF3"/>
          </w:tcPr>
          <w:p>
            <w:pPr>
              <w:pStyle w:val="Compact"/>
            </w:pPr>
            <w:r>
              <w:rPr>
                <w:b/>
                <w:sz w:val="19"/>
              </w:rPr>
              <w:t xml:space="preserve">Needs</w:t>
            </w:r>
          </w:p>
        </w:tc>
        <w:tc>
          <w:tcPr>
            <w:shd w:val="clear" w:color="auto" w:fill="E8ECF3"/>
          </w:tcPr>
          <w:p>
            <w:pPr>
              <w:pStyle w:val="Compact"/>
            </w:pPr>
            <w:r>
              <w:rPr>
                <w:b/>
                <w:sz w:val="19"/>
              </w:rPr>
              <w:t xml:space="preserve">First usable year</w:t>
            </w:r>
          </w:p>
        </w:tc>
      </w:tr>
      <w:tr>
        <w:tc>
          <w:tcPr/>
          <w:p>
            <w:pPr>
              <w:pStyle w:val="Compact"/>
            </w:pPr>
            <w:r>
              <w:rPr>
                <w:sz w:val="19"/>
              </w:rPr>
              <w:t xml:space="preserve">Target leverage model (determinants at t−1)</w:t>
            </w:r>
          </w:p>
        </w:tc>
        <w:tc>
          <w:tcPr/>
          <w:p>
            <w:pPr>
              <w:pStyle w:val="Compact"/>
            </w:pPr>
            <w:r>
              <w:rPr>
                <w:sz w:val="19"/>
              </w:rPr>
              <w:t xml:space="preserve">1392 values</w:t>
            </w:r>
          </w:p>
        </w:tc>
        <w:tc>
          <w:tcPr/>
          <w:p>
            <w:pPr>
              <w:pStyle w:val="Compact"/>
            </w:pPr>
            <w:r>
              <w:rPr>
                <w:sz w:val="19"/>
              </w:rPr>
              <w:t xml:space="preserve">1393</w:t>
            </w:r>
          </w:p>
        </w:tc>
      </w:tr>
      <w:tr>
        <w:tc>
          <w:tcPr/>
          <w:p>
            <w:pPr>
              <w:pStyle w:val="Compact"/>
            </w:pPr>
            <w:r>
              <w:rPr>
                <w:sz w:val="19"/>
              </w:rPr>
              <w:t xml:space="preserve">Invest and SalesGrowth (t)</w:t>
            </w:r>
          </w:p>
        </w:tc>
        <w:tc>
          <w:tcPr/>
          <w:p>
            <w:pPr>
              <w:pStyle w:val="Compact"/>
            </w:pPr>
            <w:r>
              <w:rPr>
                <w:sz w:val="19"/>
              </w:rPr>
              <w:t xml:space="preserve">Total assets and sales at t−1</w:t>
            </w:r>
          </w:p>
        </w:tc>
        <w:tc>
          <w:tcPr/>
          <w:p>
            <w:pPr>
              <w:pStyle w:val="Compact"/>
            </w:pPr>
            <w:r>
              <w:rPr>
                <w:sz w:val="19"/>
              </w:rPr>
              <w:t xml:space="preserve">1393</w:t>
            </w:r>
          </w:p>
        </w:tc>
      </w:tr>
      <w:tr>
        <w:tc>
          <w:tcPr/>
          <w:p>
            <w:pPr>
              <w:pStyle w:val="Compact"/>
            </w:pPr>
            <w:r>
              <w:rPr>
                <w:sz w:val="19"/>
              </w:rPr>
              <w:t xml:space="preserve">Biddle model (SalesGrowth at t−1) and InvEff</w:t>
            </w:r>
          </w:p>
        </w:tc>
        <w:tc>
          <w:tcPr/>
          <w:p>
            <w:pPr>
              <w:pStyle w:val="Compact"/>
            </w:pPr>
            <w:r>
              <w:rPr>
                <w:sz w:val="19"/>
              </w:rPr>
              <w:t xml:space="preserve">Sales at t−2</w:t>
            </w:r>
          </w:p>
        </w:tc>
        <w:tc>
          <w:tcPr/>
          <w:p>
            <w:pPr>
              <w:pStyle w:val="Compact"/>
            </w:pPr>
            <w:r>
              <w:rPr>
                <w:sz w:val="19"/>
              </w:rPr>
              <w:t xml:space="preserve">1394</w:t>
            </w:r>
          </w:p>
        </w:tc>
      </w:tr>
      <w:tr>
        <w:tc>
          <w:tcPr/>
          <w:p>
            <w:pPr>
              <w:pStyle w:val="Compact"/>
            </w:pPr>
            <w:r>
              <w:rPr>
                <w:sz w:val="19"/>
              </w:rPr>
              <w:t xml:space="preserve">System GMM (InvEff at t−1 plus lagged instruments)</w:t>
            </w:r>
          </w:p>
        </w:tc>
        <w:tc>
          <w:tcPr/>
          <w:p>
            <w:pPr>
              <w:pStyle w:val="Compact"/>
            </w:pPr>
            <w:r>
              <w:rPr>
                <w:sz w:val="19"/>
              </w:rPr>
              <w:t xml:space="preserve">InvEff at t−1</w:t>
            </w:r>
          </w:p>
        </w:tc>
        <w:tc>
          <w:tcPr/>
          <w:p>
            <w:pPr>
              <w:pStyle w:val="Compact"/>
            </w:pPr>
            <w:r>
              <w:rPr>
                <w:sz w:val="19"/>
              </w:rPr>
              <w:t xml:space="preserve">1395</w:t>
            </w:r>
          </w:p>
        </w:tc>
      </w:tr>
    </w:tbl>
    <w:p>
      <w:pPr>
        <w:pStyle w:val="BodyText"/>
      </w:pPr>
      <w:r>
        <w:t xml:space="preserve">All continuous variables are winsorized at the 1st and 99th percentiles. Winsorization is applied to ratios after they are constructed, not to raw accounting levels, so that the ratios themselves are not distorted. Estimations are performed in Stata 17.</w:t>
      </w:r>
    </w:p>
    <w:bookmarkEnd w:id="9"/>
    <w:bookmarkStart w:id="15" w:name="variable-measurement"/>
    <w:p>
      <w:pPr>
        <w:pStyle w:val="Heading2"/>
      </w:pPr>
      <w:r>
        <w:t xml:space="preserve">3.2 Variable Measurement</w:t>
      </w:r>
    </w:p>
    <w:bookmarkStart w:id="10" w:name="X727a8a649412fdca4160d1cfb550d9baddb6f1c"/>
    <w:p>
      <w:pPr>
        <w:pStyle w:val="Heading3"/>
      </w:pPr>
      <w:r>
        <w:t xml:space="preserve">3.2.1 Dependent variable: Investment Inefficiency (InvEff)</w:t>
      </w:r>
    </w:p>
    <w:p>
      <w:pPr>
        <w:pStyle w:val="FirstParagraph"/>
      </w:pPr>
      <w:r>
        <w:t xml:space="preserve">Following Biddle, Hilary and Verdi (2009), expected investment is modeled as a function of prior sales growth:</w:t>
      </w:r>
    </w:p>
    <w:p>
      <w:pPr>
        <w:pStyle w:val="BodyText"/>
      </w:pPr>
      <m:oMathPara>
        <m:oMathParaPr>
          <m:jc m:val="center"/>
        </m:oMathParaPr>
        <m:oMath>
          <m:r>
            <m:t>I</m:t>
          </m:r>
          <m:r>
            <m:t>n</m:t>
          </m:r>
          <m:r>
            <m:t>v</m:t>
          </m:r>
          <m:r>
            <m:t>e</m:t>
          </m:r>
          <m:r>
            <m:t>s</m:t>
          </m:r>
          <m:sSub>
            <m:e>
              <m:r>
                <m:t>t</m:t>
              </m:r>
            </m:e>
            <m:sub>
              <m:r>
                <m:t>i</m:t>
              </m:r>
              <m:r>
                <m:rPr>
                  <m:sty m:val="p"/>
                </m:rPr>
                <m:t>,</m:t>
              </m:r>
              <m:r>
                <m:t>t</m:t>
              </m:r>
            </m:sub>
          </m:sSub>
          <m:r>
            <m:rPr>
              <m:sty m:val="p"/>
            </m:rPr>
            <m:t>=</m:t>
          </m:r>
          <m:sSub>
            <m:e>
              <m:r>
                <m:t>α</m:t>
              </m:r>
            </m:e>
            <m:sub>
              <m:r>
                <m:t>0</m:t>
              </m:r>
            </m:sub>
          </m:sSub>
          <m:r>
            <m:rPr>
              <m:sty m:val="p"/>
            </m:rPr>
            <m:t>+</m:t>
          </m:r>
          <m:sSub>
            <m:e>
              <m:r>
                <m:t>α</m:t>
              </m:r>
            </m:e>
            <m:sub>
              <m:r>
                <m:t>1</m:t>
              </m:r>
            </m:sub>
          </m:sSub>
          <m:r>
            <m:t> </m:t>
          </m:r>
          <m:r>
            <m:t>S</m:t>
          </m:r>
          <m:r>
            <m:t>a</m:t>
          </m:r>
          <m:r>
            <m:t>l</m:t>
          </m:r>
          <m:r>
            <m:t>e</m:t>
          </m:r>
          <m:r>
            <m:t>s</m:t>
          </m:r>
          <m:r>
            <m:t>G</m:t>
          </m:r>
          <m:r>
            <m:t>r</m:t>
          </m:r>
          <m:r>
            <m:t>o</m:t>
          </m:r>
          <m:r>
            <m:t>w</m:t>
          </m:r>
          <m:r>
            <m:t>t</m:t>
          </m:r>
          <m:sSub>
            <m:e>
              <m:r>
                <m:t>h</m:t>
              </m:r>
            </m:e>
            <m:sub>
              <m:r>
                <m:t>i</m:t>
              </m:r>
              <m:r>
                <m:rPr>
                  <m:sty m:val="p"/>
                </m:rPr>
                <m:t>,</m:t>
              </m:r>
              <m:r>
                <m:t>t</m:t>
              </m:r>
              <m:r>
                <m:rPr>
                  <m:sty m:val="p"/>
                </m:rPr>
                <m:t>−</m:t>
              </m:r>
              <m:r>
                <m:t>1</m:t>
              </m:r>
            </m:sub>
          </m:sSub>
          <m:r>
            <m:rPr>
              <m:sty m:val="p"/>
            </m:rPr>
            <m:t>+</m:t>
          </m:r>
          <m:sSub>
            <m:e>
              <m:r>
                <m:t>ε</m:t>
              </m:r>
            </m:e>
            <m:sub>
              <m:r>
                <m:t>i</m:t>
              </m:r>
              <m:r>
                <m:rPr>
                  <m:sty m:val="p"/>
                </m:rPr>
                <m:t>,</m:t>
              </m:r>
              <m:r>
                <m:t>t</m:t>
              </m:r>
            </m:sub>
          </m:sSub>
        </m:oMath>
      </m:oMathPara>
    </w:p>
    <w:p>
      <w:pPr>
        <w:pStyle w:val="FirstParagraph"/>
      </w:pPr>
      <w:r>
        <w:t xml:space="preserve">Invest is the net increase in tangible and intangible assets scaled by lagged total assets. SalesGrowth is the percentage change in sales. The model is estimated separately for each industry-year with at least 10 observations. Cells with fewer observations are estimated by industry over all years with year dummies, so the residual does not absorb industry investment cycles or macroeconomic shocks.</w:t>
      </w:r>
    </w:p>
    <w:p>
      <w:pPr>
        <w:pStyle w:val="BodyText"/>
      </w:pPr>
      <w:r>
        <w:t xml:space="preserve">InvEff is the</w:t>
      </w:r>
      <w:r>
        <w:t xml:space="preserve"> </w:t>
      </w:r>
      <w:r>
        <w:rPr>
          <w:b/>
          <w:bCs/>
        </w:rPr>
        <w:t xml:space="preserve">signed</w:t>
      </w:r>
      <w:r>
        <w:t xml:space="preserve"> </w:t>
      </w:r>
      <w:r>
        <w:t xml:space="preserve">residual. A positive value is over-investment and a negative value is under-investment; it is not converted to an absolute value. Because the dependent variable is signed, a lower InvEff means more under-investment and a higher InvEff means more over-investment. This determines the predicted signs in Section 3.3.</w:t>
      </w:r>
    </w:p>
    <w:bookmarkEnd w:id="10"/>
    <w:bookmarkStart w:id="11" w:name="X353fa2fa64b8dee527b92be26cd804aedcb18b7"/>
    <w:p>
      <w:pPr>
        <w:pStyle w:val="Heading3"/>
      </w:pPr>
      <w:r>
        <w:t xml:space="preserve">3.2.2 Independent variable: Capital Structure Deviation (CSDev)</w:t>
      </w:r>
    </w:p>
    <w:p>
      <w:pPr>
        <w:pStyle w:val="FirstParagraph"/>
      </w:pPr>
      <w:r>
        <w:t xml:space="preserve">Target leverage is estimated with the target leverage model of Synn and Williams (2015):</w:t>
      </w:r>
    </w:p>
    <w:p>
      <w:pPr>
        <w:pStyle w:val="BodyText"/>
      </w:pPr>
      <m:oMathPara>
        <m:oMathParaPr>
          <m:jc m:val="center"/>
        </m:oMathParaPr>
        <m:oMath>
          <m:r>
            <m:t>T</m:t>
          </m:r>
          <m:r>
            <m:t>D</m:t>
          </m:r>
          <m:sSub>
            <m:e>
              <m:r>
                <m:t>A</m:t>
              </m:r>
            </m:e>
            <m:sub>
              <m:r>
                <m:t>i</m:t>
              </m:r>
              <m:r>
                <m:rPr>
                  <m:sty m:val="p"/>
                </m:rPr>
                <m:t>,</m:t>
              </m:r>
              <m:r>
                <m:t>t</m:t>
              </m:r>
            </m:sub>
          </m:sSub>
          <m:r>
            <m:rPr>
              <m:sty m:val="p"/>
            </m:rPr>
            <m:t>=</m:t>
          </m:r>
          <m:sSub>
            <m:e>
              <m:r>
                <m:t>β</m:t>
              </m:r>
            </m:e>
            <m:sub>
              <m:r>
                <m:t>0</m:t>
              </m:r>
            </m:sub>
          </m:sSub>
          <m:r>
            <m:rPr>
              <m:sty m:val="p"/>
            </m:rPr>
            <m:t>+</m:t>
          </m:r>
          <m:sSub>
            <m:e>
              <m:r>
                <m:t>β</m:t>
              </m:r>
            </m:e>
            <m:sub>
              <m:r>
                <m:t>1</m:t>
              </m:r>
            </m:sub>
          </m:sSub>
          <m:r>
            <m:t>I</m:t>
          </m:r>
          <m:r>
            <m:t>O</m:t>
          </m:r>
          <m:sSub>
            <m:e>
              <m:r>
                <m:t>B</m:t>
              </m:r>
            </m:e>
            <m:sub>
              <m:r>
                <m:t>i</m:t>
              </m:r>
              <m:r>
                <m:rPr>
                  <m:sty m:val="p"/>
                </m:rPr>
                <m:t>,</m:t>
              </m:r>
              <m:r>
                <m:t>t</m:t>
              </m:r>
              <m:r>
                <m:rPr>
                  <m:sty m:val="p"/>
                </m:rPr>
                <m:t>−</m:t>
              </m:r>
              <m:r>
                <m:t>1</m:t>
              </m:r>
            </m:sub>
          </m:sSub>
          <m:r>
            <m:rPr>
              <m:sty m:val="p"/>
            </m:rPr>
            <m:t>+</m:t>
          </m:r>
          <m:sSub>
            <m:e>
              <m:r>
                <m:t>β</m:t>
              </m:r>
            </m:e>
            <m:sub>
              <m:r>
                <m:t>2</m:t>
              </m:r>
            </m:sub>
          </m:sSub>
          <m:r>
            <m:t>C</m:t>
          </m:r>
          <m:r>
            <m:t>O</m:t>
          </m:r>
          <m:sSub>
            <m:e>
              <m:r>
                <m:t>L</m:t>
              </m:r>
            </m:e>
            <m:sub>
              <m:r>
                <m:t>i</m:t>
              </m:r>
              <m:r>
                <m:rPr>
                  <m:sty m:val="p"/>
                </m:rPr>
                <m:t>,</m:t>
              </m:r>
              <m:r>
                <m:t>t</m:t>
              </m:r>
              <m:r>
                <m:rPr>
                  <m:sty m:val="p"/>
                </m:rPr>
                <m:t>−</m:t>
              </m:r>
              <m:r>
                <m:t>1</m:t>
              </m:r>
            </m:sub>
          </m:sSub>
          <m:r>
            <m:rPr>
              <m:sty m:val="p"/>
            </m:rPr>
            <m:t>+</m:t>
          </m:r>
          <m:sSub>
            <m:e>
              <m:r>
                <m:t>β</m:t>
              </m:r>
            </m:e>
            <m:sub>
              <m:r>
                <m:t>3</m:t>
              </m:r>
            </m:sub>
          </m:sSub>
          <m:r>
            <m:t>L</m:t>
          </m:r>
          <m:r>
            <m:t>T</m:t>
          </m:r>
          <m:sSub>
            <m:e>
              <m:r>
                <m:t>A</m:t>
              </m:r>
            </m:e>
            <m:sub>
              <m:r>
                <m:t>i</m:t>
              </m:r>
              <m:r>
                <m:rPr>
                  <m:sty m:val="p"/>
                </m:rPr>
                <m:t>,</m:t>
              </m:r>
              <m:r>
                <m:t>t</m:t>
              </m:r>
              <m:r>
                <m:rPr>
                  <m:sty m:val="p"/>
                </m:rPr>
                <m:t>−</m:t>
              </m:r>
              <m:r>
                <m:t>1</m:t>
              </m:r>
            </m:sub>
          </m:sSub>
          <m:r>
            <m:rPr>
              <m:sty m:val="p"/>
            </m:rPr>
            <m:t>+</m:t>
          </m:r>
          <m:sSub>
            <m:e>
              <m:r>
                <m:t>β</m:t>
              </m:r>
            </m:e>
            <m:sub>
              <m:r>
                <m:t>4</m:t>
              </m:r>
            </m:sub>
          </m:sSub>
          <m:r>
            <m:t>M</m:t>
          </m:r>
          <m:r>
            <m:t>T</m:t>
          </m:r>
          <m:sSub>
            <m:e>
              <m:r>
                <m:t>B</m:t>
              </m:r>
            </m:e>
            <m:sub>
              <m:r>
                <m:t>i</m:t>
              </m:r>
              <m:r>
                <m:rPr>
                  <m:sty m:val="p"/>
                </m:rPr>
                <m:t>,</m:t>
              </m:r>
              <m:r>
                <m:t>t</m:t>
              </m:r>
              <m:r>
                <m:rPr>
                  <m:sty m:val="p"/>
                </m:rPr>
                <m:t>−</m:t>
              </m:r>
              <m:r>
                <m:t>1</m:t>
              </m:r>
            </m:sub>
          </m:sSub>
          <m:r>
            <m:rPr>
              <m:sty m:val="p"/>
            </m:rPr>
            <m:t>+</m:t>
          </m:r>
          <m:sSub>
            <m:e>
              <m:r>
                <m:t>β</m:t>
              </m:r>
            </m:e>
            <m:sub>
              <m:r>
                <m:t>5</m:t>
              </m:r>
            </m:sub>
          </m:sSub>
          <m:r>
            <m:t>P</m:t>
          </m:r>
          <m:r>
            <m:t>R</m:t>
          </m:r>
          <m:r>
            <m:t>O</m:t>
          </m:r>
          <m:r>
            <m:t>F</m:t>
          </m:r>
          <m:r>
            <m:t>I</m:t>
          </m:r>
          <m:sSub>
            <m:e>
              <m:r>
                <m:t>T</m:t>
              </m:r>
            </m:e>
            <m:sub>
              <m:r>
                <m:t>i</m:t>
              </m:r>
              <m:r>
                <m:rPr>
                  <m:sty m:val="p"/>
                </m:rPr>
                <m:t>,</m:t>
              </m:r>
              <m:r>
                <m:t>t</m:t>
              </m:r>
              <m:r>
                <m:rPr>
                  <m:sty m:val="p"/>
                </m:rPr>
                <m:t>−</m:t>
              </m:r>
              <m:r>
                <m:t>1</m:t>
              </m:r>
            </m:sub>
          </m:sSub>
          <m:r>
            <m:rPr>
              <m:sty m:val="p"/>
            </m:rPr>
            <m:t>+</m:t>
          </m:r>
          <m:sSub>
            <m:e>
              <m:r>
                <m:t>β</m:t>
              </m:r>
            </m:e>
            <m:sub>
              <m:r>
                <m:t>6</m:t>
              </m:r>
            </m:sub>
          </m:sSub>
          <m:r>
            <m:t>I</m:t>
          </m:r>
          <m:r>
            <m:t>N</m:t>
          </m:r>
          <m:r>
            <m:t>D</m:t>
          </m:r>
          <m:r>
            <m:t>L</m:t>
          </m:r>
          <m:r>
            <m:t>E</m:t>
          </m:r>
          <m:sSub>
            <m:e>
              <m:r>
                <m:t>V</m:t>
              </m:r>
            </m:e>
            <m:sub>
              <m:r>
                <m:t>i</m:t>
              </m:r>
              <m:r>
                <m:rPr>
                  <m:sty m:val="p"/>
                </m:rPr>
                <m:t>,</m:t>
              </m:r>
              <m:r>
                <m:t>t</m:t>
              </m:r>
              <m:r>
                <m:rPr>
                  <m:sty m:val="p"/>
                </m:rPr>
                <m:t>−</m:t>
              </m:r>
              <m:r>
                <m:t>1</m:t>
              </m:r>
            </m:sub>
          </m:sSub>
          <m:r>
            <m:rPr>
              <m:sty m:val="p"/>
            </m:rPr>
            <m:t>+</m:t>
          </m:r>
          <m:sSub>
            <m:e>
              <m:r>
                <m:t>β</m:t>
              </m:r>
            </m:e>
            <m:sub>
              <m:r>
                <m:t>7</m:t>
              </m:r>
            </m:sub>
          </m:sSub>
          <m:r>
            <m:t>I</m:t>
          </m:r>
          <m:r>
            <m:t>N</m:t>
          </m:r>
          <m:sSub>
            <m:e>
              <m:r>
                <m:t>F</m:t>
              </m:r>
            </m:e>
            <m:sub>
              <m:r>
                <m:t>t</m:t>
              </m:r>
              <m:r>
                <m:rPr>
                  <m:sty m:val="p"/>
                </m:rPr>
                <m:t>−</m:t>
              </m:r>
              <m:r>
                <m:t>1</m:t>
              </m:r>
            </m:sub>
          </m:sSub>
          <m:r>
            <m:rPr>
              <m:sty m:val="p"/>
            </m:rPr>
            <m:t>+</m:t>
          </m:r>
          <m:sSub>
            <m:e>
              <m:r>
                <m:t>λ</m:t>
              </m:r>
            </m:e>
            <m:sub>
              <m:r>
                <m:t>j</m:t>
              </m:r>
            </m:sub>
          </m:sSub>
          <m:r>
            <m:rPr>
              <m:sty m:val="p"/>
            </m:rPr>
            <m:t>+</m:t>
          </m:r>
          <m:sSub>
            <m:e>
              <m:r>
                <m:t>μ</m:t>
              </m:r>
            </m:e>
            <m:sub>
              <m:r>
                <m:t>i</m:t>
              </m:r>
              <m:r>
                <m:rPr>
                  <m:sty m:val="p"/>
                </m:rPr>
                <m:t>,</m:t>
              </m:r>
              <m:r>
                <m:t>t</m:t>
              </m:r>
            </m:sub>
          </m:sSub>
        </m:oMath>
      </m:oMathPara>
    </w:p>
    <w:p>
      <w:pPr>
        <w:pStyle w:val="FirstParagraph"/>
      </w:pPr>
      <w:r>
        <w:t xml:space="preserve">TDA is total debt to total assets. IOB is financial expense to total assets. COL is (inventory + net fixed assets) to total assets. LTA is the natural logarithm of total assets. MTB is market value to book value of equity. PROFIT is operating income to total assets. INDLEV is the industry median leverage, computed excluding the firm itself. INF is the annual inflation rate. λ</w:t>
      </w:r>
      <w:r>
        <w:rPr>
          <w:vertAlign w:val="subscript"/>
        </w:rPr>
        <w:t xml:space="preserve">j</w:t>
      </w:r>
      <w:r>
        <w:t xml:space="preserve"> </w:t>
      </w:r>
      <w:r>
        <w:t xml:space="preserve">are industry dummies.</w:t>
      </w:r>
    </w:p>
    <w:p>
      <w:pPr>
        <w:pStyle w:val="BodyText"/>
      </w:pPr>
      <w:r>
        <w:t xml:space="preserve">Year dummies are deliberately not included. INF has the same value for all firms in a given year, so year dummies would absorb it completely and its coefficient could not be estimated. The equation is estimated by pooled OLS with standard errors clustered by firm. The fitted value is target leverage, constrained to [0, 1]:</w:t>
      </w:r>
    </w:p>
    <w:p>
      <w:pPr>
        <w:pStyle w:val="BodyText"/>
      </w:pPr>
      <m:oMathPara>
        <m:oMathParaPr>
          <m:jc m:val="center"/>
        </m:oMathParaPr>
        <m:oMath>
          <m:r>
            <m:t>C</m:t>
          </m:r>
          <m:r>
            <m:t>S</m:t>
          </m:r>
          <m:r>
            <m:t>D</m:t>
          </m:r>
          <m:r>
            <m:t>e</m:t>
          </m:r>
          <m:sSub>
            <m:e>
              <m:r>
                <m:t>v</m:t>
              </m:r>
            </m:e>
            <m:sub>
              <m:r>
                <m:t>i</m:t>
              </m:r>
              <m:r>
                <m:rPr>
                  <m:sty m:val="p"/>
                </m:rPr>
                <m:t>,</m:t>
              </m:r>
              <m:r>
                <m:t>t</m:t>
              </m:r>
            </m:sub>
          </m:sSub>
          <m:r>
            <m:rPr>
              <m:sty m:val="p"/>
            </m:rPr>
            <m:t>=</m:t>
          </m:r>
          <m:r>
            <m:t>T</m:t>
          </m:r>
          <m:r>
            <m:t>D</m:t>
          </m:r>
          <m:sSub>
            <m:e>
              <m:r>
                <m:t>A</m:t>
              </m:r>
            </m:e>
            <m:sub>
              <m:r>
                <m:t>i</m:t>
              </m:r>
              <m:r>
                <m:rPr>
                  <m:sty m:val="p"/>
                </m:rPr>
                <m:t>,</m:t>
              </m:r>
              <m:r>
                <m:t>t</m:t>
              </m:r>
            </m:sub>
          </m:sSub>
          <m:r>
            <m:rPr>
              <m:sty m:val="p"/>
            </m:rPr>
            <m:t>−</m:t>
          </m:r>
          <m:sSubSup>
            <m:e>
              <m:acc>
                <m:accPr>
                  <m:chr m:val="̂"/>
                </m:accPr>
                <m:e>
                  <m:r>
                    <m:t>T</m:t>
                  </m:r>
                  <m:r>
                    <m:t>D</m:t>
                  </m:r>
                  <m:r>
                    <m:t>A</m:t>
                  </m:r>
                </m:e>
              </m:acc>
            </m:e>
            <m:sub>
              <m:r>
                <m:t>i</m:t>
              </m:r>
              <m:r>
                <m:rPr>
                  <m:sty m:val="p"/>
                </m:rPr>
                <m:t>,</m:t>
              </m:r>
              <m:r>
                <m:t>t</m:t>
              </m:r>
            </m:sub>
            <m:sup>
              <m:r>
                <m:rPr>
                  <m:sty m:val="p"/>
                </m:rPr>
                <m:t>*</m:t>
              </m:r>
            </m:sup>
          </m:sSubSup>
        </m:oMath>
      </m:oMathPara>
    </w:p>
    <w:p>
      <w:pPr>
        <w:pStyle w:val="FirstParagraph"/>
      </w:pPr>
      <w:r>
        <w:t xml:space="preserve">Positive CSDev denotes over-leverage and negative CSDev denotes under-leverage. To test the two directions separately, CSDev is decomposed into two non-negative magnitudes:</w:t>
      </w:r>
    </w:p>
    <w:p>
      <w:pPr>
        <w:pStyle w:val="BodyText"/>
      </w:pPr>
      <m:oMathPara>
        <m:oMathParaPr>
          <m:jc m:val="center"/>
        </m:oMathParaPr>
        <m:oMath>
          <m:r>
            <m:t>C</m:t>
          </m:r>
          <m:r>
            <m:t>S</m:t>
          </m:r>
          <m:sSubSup>
            <m:e>
              <m:r>
                <m:t>D</m:t>
              </m:r>
            </m:e>
            <m:sub>
              <m:r>
                <m:t>i</m:t>
              </m:r>
              <m:r>
                <m:rPr>
                  <m:sty m:val="p"/>
                </m:rPr>
                <m:t>,</m:t>
              </m:r>
              <m:r>
                <m:t>t</m:t>
              </m:r>
            </m:sub>
            <m:sup>
              <m:r>
                <m:rPr>
                  <m:sty m:val="p"/>
                </m:rPr>
                <m:t>+</m:t>
              </m:r>
            </m:sup>
          </m:sSubSup>
          <m:r>
            <m:rPr>
              <m:sty m:val="p"/>
            </m:rPr>
            <m:t>=</m:t>
          </m:r>
          <m:r>
            <m:rPr>
              <m:sty m:val="p"/>
            </m:rPr>
            <m:t>max</m:t>
          </m:r>
          <m:r>
            <m:rPr>
              <m:sty m:val="p"/>
            </m:rPr>
            <m:t>(</m:t>
          </m:r>
          <m:r>
            <m:t>C</m:t>
          </m:r>
          <m:r>
            <m:t>S</m:t>
          </m:r>
          <m:r>
            <m:t>D</m:t>
          </m:r>
          <m:r>
            <m:t>e</m:t>
          </m:r>
          <m:sSub>
            <m:e>
              <m:r>
                <m:t>v</m:t>
              </m:r>
            </m:e>
            <m:sub>
              <m:r>
                <m:t>i</m:t>
              </m:r>
              <m:r>
                <m:rPr>
                  <m:sty m:val="p"/>
                </m:rPr>
                <m:t>,</m:t>
              </m:r>
              <m:r>
                <m:t>t</m:t>
              </m:r>
            </m:sub>
          </m:sSub>
          <m:r>
            <m:rPr>
              <m:sty m:val="p"/>
            </m:rPr>
            <m:t>,</m:t>
          </m:r>
          <m:r>
            <m:t> </m:t>
          </m:r>
          <m:r>
            <m:t>0</m:t>
          </m:r>
          <m:r>
            <m:rPr>
              <m:sty m:val="p"/>
            </m:rPr>
            <m:t>)</m:t>
          </m:r>
          <m:r>
            <m:t>  </m:t>
          </m:r>
          <m:r>
            <m:t>C</m:t>
          </m:r>
          <m:r>
            <m:t>S</m:t>
          </m:r>
          <m:sSubSup>
            <m:e>
              <m:r>
                <m:t>D</m:t>
              </m:r>
            </m:e>
            <m:sub>
              <m:r>
                <m:t>i</m:t>
              </m:r>
              <m:r>
                <m:rPr>
                  <m:sty m:val="p"/>
                </m:rPr>
                <m:t>,</m:t>
              </m:r>
              <m:r>
                <m:t>t</m:t>
              </m:r>
            </m:sub>
            <m:sup>
              <m:r>
                <m:rPr>
                  <m:sty m:val="p"/>
                </m:rPr>
                <m:t>−</m:t>
              </m:r>
            </m:sup>
          </m:sSubSup>
          <m:r>
            <m:rPr>
              <m:sty m:val="p"/>
            </m:rPr>
            <m:t>=</m:t>
          </m:r>
          <m:r>
            <m:rPr>
              <m:sty m:val="p"/>
            </m:rPr>
            <m:t>max</m:t>
          </m:r>
          <m:r>
            <m:rPr>
              <m:sty m:val="p"/>
            </m:rPr>
            <m:t>(</m:t>
          </m:r>
          <m:r>
            <m:rPr>
              <m:sty m:val="p"/>
            </m:rPr>
            <m:t>−</m:t>
          </m:r>
          <m:r>
            <m:t>C</m:t>
          </m:r>
          <m:r>
            <m:t>S</m:t>
          </m:r>
          <m:r>
            <m:t>D</m:t>
          </m:r>
          <m:r>
            <m:t>e</m:t>
          </m:r>
          <m:sSub>
            <m:e>
              <m:r>
                <m:t>v</m:t>
              </m:r>
            </m:e>
            <m:sub>
              <m:r>
                <m:t>i</m:t>
              </m:r>
              <m:r>
                <m:rPr>
                  <m:sty m:val="p"/>
                </m:rPr>
                <m:t>,</m:t>
              </m:r>
              <m:r>
                <m:t>t</m:t>
              </m:r>
            </m:sub>
          </m:sSub>
          <m:r>
            <m:rPr>
              <m:sty m:val="p"/>
            </m:rPr>
            <m:t>,</m:t>
          </m:r>
          <m:r>
            <m:t> </m:t>
          </m:r>
          <m:r>
            <m:t>0</m:t>
          </m:r>
          <m:r>
            <m:rPr>
              <m:sty m:val="p"/>
            </m:rPr>
            <m:t>)</m:t>
          </m:r>
        </m:oMath>
      </m:oMathPara>
    </w:p>
    <w:p>
      <w:pPr>
        <w:pStyle w:val="FirstParagraph"/>
      </w:pPr>
      <w:r>
        <w:t xml:space="preserve">CSD⁺ measures how far an over-leveraged firm is above its target, and is zero otherwise. CSD⁻ measures how far an under-leveraged firm is below its target, and is zero otherwise. A single CSDev coefficient would force the two effects to be equal in size and opposite in sign, which is exactly what the asymmetry argument of this study questions.</w:t>
      </w:r>
    </w:p>
    <w:bookmarkEnd w:id="11"/>
    <w:bookmarkStart w:id="12" w:name="moderating-variable-firm-life-cycle-flc"/>
    <w:p>
      <w:pPr>
        <w:pStyle w:val="Heading3"/>
      </w:pPr>
      <w:r>
        <w:t xml:space="preserve">3.2.3 Moderating variable: Firm Life Cycle (FLC)</w:t>
      </w:r>
    </w:p>
    <w:p>
      <w:pPr>
        <w:pStyle w:val="FirstParagraph"/>
      </w:pPr>
      <w:r>
        <w:t xml:space="preserve">Following Dickinson (2011), firm-years are classified by the signs of operating (CFO), investing (CFI) and financing (CFF) cash flows. Few early-stage firms are listed on the TSE, and the shake-out stage is theoretically ambiguous, so Dickinson’s five stages are consolidated into three: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584"/>
        <w:gridCol w:w="1584"/>
        <w:gridCol w:w="1584"/>
        <w:gridCol w:w="1584"/>
        <w:gridCol w:w="1584"/>
      </w:tblGrid>
      <w:tr>
        <w:trPr>
          <w:tblHeader w:val="on"/>
        </w:trPr>
        <w:tc>
          <w:tcPr>
            <w:shd w:val="clear" w:color="auto" w:fill="E8ECF3"/>
          </w:tcPr>
          <w:p>
            <w:pPr>
              <w:pStyle w:val="Compact"/>
            </w:pPr>
            <w:r>
              <w:rPr>
                <w:b/>
                <w:sz w:val="19"/>
              </w:rPr>
              <w:t xml:space="preserve">Consolidated stage</w:t>
            </w:r>
          </w:p>
        </w:tc>
        <w:tc>
          <w:tcPr>
            <w:shd w:val="clear" w:color="auto" w:fill="E8ECF3"/>
          </w:tcPr>
          <w:p>
            <w:pPr>
              <w:pStyle w:val="Compact"/>
            </w:pPr>
            <w:r>
              <w:rPr>
                <w:b/>
                <w:sz w:val="19"/>
              </w:rPr>
              <w:t xml:space="preserve">Dickinson stage</w:t>
            </w:r>
          </w:p>
        </w:tc>
        <w:tc>
          <w:tcPr>
            <w:shd w:val="clear" w:color="auto" w:fill="E8ECF3"/>
          </w:tcPr>
          <w:p>
            <w:pPr>
              <w:pStyle w:val="Compact"/>
            </w:pPr>
            <w:r>
              <w:rPr>
                <w:b/>
                <w:sz w:val="19"/>
              </w:rPr>
              <w:t xml:space="preserve">CFO</w:t>
            </w:r>
          </w:p>
        </w:tc>
        <w:tc>
          <w:tcPr>
            <w:shd w:val="clear" w:color="auto" w:fill="E8ECF3"/>
          </w:tcPr>
          <w:p>
            <w:pPr>
              <w:pStyle w:val="Compact"/>
            </w:pPr>
            <w:r>
              <w:rPr>
                <w:b/>
                <w:sz w:val="19"/>
              </w:rPr>
              <w:t xml:space="preserve">CFI</w:t>
            </w:r>
          </w:p>
        </w:tc>
        <w:tc>
          <w:tcPr>
            <w:shd w:val="clear" w:color="auto" w:fill="E8ECF3"/>
          </w:tcPr>
          <w:p>
            <w:pPr>
              <w:pStyle w:val="Compact"/>
            </w:pPr>
            <w:r>
              <w:rPr>
                <w:b/>
                <w:sz w:val="19"/>
              </w:rPr>
              <w:t xml:space="preserve">CFF</w:t>
            </w:r>
          </w:p>
        </w:tc>
      </w:tr>
      <w:tr>
        <w:tc>
          <w:tcPr/>
          <w:p>
            <w:pPr>
              <w:pStyle w:val="Compact"/>
            </w:pPr>
            <w:r>
              <w:rPr>
                <w:sz w:val="19"/>
              </w:rPr>
              <w:t xml:space="preserve">Growth</w:t>
            </w:r>
          </w:p>
        </w:tc>
        <w:tc>
          <w:tcPr/>
          <w:p>
            <w:pPr>
              <w:pStyle w:val="Compact"/>
            </w:pPr>
            <w:r>
              <w:rPr>
                <w:sz w:val="19"/>
              </w:rPr>
              <w:t xml:space="preserve">Introduction</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Growth</w:t>
            </w:r>
          </w:p>
        </w:tc>
        <w:tc>
          <w:tcPr/>
          <w:p>
            <w:pPr>
              <w:pStyle w:val="Compact"/>
            </w:pPr>
            <w:r>
              <w:rPr>
                <w:sz w:val="19"/>
              </w:rPr>
              <w:t xml:space="preserve">Growth</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Maturity</w:t>
            </w:r>
          </w:p>
        </w:tc>
        <w:tc>
          <w:tcPr/>
          <w:p>
            <w:pPr>
              <w:pStyle w:val="Compact"/>
            </w:pPr>
            <w:r>
              <w:rPr>
                <w:sz w:val="19"/>
              </w:rPr>
              <w:t xml:space="preserve">Maturity</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Decline</w:t>
            </w:r>
          </w:p>
        </w:tc>
        <w:tc>
          <w:tcPr/>
          <w:p>
            <w:pPr>
              <w:pStyle w:val="Compact"/>
            </w:pPr>
            <w:r>
              <w:rPr>
                <w:sz w:val="19"/>
              </w:rPr>
              <w:t xml:space="preserve">Shake-out</w:t>
            </w:r>
          </w:p>
        </w:tc>
        <w:tc>
          <w:tcPr/>
          <w:p>
            <w:pPr>
              <w:pStyle w:val="Compact"/>
            </w:pPr>
            <w:r>
              <w:rPr>
                <w:sz w:val="19"/>
              </w:rPr>
              <w:t xml:space="preserve">mixed</w:t>
            </w:r>
          </w:p>
        </w:tc>
        <w:tc>
          <w:tcPr/>
          <w:p>
            <w:pPr>
              <w:pStyle w:val="Compact"/>
            </w:pPr>
            <w:r>
              <w:rPr>
                <w:sz w:val="19"/>
              </w:rPr>
              <w:t xml:space="preserve">mixed</w:t>
            </w:r>
          </w:p>
        </w:tc>
        <w:tc>
          <w:tcPr/>
          <w:p>
            <w:pPr>
              <w:pStyle w:val="Compact"/>
            </w:pPr>
            <w:r>
              <w:rPr>
                <w:sz w:val="19"/>
              </w:rPr>
              <w:t xml:space="preserve">mixed</w:t>
            </w:r>
          </w:p>
        </w:tc>
      </w:tr>
      <w:tr>
        <w:tc>
          <w:tcPr/>
          <w:p>
            <w:pPr>
              <w:pStyle w:val="Compact"/>
            </w:pPr>
            <w:r>
              <w:rPr>
                <w:sz w:val="19"/>
              </w:rPr>
              <w:t xml:space="preserve">Decline</w:t>
            </w:r>
          </w:p>
        </w:tc>
        <w:tc>
          <w:tcPr/>
          <w:p>
            <w:pPr>
              <w:pStyle w:val="Compact"/>
            </w:pPr>
            <w:r>
              <w:rPr>
                <w:sz w:val="19"/>
              </w:rPr>
              <w:t xml:space="preserve">Decline</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 or −</w:t>
            </w:r>
          </w:p>
        </w:tc>
      </w:tr>
    </w:tbl>
    <w:p>
      <w:pPr>
        <w:pStyle w:val="BodyText"/>
      </w:pPr>
      <w:r>
        <w:t xml:space="preserve">The shake-out row covers its three patterns: (−,−,−), (+,+,+) and (+,+,−). The frequency of each original stage is reported to support the consolidation. Stage is measured at</w:t>
      </w:r>
      <w:r>
        <w:t xml:space="preserve"> </w:t>
      </w:r>
      <w:r>
        <w:rPr>
          <w:b/>
          <w:bCs/>
        </w:rPr>
        <w:t xml:space="preserve">t−1</w:t>
      </w:r>
      <w:r>
        <w:t xml:space="preserve">: the classification uses the sign of CFI, which reflects investment itself, so a contemporaneous stage would be mechanically related to the dependent variable. Three indicators are created (GROW, MAT, DEC). In every model one stage is the omitted reference category, to avoid perfect collinearity with the intercept.</w:t>
      </w:r>
    </w:p>
    <w:bookmarkEnd w:id="12"/>
    <w:bookmarkStart w:id="13" w:name="X0e354bfe6468779e70fcc60c4b0df4300872062"/>
    <w:p>
      <w:pPr>
        <w:pStyle w:val="Heading3"/>
      </w:pPr>
      <w:r>
        <w:t xml:space="preserve">3.2.4 Moderating variable: Managerial Ability (MA)</w:t>
      </w:r>
    </w:p>
    <w:p>
      <w:pPr>
        <w:pStyle w:val="FirstParagraph"/>
      </w:pPr>
      <w:r>
        <w:t xml:space="preserve">Managerial ability follows the two-stage approach of Demerjian, Lev and McVay (2012).</w:t>
      </w:r>
    </w:p>
    <w:p>
      <w:pPr>
        <w:pStyle w:val="Compact"/>
        <w:numPr>
          <w:ilvl w:val="0"/>
          <w:numId w:val="1002"/>
        </w:numPr>
      </w:pPr>
      <w:r>
        <w:rPr>
          <w:b/>
          <w:bCs/>
        </w:rPr>
        <w:t xml:space="preserve">Stage 1, DEA.</w:t>
      </w:r>
      <w:r>
        <w:t xml:space="preserve"> </w:t>
      </w:r>
      <w:r>
        <w:t xml:space="preserve">An input-oriented, variable-returns-to-scale DEA model is estimated within each industry-year. Industry-years with fewer than 15 firms (three times the number of inputs plus outputs) are pooled within the industry across years, with values deflated by the CPI. The output is sales. The inputs are cost of goods sold, SG&amp;A expenses, net PP&amp;E at t−1 and intangible assets at t−1. The efficiency score (FE) lies in (0, 1].</w:t>
      </w:r>
    </w:p>
    <w:p>
      <w:pPr>
        <w:pStyle w:val="Compact"/>
        <w:numPr>
          <w:ilvl w:val="0"/>
          <w:numId w:val="1002"/>
        </w:numPr>
      </w:pPr>
      <w:r>
        <w:rPr>
          <w:b/>
          <w:bCs/>
        </w:rPr>
        <w:t xml:space="preserve">Stage 2, Tobit.</w:t>
      </w:r>
      <w:r>
        <w:t xml:space="preserve"> </w:t>
      </w:r>
      <w:r>
        <w:t xml:space="preserve">Firm efficiency is regressed on characteristics that help or hinder efficiency regardless of the manager. The model is censored from above at 1:</w:t>
      </w:r>
    </w:p>
    <w:p>
      <w:pPr>
        <w:pStyle w:val="FirstParagraph"/>
      </w:pPr>
      <m:oMathPara>
        <m:oMathParaPr>
          <m:jc m:val="center"/>
        </m:oMathParaPr>
        <m:oMath>
          <m:r>
            <m:t>F</m:t>
          </m:r>
          <m:sSub>
            <m:e>
              <m:r>
                <m:t>E</m:t>
              </m:r>
            </m:e>
            <m:sub>
              <m:r>
                <m:t>i</m:t>
              </m:r>
              <m:r>
                <m:rPr>
                  <m:sty m:val="p"/>
                </m:rPr>
                <m:t>,</m:t>
              </m:r>
              <m:r>
                <m:t>t</m:t>
              </m:r>
            </m:sub>
          </m:sSub>
          <m:r>
            <m:rPr>
              <m:sty m:val="p"/>
            </m:rPr>
            <m:t>=</m:t>
          </m:r>
          <m:sSub>
            <m:e>
              <m:r>
                <m:t>θ</m:t>
              </m:r>
            </m:e>
            <m:sub>
              <m:r>
                <m:t>0</m:t>
              </m:r>
            </m:sub>
          </m:sSub>
          <m:r>
            <m:rPr>
              <m:sty m:val="p"/>
            </m:rPr>
            <m:t>+</m:t>
          </m:r>
          <m:sSub>
            <m:e>
              <m:r>
                <m:t>θ</m:t>
              </m:r>
            </m:e>
            <m:sub>
              <m:r>
                <m:t>1</m:t>
              </m:r>
            </m:sub>
          </m:sSub>
          <m:r>
            <m:t>L</m:t>
          </m:r>
          <m:r>
            <m:t>T</m:t>
          </m:r>
          <m:sSub>
            <m:e>
              <m:r>
                <m:t>A</m:t>
              </m:r>
            </m:e>
            <m:sub>
              <m:r>
                <m:t>i</m:t>
              </m:r>
              <m:r>
                <m:rPr>
                  <m:sty m:val="p"/>
                </m:rPr>
                <m:t>,</m:t>
              </m:r>
              <m:r>
                <m:t>t</m:t>
              </m:r>
            </m:sub>
          </m:sSub>
          <m:r>
            <m:rPr>
              <m:sty m:val="p"/>
            </m:rPr>
            <m:t>+</m:t>
          </m:r>
          <m:sSub>
            <m:e>
              <m:r>
                <m:t>θ</m:t>
              </m:r>
            </m:e>
            <m:sub>
              <m:r>
                <m:t>2</m:t>
              </m:r>
            </m:sub>
          </m:sSub>
          <m:r>
            <m:t>M</m:t>
          </m:r>
          <m:r>
            <m:t>a</m:t>
          </m:r>
          <m:r>
            <m:t>r</m:t>
          </m:r>
          <m:r>
            <m:t>k</m:t>
          </m:r>
          <m:r>
            <m:t>e</m:t>
          </m:r>
          <m:r>
            <m:t>t</m:t>
          </m:r>
          <m:r>
            <m:t>S</m:t>
          </m:r>
          <m:r>
            <m:t>h</m:t>
          </m:r>
          <m:r>
            <m:t>a</m:t>
          </m:r>
          <m:r>
            <m:t>r</m:t>
          </m:r>
          <m:sSub>
            <m:e>
              <m:r>
                <m:t>e</m:t>
              </m:r>
            </m:e>
            <m:sub>
              <m:r>
                <m:t>i</m:t>
              </m:r>
              <m:r>
                <m:rPr>
                  <m:sty m:val="p"/>
                </m:rPr>
                <m:t>,</m:t>
              </m:r>
              <m:r>
                <m:t>t</m:t>
              </m:r>
            </m:sub>
          </m:sSub>
          <m:r>
            <m:rPr>
              <m:sty m:val="p"/>
            </m:rPr>
            <m:t>+</m:t>
          </m:r>
          <m:sSub>
            <m:e>
              <m:r>
                <m:t>θ</m:t>
              </m:r>
            </m:e>
            <m:sub>
              <m:r>
                <m:t>3</m:t>
              </m:r>
            </m:sub>
          </m:sSub>
          <m:r>
            <m:t>F</m:t>
          </m:r>
          <m:r>
            <m:t>C</m:t>
          </m:r>
          <m:sSubSup>
            <m:e>
              <m:r>
                <m:t>F</m:t>
              </m:r>
            </m:e>
            <m:sub>
              <m:r>
                <m:t>i</m:t>
              </m:r>
              <m:r>
                <m:rPr>
                  <m:sty m:val="p"/>
                </m:rPr>
                <m:t>,</m:t>
              </m:r>
              <m:r>
                <m:t>t</m:t>
              </m:r>
            </m:sub>
            <m:sup>
              <m:r>
                <m:rPr>
                  <m:sty m:val="p"/>
                </m:rPr>
                <m:t>+</m:t>
              </m:r>
            </m:sup>
          </m:sSubSup>
          <m:r>
            <m:rPr>
              <m:sty m:val="p"/>
            </m:rPr>
            <m:t>+</m:t>
          </m:r>
          <m:sSub>
            <m:e>
              <m:r>
                <m:t>θ</m:t>
              </m:r>
            </m:e>
            <m:sub>
              <m:r>
                <m:t>4</m:t>
              </m:r>
            </m:sub>
          </m:sSub>
          <m:r>
            <m:rPr>
              <m:sty m:val="p"/>
            </m:rPr>
            <m:t>ln</m:t>
          </m:r>
          <m:r>
            <m:rPr>
              <m:sty m:val="p"/>
            </m:rPr>
            <m:t>(</m:t>
          </m:r>
          <m:r>
            <m:t>A</m:t>
          </m:r>
          <m:r>
            <m:t>g</m:t>
          </m:r>
          <m:sSub>
            <m:e>
              <m:r>
                <m:t>e</m:t>
              </m:r>
            </m:e>
            <m:sub>
              <m:r>
                <m:t>i</m:t>
              </m:r>
              <m:r>
                <m:rPr>
                  <m:sty m:val="p"/>
                </m:rPr>
                <m:t>,</m:t>
              </m:r>
              <m:r>
                <m:t>t</m:t>
              </m:r>
            </m:sub>
          </m:sSub>
          <m:r>
            <m:rPr>
              <m:sty m:val="p"/>
            </m:rPr>
            <m:t>)</m:t>
          </m:r>
          <m:r>
            <m:rPr>
              <m:sty m:val="p"/>
            </m:rPr>
            <m:t>+</m:t>
          </m:r>
          <m:sSub>
            <m:e>
              <m:r>
                <m:t>ν</m:t>
              </m:r>
            </m:e>
            <m:sub>
              <m:r>
                <m:t>t</m:t>
              </m:r>
            </m:sub>
          </m:sSub>
          <m:r>
            <m:rPr>
              <m:sty m:val="p"/>
            </m:rPr>
            <m:t>+</m:t>
          </m:r>
          <m:sSub>
            <m:e>
              <m:r>
                <m:t>λ</m:t>
              </m:r>
            </m:e>
            <m:sub>
              <m:r>
                <m:t>j</m:t>
              </m:r>
            </m:sub>
          </m:sSub>
          <m:r>
            <m:rPr>
              <m:sty m:val="p"/>
            </m:rPr>
            <m:t>+</m:t>
          </m:r>
          <m:sSub>
            <m:e>
              <m:r>
                <m:t>ω</m:t>
              </m:r>
            </m:e>
            <m:sub>
              <m:r>
                <m:t>i</m:t>
              </m:r>
              <m:r>
                <m:rPr>
                  <m:sty m:val="p"/>
                </m:rPr>
                <m:t>,</m:t>
              </m:r>
              <m:r>
                <m:t>t</m:t>
              </m:r>
            </m:sub>
          </m:sSub>
        </m:oMath>
      </m:oMathPara>
    </w:p>
    <w:p>
      <w:pPr>
        <w:pStyle w:val="FirstParagraph"/>
      </w:pPr>
      <w:r>
        <w:t xml:space="preserve">FCF⁺ equals 1 when free cash flow is positive. MA is the Tobit residual ω. MA is mean-centered before it enters any interaction, so that the main effects of CSD⁺ and CSD⁻ are evaluated at the average manager.</w:t>
      </w:r>
    </w:p>
    <w:bookmarkEnd w:id="13"/>
    <w:bookmarkStart w:id="14" w:name="control-variables"/>
    <w:p>
      <w:pPr>
        <w:pStyle w:val="Heading3"/>
      </w:pPr>
      <w:r>
        <w:t xml:space="preserve">3.2.5 Control variables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Variable</w:t>
            </w:r>
          </w:p>
        </w:tc>
        <w:tc>
          <w:tcPr>
            <w:shd w:val="clear" w:color="auto" w:fill="E8ECF3"/>
          </w:tcPr>
          <w:p>
            <w:pPr>
              <w:pStyle w:val="Compact"/>
            </w:pPr>
            <w:r>
              <w:rPr>
                <w:b/>
                <w:sz w:val="19"/>
              </w:rPr>
              <w:t xml:space="preserve">Definition</w:t>
            </w:r>
          </w:p>
        </w:tc>
        <w:tc>
          <w:tcPr>
            <w:shd w:val="clear" w:color="auto" w:fill="E8ECF3"/>
          </w:tcPr>
          <w:p>
            <w:pPr>
              <w:pStyle w:val="Compact"/>
            </w:pPr>
            <w:r>
              <w:rPr>
                <w:b/>
                <w:sz w:val="19"/>
              </w:rPr>
              <w:t xml:space="preserve">Enters the InvEff models?</w:t>
            </w:r>
          </w:p>
        </w:tc>
      </w:tr>
      <w:tr>
        <w:tc>
          <w:tcPr/>
          <w:p>
            <w:pPr>
              <w:pStyle w:val="Compact"/>
            </w:pPr>
            <w:r>
              <w:rPr>
                <w:sz w:val="19"/>
              </w:rPr>
              <w:t xml:space="preserve">LTA</w:t>
            </w:r>
          </w:p>
        </w:tc>
        <w:tc>
          <w:tcPr/>
          <w:p>
            <w:pPr>
              <w:pStyle w:val="Compact"/>
            </w:pPr>
            <w:r>
              <w:rPr>
                <w:sz w:val="19"/>
              </w:rPr>
              <w:t xml:space="preserve">ln(total assets)</w:t>
            </w:r>
          </w:p>
        </w:tc>
        <w:tc>
          <w:tcPr/>
          <w:p>
            <w:pPr>
              <w:pStyle w:val="Compact"/>
            </w:pPr>
            <w:r>
              <w:rPr>
                <w:sz w:val="19"/>
              </w:rPr>
              <w:t xml:space="preserve">Yes</w:t>
            </w:r>
          </w:p>
        </w:tc>
      </w:tr>
      <w:tr>
        <w:tc>
          <w:tcPr/>
          <w:p>
            <w:pPr>
              <w:pStyle w:val="Compact"/>
            </w:pPr>
            <w:r>
              <w:rPr>
                <w:sz w:val="19"/>
              </w:rPr>
              <w:t xml:space="preserve">MTB</w:t>
            </w:r>
          </w:p>
        </w:tc>
        <w:tc>
          <w:tcPr/>
          <w:p>
            <w:pPr>
              <w:pStyle w:val="Compact"/>
            </w:pPr>
            <w:r>
              <w:rPr>
                <w:sz w:val="19"/>
              </w:rPr>
              <w:t xml:space="preserve">Market value / book value of equity</w:t>
            </w:r>
          </w:p>
        </w:tc>
        <w:tc>
          <w:tcPr/>
          <w:p>
            <w:pPr>
              <w:pStyle w:val="Compact"/>
            </w:pPr>
            <w:r>
              <w:rPr>
                <w:sz w:val="19"/>
              </w:rPr>
              <w:t xml:space="preserve">Yes</w:t>
            </w:r>
          </w:p>
        </w:tc>
      </w:tr>
      <w:tr>
        <w:tc>
          <w:tcPr/>
          <w:p>
            <w:pPr>
              <w:pStyle w:val="Compact"/>
            </w:pPr>
            <w:r>
              <w:rPr>
                <w:sz w:val="19"/>
              </w:rPr>
              <w:t xml:space="preserve">PROFIT</w:t>
            </w:r>
          </w:p>
        </w:tc>
        <w:tc>
          <w:tcPr/>
          <w:p>
            <w:pPr>
              <w:pStyle w:val="Compact"/>
            </w:pPr>
            <w:r>
              <w:rPr>
                <w:sz w:val="19"/>
              </w:rPr>
              <w:t xml:space="preserve">Operating income / total assets</w:t>
            </w:r>
          </w:p>
        </w:tc>
        <w:tc>
          <w:tcPr/>
          <w:p>
            <w:pPr>
              <w:pStyle w:val="Compact"/>
            </w:pPr>
            <w:r>
              <w:rPr>
                <w:sz w:val="19"/>
              </w:rPr>
              <w:t xml:space="preserve">Yes</w:t>
            </w:r>
          </w:p>
        </w:tc>
      </w:tr>
      <w:tr>
        <w:tc>
          <w:tcPr/>
          <w:p>
            <w:pPr>
              <w:pStyle w:val="Compact"/>
            </w:pPr>
            <w:r>
              <w:rPr>
                <w:sz w:val="19"/>
              </w:rPr>
              <w:t xml:space="preserve">FCF</w:t>
            </w:r>
          </w:p>
        </w:tc>
        <w:tc>
          <w:tcPr/>
          <w:p>
            <w:pPr>
              <w:pStyle w:val="Compact"/>
            </w:pPr>
            <w:r>
              <w:rPr>
                <w:sz w:val="19"/>
              </w:rPr>
              <w:t xml:space="preserve">Operating cash flow / total assets</w:t>
            </w:r>
          </w:p>
        </w:tc>
        <w:tc>
          <w:tcPr/>
          <w:p>
            <w:pPr>
              <w:pStyle w:val="Compact"/>
            </w:pPr>
            <w:r>
              <w:rPr>
                <w:sz w:val="19"/>
              </w:rPr>
              <w:t xml:space="preserve">Yes</w:t>
            </w:r>
          </w:p>
        </w:tc>
      </w:tr>
      <w:tr>
        <w:tc>
          <w:tcPr/>
          <w:p>
            <w:pPr>
              <w:pStyle w:val="Compact"/>
            </w:pPr>
            <w:r>
              <w:rPr>
                <w:sz w:val="19"/>
              </w:rPr>
              <w:t xml:space="preserve">AGE</w:t>
            </w:r>
          </w:p>
        </w:tc>
        <w:tc>
          <w:tcPr/>
          <w:p>
            <w:pPr>
              <w:pStyle w:val="Compact"/>
            </w:pPr>
            <w:r>
              <w:rPr>
                <w:sz w:val="19"/>
              </w:rPr>
              <w:t xml:space="preserve">ln(1 + firm age)</w:t>
            </w:r>
          </w:p>
        </w:tc>
        <w:tc>
          <w:tcPr/>
          <w:p>
            <w:pPr>
              <w:pStyle w:val="Compact"/>
            </w:pPr>
            <w:r>
              <w:rPr>
                <w:sz w:val="19"/>
              </w:rPr>
              <w:t xml:space="preserve">Levels equation only (see 3.6)</w:t>
            </w:r>
          </w:p>
        </w:tc>
      </w:tr>
      <w:tr>
        <w:tc>
          <w:tcPr/>
          <w:p>
            <w:pPr>
              <w:pStyle w:val="Compact"/>
            </w:pPr>
            <w:r>
              <w:rPr>
                <w:sz w:val="19"/>
              </w:rPr>
              <w:t xml:space="preserve">INF</w:t>
            </w:r>
          </w:p>
        </w:tc>
        <w:tc>
          <w:tcPr/>
          <w:p>
            <w:pPr>
              <w:pStyle w:val="Compact"/>
            </w:pPr>
            <w:r>
              <w:rPr>
                <w:sz w:val="19"/>
              </w:rPr>
              <w:t xml:space="preserve">Annual inflation rate</w:t>
            </w:r>
          </w:p>
        </w:tc>
        <w:tc>
          <w:tcPr/>
          <w:p>
            <w:pPr>
              <w:pStyle w:val="Compact"/>
            </w:pPr>
            <w:r>
              <w:rPr>
                <w:sz w:val="19"/>
              </w:rPr>
              <w:t xml:space="preserve">No: collinear with year dummies; enters through target leverage</w:t>
            </w:r>
          </w:p>
        </w:tc>
      </w:tr>
      <w:tr>
        <w:tc>
          <w:tcPr/>
          <w:p>
            <w:pPr>
              <w:pStyle w:val="Compact"/>
            </w:pPr>
            <w:r>
              <w:rPr>
                <w:sz w:val="19"/>
              </w:rPr>
              <w:t xml:space="preserve">Year, industry</w:t>
            </w:r>
          </w:p>
        </w:tc>
        <w:tc>
          <w:tcPr/>
          <w:p>
            <w:pPr>
              <w:pStyle w:val="Compact"/>
            </w:pPr>
            <w:r>
              <w:rPr>
                <w:sz w:val="19"/>
              </w:rPr>
              <w:t xml:space="preserve">Dummies</w:t>
            </w:r>
          </w:p>
        </w:tc>
        <w:tc>
          <w:tcPr/>
          <w:p>
            <w:pPr>
              <w:pStyle w:val="Compact"/>
            </w:pPr>
            <w:r>
              <w:rPr>
                <w:sz w:val="19"/>
              </w:rPr>
              <w:t xml:space="preserve">Yes</w:t>
            </w:r>
          </w:p>
        </w:tc>
      </w:tr>
    </w:tbl>
    <w:bookmarkEnd w:id="14"/>
    <w:bookmarkEnd w:id="15"/>
    <w:bookmarkStart w:id="22" w:name="empirical-models"/>
    <w:p>
      <w:pPr>
        <w:pStyle w:val="Heading2"/>
      </w:pPr>
      <w:r>
        <w:t xml:space="preserve">3.3 Empirical Models</w:t>
      </w:r>
    </w:p>
    <w:p>
      <w:pPr>
        <w:pStyle w:val="FirstParagraph"/>
      </w:pPr>
      <w:r>
        <w:t xml:space="preserve">Each hypothesis category has its own dynamic panel model, and each hypothesis is tested on a named coefficient with a predicted sign. Because InvEff is signed, a negative coefficient means the variable pushes the firm toward under-investment and a positive coefficient means it pushes the firm toward over-investment. In all models, Controls = {LTA, MTB, PROFIT, FCF}, ν</w:t>
      </w:r>
      <w:r>
        <w:rPr>
          <w:vertAlign w:val="subscript"/>
        </w:rPr>
        <w:t xml:space="preserve">t</w:t>
      </w:r>
      <w:r>
        <w:t xml:space="preserve"> </w:t>
      </w:r>
      <w:r>
        <w:t xml:space="preserve">are year dummies and λ</w:t>
      </w:r>
      <w:r>
        <w:rPr>
          <w:vertAlign w:val="subscript"/>
        </w:rPr>
        <w:t xml:space="preserve">j</w:t>
      </w:r>
      <w:r>
        <w:t xml:space="preserve"> </w:t>
      </w:r>
      <w:r>
        <w:t xml:space="preserve">are industry dummies; Section 3.4 explains how each equation includes them.</w:t>
      </w:r>
    </w:p>
    <w:bookmarkStart w:id="16" w:name="model-1-direct-effects-h1a-h1b"/>
    <w:p>
      <w:pPr>
        <w:pStyle w:val="Heading3"/>
      </w:pPr>
      <w:r>
        <w:t xml:space="preserve">Model 1 — Direct effects (H1a, H1b)</w:t>
      </w:r>
    </w:p>
    <w:p>
      <w:pPr>
        <w:pStyle w:val="FirstParagraph"/>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nary>
            <m:naryPr>
              <m:chr m:val="∑"/>
              <m:limLoc m:val="undOvr"/>
              <m:subHide m:val="off"/>
              <m:supHide m:val="on"/>
            </m:naryPr>
            <m:sub>
              <m:r>
                <m:t>k</m:t>
              </m:r>
            </m:sub>
            <m:sup>
              <m:r>
                <m:t>​</m:t>
              </m:r>
            </m:sup>
            <m:e>
              <m:sSub>
                <m:e>
                  <m:r>
                    <m:t>δ</m:t>
                  </m:r>
                </m:e>
                <m:sub>
                  <m:r>
                    <m:t>k</m:t>
                  </m:r>
                </m:sub>
              </m:sSub>
            </m:e>
          </m:nary>
          <m:r>
            <m:t>C</m:t>
          </m:r>
          <m:r>
            <m:t>o</m:t>
          </m:r>
          <m:r>
            <m:t>n</m:t>
          </m:r>
          <m:r>
            <m:t>t</m:t>
          </m:r>
          <m:r>
            <m:t>r</m:t>
          </m:r>
          <m:r>
            <m:t>o</m:t>
          </m:r>
          <m:r>
            <m:t>l</m:t>
          </m:r>
          <m:sSub>
            <m:e>
              <m:r>
                <m:t>s</m:t>
              </m:r>
            </m:e>
            <m:sub>
              <m:r>
                <m:t>k</m:t>
              </m:r>
              <m:r>
                <m:rPr>
                  <m:sty m:val="p"/>
                </m:rPr>
                <m:t>,</m:t>
              </m:r>
              <m:r>
                <m:t>i</m:t>
              </m:r>
              <m:r>
                <m:rPr>
                  <m:sty m:val="p"/>
                </m:rPr>
                <m:t>,</m:t>
              </m:r>
              <m:r>
                <m:t>t</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oMath>
      </m:oMathPara>
    </w:p>
    <w:p>
      <w:pPr>
        <w:pStyle w:val="Compact"/>
        <w:numPr>
          <w:ilvl w:val="0"/>
          <w:numId w:val="1003"/>
        </w:numPr>
      </w:pPr>
      <w:r>
        <w:rPr>
          <w:b/>
          <w:bCs/>
        </w:rPr>
        <w:t xml:space="preserve">H1a:</w:t>
      </w:r>
      <w:r>
        <w:t xml:space="preserve"> </w:t>
      </w:r>
      <w:r>
        <w:t xml:space="preserve">β₁ &lt; 0. The further a firm is above its target, the lower its investment relative to the expected level.</w:t>
      </w:r>
    </w:p>
    <w:p>
      <w:pPr>
        <w:pStyle w:val="Compact"/>
        <w:numPr>
          <w:ilvl w:val="0"/>
          <w:numId w:val="1003"/>
        </w:numPr>
      </w:pPr>
      <w:r>
        <w:rPr>
          <w:b/>
          <w:bCs/>
        </w:rPr>
        <w:t xml:space="preserve">H1b:</w:t>
      </w:r>
      <w:r>
        <w:t xml:space="preserve"> </w:t>
      </w:r>
      <w:r>
        <w:t xml:space="preserve">β₂ &gt; 0. The further a firm is below its target, the higher its investment relative to the expected level.</w:t>
      </w:r>
    </w:p>
    <w:p>
      <w:pPr>
        <w:pStyle w:val="Compact"/>
        <w:numPr>
          <w:ilvl w:val="0"/>
          <w:numId w:val="1003"/>
        </w:numPr>
      </w:pPr>
      <w:r>
        <w:rPr>
          <w:b/>
          <w:bCs/>
        </w:rPr>
        <w:t xml:space="preserve">Asymmetry:</w:t>
      </w:r>
      <w:r>
        <w:t xml:space="preserve"> </w:t>
      </w:r>
      <w:r>
        <w:t xml:space="preserve">a Wald test of β₁ + β₂ = 0. Rejection means the two effects differ in size.</w:t>
      </w:r>
    </w:p>
    <w:p>
      <w:pPr>
        <w:pStyle w:val="FirstParagraph"/>
      </w:pPr>
      <w:r>
        <w:t xml:space="preserve">H1a and H1b are tested in one equation on purpose. CSD⁺ and CSD⁻ are complementary parts of the same deviation. A model containing only one of them would load the omitted part onto the intercept and the included coefficient, which is omitted-variable bias. Each hypothesis still has its own coefficient and its own test.</w:t>
      </w:r>
    </w:p>
    <w:bookmarkEnd w:id="16"/>
    <w:bookmarkStart w:id="17" w:name="X890f1eb883d75edeb2bdc4c4c43424a516bc4d6"/>
    <w:p>
      <w:pPr>
        <w:pStyle w:val="Heading3"/>
      </w:pPr>
      <w:r>
        <w:t xml:space="preserve">Model 2a — Life cycle and over-leverage (H2a); reference stage = Maturity</w:t>
      </w:r>
    </w:p>
    <w:p>
      <w:pPr>
        <w:pStyle w:val="FirstParagraph"/>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b>
            <m:e>
              <m:r>
                <m:t>ϕ</m:t>
              </m:r>
            </m:e>
            <m:sub>
              <m:r>
                <m:t>1</m:t>
              </m:r>
            </m:sub>
          </m:sSub>
          <m:r>
            <m:t>G</m:t>
          </m:r>
          <m:r>
            <m:t>R</m:t>
          </m:r>
          <m:r>
            <m:t>O</m:t>
          </m:r>
          <m:sSub>
            <m:e>
              <m:r>
                <m:t>W</m:t>
              </m:r>
            </m:e>
            <m:sub>
              <m:r>
                <m:t>i</m:t>
              </m:r>
              <m:r>
                <m:rPr>
                  <m:sty m:val="p"/>
                </m:rPr>
                <m:t>,</m:t>
              </m:r>
              <m:r>
                <m:t>t</m:t>
              </m:r>
              <m:r>
                <m:rPr>
                  <m:sty m:val="p"/>
                </m:rPr>
                <m:t>−</m:t>
              </m:r>
              <m:r>
                <m:t>1</m:t>
              </m:r>
            </m:sub>
          </m:sSub>
          <m:r>
            <m:rPr>
              <m:sty m:val="p"/>
            </m:rPr>
            <m:t>+</m:t>
          </m:r>
          <m:sSub>
            <m:e>
              <m:r>
                <m:t>ϕ</m:t>
              </m:r>
            </m:e>
            <m:sub>
              <m:r>
                <m:t>2</m:t>
              </m:r>
            </m:sub>
          </m:sSub>
          <m:r>
            <m:t>D</m:t>
          </m:r>
          <m:r>
            <m:t>E</m:t>
          </m:r>
          <m:sSub>
            <m:e>
              <m:r>
                <m:t>C</m:t>
              </m:r>
            </m:e>
            <m:sub>
              <m:r>
                <m:t>i</m:t>
              </m:r>
              <m:r>
                <m:rPr>
                  <m:sty m:val="p"/>
                </m:rPr>
                <m:t>,</m:t>
              </m:r>
              <m:r>
                <m:t>t</m:t>
              </m:r>
              <m:r>
                <m:rPr>
                  <m:sty m:val="p"/>
                </m:rPr>
                <m:t>−</m:t>
              </m:r>
              <m:r>
                <m:t>1</m:t>
              </m:r>
            </m:sub>
          </m:sSub>
          <m:r>
            <m:rPr>
              <m:sty m:val="p"/>
            </m:rPr>
            <m:t>+</m:t>
          </m:r>
          <m:sSub>
            <m:e>
              <m:r>
                <m:t>β</m:t>
              </m:r>
            </m:e>
            <m:sub>
              <m:r>
                <m:t>3</m:t>
              </m:r>
            </m:sub>
          </m:sSub>
          <m:r>
            <m:rPr>
              <m:sty m:val="p"/>
            </m:rPr>
            <m:t>(</m:t>
          </m:r>
          <m:r>
            <m:t>C</m:t>
          </m:r>
          <m:r>
            <m:t>S</m:t>
          </m:r>
          <m:sSubSup>
            <m:e>
              <m:r>
                <m:t>D</m:t>
              </m:r>
            </m:e>
            <m:sub>
              <m:r>
                <m:t>i</m:t>
              </m:r>
              <m:r>
                <m:rPr>
                  <m:sty m:val="p"/>
                </m:rPr>
                <m:t>,</m:t>
              </m:r>
              <m:r>
                <m:t>t</m:t>
              </m:r>
            </m:sub>
            <m:sup>
              <m:r>
                <m:rPr>
                  <m:sty m:val="p"/>
                </m:rPr>
                <m:t>+</m:t>
              </m:r>
            </m:sup>
          </m:sSubSup>
          <m:r>
            <m:rPr>
              <m:sty m:val="p"/>
            </m:rPr>
            <m:t>×</m:t>
          </m:r>
          <m:r>
            <m:t>G</m:t>
          </m:r>
          <m:r>
            <m:t>R</m:t>
          </m:r>
          <m:r>
            <m:t>O</m:t>
          </m:r>
          <m:sSub>
            <m:e>
              <m:r>
                <m:t>W</m:t>
              </m:r>
            </m:e>
            <m:sub>
              <m:r>
                <m:t>i</m:t>
              </m:r>
              <m:r>
                <m:rPr>
                  <m:sty m:val="p"/>
                </m:rPr>
                <m:t>,</m:t>
              </m:r>
              <m:r>
                <m:t>t</m:t>
              </m:r>
              <m:r>
                <m:rPr>
                  <m:sty m:val="p"/>
                </m:rPr>
                <m:t>−</m:t>
              </m:r>
              <m:r>
                <m:t>1</m:t>
              </m:r>
            </m:sub>
          </m:sSub>
          <m:r>
            <m:rPr>
              <m:sty m:val="p"/>
            </m:rPr>
            <m:t>)</m:t>
          </m:r>
          <m:r>
            <m:rPr>
              <m:sty m:val="p"/>
            </m:rPr>
            <m:t>+</m:t>
          </m:r>
          <m:sSub>
            <m:e>
              <m:r>
                <m:t>β</m:t>
              </m:r>
            </m:e>
            <m:sub>
              <m:r>
                <m:t>4</m:t>
              </m:r>
            </m:sub>
          </m:sSub>
          <m:r>
            <m:rPr>
              <m:sty m:val="p"/>
            </m:rPr>
            <m:t>(</m:t>
          </m:r>
          <m:r>
            <m:t>C</m:t>
          </m:r>
          <m:r>
            <m:t>S</m:t>
          </m:r>
          <m:sSubSup>
            <m:e>
              <m:r>
                <m:t>D</m:t>
              </m:r>
            </m:e>
            <m:sub>
              <m:r>
                <m:t>i</m:t>
              </m:r>
              <m:r>
                <m:rPr>
                  <m:sty m:val="p"/>
                </m:rPr>
                <m:t>,</m:t>
              </m:r>
              <m:r>
                <m:t>t</m:t>
              </m:r>
            </m:sub>
            <m:sup>
              <m:r>
                <m:rPr>
                  <m:sty m:val="p"/>
                </m:rPr>
                <m:t>+</m:t>
              </m:r>
            </m:sup>
          </m:sSubSup>
          <m:r>
            <m:rPr>
              <m:sty m:val="p"/>
            </m:rPr>
            <m:t>×</m:t>
          </m:r>
          <m:r>
            <m:t>D</m:t>
          </m:r>
          <m:r>
            <m:t>E</m:t>
          </m:r>
          <m:sSub>
            <m:e>
              <m:r>
                <m:t>C</m:t>
              </m:r>
            </m:e>
            <m:sub>
              <m:r>
                <m:t>i</m:t>
              </m:r>
              <m:r>
                <m:rPr>
                  <m:sty m:val="p"/>
                </m:rPr>
                <m:t>,</m:t>
              </m:r>
              <m:r>
                <m:t>t</m:t>
              </m:r>
              <m:r>
                <m:rPr>
                  <m:sty m:val="p"/>
                </m:rPr>
                <m:t>−</m:t>
              </m:r>
              <m:r>
                <m:t>1</m:t>
              </m:r>
            </m:sub>
          </m:sSub>
          <m:r>
            <m:rPr>
              <m:sty m:val="p"/>
            </m:rPr>
            <m:t>)</m:t>
          </m:r>
          <m:r>
            <m:rPr>
              <m:sty m:val="p"/>
            </m:rPr>
            <m:t>+</m:t>
          </m:r>
          <m:nary>
            <m:naryPr>
              <m:chr m:val="∑"/>
              <m:limLoc m:val="undOvr"/>
              <m:subHide m:val="off"/>
              <m:supHide m:val="on"/>
            </m:naryPr>
            <m:sub>
              <m:r>
                <m:t>k</m:t>
              </m:r>
            </m:sub>
            <m:sup>
              <m:r>
                <m:t>​</m:t>
              </m:r>
            </m:sup>
            <m:e>
              <m:sSub>
                <m:e>
                  <m:r>
                    <m:t>δ</m:t>
                  </m:r>
                </m:e>
                <m:sub>
                  <m:r>
                    <m:t>k</m:t>
                  </m:r>
                </m:sub>
              </m:sSub>
            </m:e>
          </m:nary>
          <m:r>
            <m:t>C</m:t>
          </m:r>
          <m:r>
            <m:t>o</m:t>
          </m:r>
          <m:r>
            <m:t>n</m:t>
          </m:r>
          <m:r>
            <m:t>t</m:t>
          </m:r>
          <m:r>
            <m:t>r</m:t>
          </m:r>
          <m:r>
            <m:t>o</m:t>
          </m:r>
          <m:r>
            <m:t>l</m:t>
          </m:r>
          <m:sSub>
            <m:e>
              <m:r>
                <m:t>s</m:t>
              </m:r>
            </m:e>
            <m:sub>
              <m:r>
                <m:t>k</m:t>
              </m:r>
              <m:r>
                <m:rPr>
                  <m:sty m:val="p"/>
                </m:rPr>
                <m:t>,</m:t>
              </m:r>
              <m:r>
                <m:t>i</m:t>
              </m:r>
              <m:r>
                <m:rPr>
                  <m:sty m:val="p"/>
                </m:rPr>
                <m:t>,</m:t>
              </m:r>
              <m:r>
                <m:t>t</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oMath>
      </m:oMathPara>
    </w:p>
    <w:p>
      <w:pPr>
        <w:pStyle w:val="Compact"/>
        <w:numPr>
          <w:ilvl w:val="0"/>
          <w:numId w:val="1004"/>
        </w:numPr>
      </w:pPr>
      <w:r>
        <w:t xml:space="preserve">β₁ is the effect of over-leverage in the maturity stage (expected &lt; 0).</w:t>
      </w:r>
    </w:p>
    <w:p>
      <w:pPr>
        <w:pStyle w:val="Compact"/>
        <w:numPr>
          <w:ilvl w:val="0"/>
          <w:numId w:val="1004"/>
        </w:numPr>
      </w:pPr>
      <w:r>
        <w:rPr>
          <w:b/>
          <w:bCs/>
        </w:rPr>
        <w:t xml:space="preserve">H2a:</w:t>
      </w:r>
      <w:r>
        <w:t xml:space="preserve"> </w:t>
      </w:r>
      <w:r>
        <w:t xml:space="preserve">β₃ &lt; 0 and β₄ &lt; 0, meaning the effect is more negative in growth and decline than in maturity. A joint Wald test of β₃ = β₄ = 0 is also reported.</w:t>
      </w:r>
    </w:p>
    <w:p>
      <w:pPr>
        <w:pStyle w:val="Compact"/>
        <w:numPr>
          <w:ilvl w:val="0"/>
          <w:numId w:val="1004"/>
        </w:numPr>
      </w:pPr>
      <w:r>
        <w:t xml:space="preserve">Stage-specific effects are β₁ + β₃ (growth) and β₁ + β₄ (decline), each reported with its standard error.</w:t>
      </w:r>
    </w:p>
    <w:bookmarkEnd w:id="17"/>
    <w:bookmarkStart w:id="18" w:name="X59f26e7df0631eff6f4e6ca03afd3bf463e6cc9"/>
    <w:p>
      <w:pPr>
        <w:pStyle w:val="Heading3"/>
      </w:pPr>
      <w:r>
        <w:t xml:space="preserve">Model 2b — Life cycle and under-leverage (H2b); reference stage = Growth and Decline</w:t>
      </w:r>
    </w:p>
    <w:p>
      <w:pPr>
        <w:pStyle w:val="FirstParagraph"/>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b>
            <m:e>
              <m:r>
                <m:t>ϕ</m:t>
              </m:r>
            </m:e>
            <m:sub>
              <m:r>
                <m:t>1</m:t>
              </m:r>
            </m:sub>
          </m:sSub>
          <m:r>
            <m:t>M</m:t>
          </m:r>
          <m:r>
            <m:t>A</m:t>
          </m:r>
          <m:sSub>
            <m:e>
              <m:r>
                <m:t>T</m:t>
              </m:r>
            </m:e>
            <m:sub>
              <m:r>
                <m:t>i</m:t>
              </m:r>
              <m:r>
                <m:rPr>
                  <m:sty m:val="p"/>
                </m:rPr>
                <m:t>,</m:t>
              </m:r>
              <m:r>
                <m:t>t</m:t>
              </m:r>
              <m:r>
                <m:rPr>
                  <m:sty m:val="p"/>
                </m:rPr>
                <m:t>−</m:t>
              </m:r>
              <m:r>
                <m:t>1</m:t>
              </m:r>
            </m:sub>
          </m:sSub>
          <m:r>
            <m:rPr>
              <m:sty m:val="p"/>
            </m:rPr>
            <m:t>+</m:t>
          </m:r>
          <m:sSub>
            <m:e>
              <m:r>
                <m:t>β</m:t>
              </m:r>
            </m:e>
            <m:sub>
              <m:r>
                <m:t>5</m:t>
              </m:r>
            </m:sub>
          </m:sSub>
          <m:r>
            <m:rPr>
              <m:sty m:val="p"/>
            </m:rPr>
            <m:t>(</m:t>
          </m:r>
          <m:r>
            <m:t>C</m:t>
          </m:r>
          <m:r>
            <m:t>S</m:t>
          </m:r>
          <m:sSubSup>
            <m:e>
              <m:r>
                <m:t>D</m:t>
              </m:r>
            </m:e>
            <m:sub>
              <m:r>
                <m:t>i</m:t>
              </m:r>
              <m:r>
                <m:rPr>
                  <m:sty m:val="p"/>
                </m:rPr>
                <m:t>,</m:t>
              </m:r>
              <m:r>
                <m:t>t</m:t>
              </m:r>
            </m:sub>
            <m:sup>
              <m:r>
                <m:rPr>
                  <m:sty m:val="p"/>
                </m:rPr>
                <m:t>−</m:t>
              </m:r>
            </m:sup>
          </m:sSubSup>
          <m:r>
            <m:rPr>
              <m:sty m:val="p"/>
            </m:rPr>
            <m:t>×</m:t>
          </m:r>
          <m:r>
            <m:t>M</m:t>
          </m:r>
          <m:r>
            <m:t>A</m:t>
          </m:r>
          <m:sSub>
            <m:e>
              <m:r>
                <m:t>T</m:t>
              </m:r>
            </m:e>
            <m:sub>
              <m:r>
                <m:t>i</m:t>
              </m:r>
              <m:r>
                <m:rPr>
                  <m:sty m:val="p"/>
                </m:rPr>
                <m:t>,</m:t>
              </m:r>
              <m:r>
                <m:t>t</m:t>
              </m:r>
              <m:r>
                <m:rPr>
                  <m:sty m:val="p"/>
                </m:rPr>
                <m:t>−</m:t>
              </m:r>
              <m:r>
                <m:t>1</m:t>
              </m:r>
            </m:sub>
          </m:sSub>
          <m:r>
            <m:rPr>
              <m:sty m:val="p"/>
            </m:rPr>
            <m:t>)</m:t>
          </m:r>
          <m:r>
            <m:rPr>
              <m:sty m:val="p"/>
            </m:rPr>
            <m:t>+</m:t>
          </m:r>
          <m:nary>
            <m:naryPr>
              <m:chr m:val="∑"/>
              <m:limLoc m:val="undOvr"/>
              <m:subHide m:val="off"/>
              <m:supHide m:val="on"/>
            </m:naryPr>
            <m:sub>
              <m:r>
                <m:t>k</m:t>
              </m:r>
            </m:sub>
            <m:sup>
              <m:r>
                <m:t>​</m:t>
              </m:r>
            </m:sup>
            <m:e>
              <m:sSub>
                <m:e>
                  <m:r>
                    <m:t>δ</m:t>
                  </m:r>
                </m:e>
                <m:sub>
                  <m:r>
                    <m:t>k</m:t>
                  </m:r>
                </m:sub>
              </m:sSub>
            </m:e>
          </m:nary>
          <m:r>
            <m:t>C</m:t>
          </m:r>
          <m:r>
            <m:t>o</m:t>
          </m:r>
          <m:r>
            <m:t>n</m:t>
          </m:r>
          <m:r>
            <m:t>t</m:t>
          </m:r>
          <m:r>
            <m:t>r</m:t>
          </m:r>
          <m:r>
            <m:t>o</m:t>
          </m:r>
          <m:r>
            <m:t>l</m:t>
          </m:r>
          <m:sSub>
            <m:e>
              <m:r>
                <m:t>s</m:t>
              </m:r>
            </m:e>
            <m:sub>
              <m:r>
                <m:t>k</m:t>
              </m:r>
              <m:r>
                <m:rPr>
                  <m:sty m:val="p"/>
                </m:rPr>
                <m:t>,</m:t>
              </m:r>
              <m:r>
                <m:t>i</m:t>
              </m:r>
              <m:r>
                <m:rPr>
                  <m:sty m:val="p"/>
                </m:rPr>
                <m:t>,</m:t>
              </m:r>
              <m:r>
                <m:t>t</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oMath>
      </m:oMathPara>
    </w:p>
    <w:p>
      <w:pPr>
        <w:pStyle w:val="Compact"/>
        <w:numPr>
          <w:ilvl w:val="0"/>
          <w:numId w:val="1005"/>
        </w:numPr>
      </w:pPr>
      <w:r>
        <w:t xml:space="preserve">β₂ is the effect of under-leverage outside maturity (expected &gt; 0).</w:t>
      </w:r>
    </w:p>
    <w:p>
      <w:pPr>
        <w:pStyle w:val="Compact"/>
        <w:numPr>
          <w:ilvl w:val="0"/>
          <w:numId w:val="1005"/>
        </w:numPr>
      </w:pPr>
      <w:r>
        <w:rPr>
          <w:b/>
          <w:bCs/>
        </w:rPr>
        <w:t xml:space="preserve">H2b:</w:t>
      </w:r>
      <w:r>
        <w:t xml:space="preserve"> </w:t>
      </w:r>
      <w:r>
        <w:t xml:space="preserve">β₅ &gt; 0, meaning the over-investment effect is stronger in maturity. The maturity-stage effect is β₂ + β₅.</w:t>
      </w:r>
    </w:p>
    <w:bookmarkEnd w:id="18"/>
    <w:bookmarkStart w:id="19" w:name="Xcf2b441c2446f7ce4acbcce212813e6e6925115"/>
    <w:p>
      <w:pPr>
        <w:pStyle w:val="Heading3"/>
      </w:pPr>
      <w:r>
        <w:t xml:space="preserve">Model 3a — Managerial ability and over-leverage (H3a)</w:t>
      </w:r>
    </w:p>
    <w:p>
      <w:pPr>
        <w:pStyle w:val="FirstParagraph"/>
      </w:pPr>
      <w:r>
        <w:t xml:space="preserve">Two-way interaction (mitigation):</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b>
            <m:e>
              <m:r>
                <m:t>β</m:t>
              </m:r>
            </m:e>
            <m:sub>
              <m:r>
                <m:t>3</m:t>
              </m:r>
            </m:sub>
          </m:sSub>
          <m:r>
            <m:t>M</m:t>
          </m:r>
          <m:sSub>
            <m:e>
              <m:r>
                <m:t>A</m:t>
              </m:r>
            </m:e>
            <m:sub>
              <m:r>
                <m:t>i</m:t>
              </m:r>
              <m:r>
                <m:rPr>
                  <m:sty m:val="p"/>
                </m:rPr>
                <m:t>,</m:t>
              </m:r>
              <m:r>
                <m:t>t</m:t>
              </m:r>
            </m:sub>
          </m:sSub>
          <m:r>
            <m:rPr>
              <m:sty m:val="p"/>
            </m:rPr>
            <m:t>+</m:t>
          </m:r>
          <m:sSub>
            <m:e>
              <m:r>
                <m:t>β</m:t>
              </m:r>
            </m:e>
            <m:sub>
              <m:r>
                <m:t>4</m:t>
              </m:r>
            </m:sub>
          </m:sSub>
          <m:r>
            <m:rPr>
              <m:sty m:val="p"/>
            </m:rPr>
            <m:t>(</m:t>
          </m:r>
          <m:r>
            <m:t>C</m:t>
          </m:r>
          <m:r>
            <m:t>S</m:t>
          </m:r>
          <m:sSubSup>
            <m:e>
              <m:r>
                <m:t>D</m:t>
              </m:r>
            </m:e>
            <m:sub>
              <m:r>
                <m:t>i</m:t>
              </m:r>
              <m:r>
                <m:rPr>
                  <m:sty m:val="p"/>
                </m:rPr>
                <m:t>,</m:t>
              </m:r>
              <m:r>
                <m:t>t</m:t>
              </m:r>
            </m:sub>
            <m:sup>
              <m:r>
                <m:rPr>
                  <m:sty m:val="p"/>
                </m:rPr>
                <m:t>+</m:t>
              </m:r>
            </m:sup>
          </m:sSubSup>
          <m:r>
            <m:rPr>
              <m:sty m:val="p"/>
            </m:rPr>
            <m:t>×</m:t>
          </m:r>
          <m:r>
            <m:t>M</m:t>
          </m:r>
          <m:sSub>
            <m:e>
              <m:r>
                <m:t>A</m:t>
              </m:r>
            </m:e>
            <m:sub>
              <m:r>
                <m:t>i</m:t>
              </m:r>
              <m:r>
                <m:rPr>
                  <m:sty m:val="p"/>
                </m:rPr>
                <m:t>,</m:t>
              </m:r>
              <m:r>
                <m:t>t</m:t>
              </m:r>
            </m:sub>
          </m:sSub>
          <m:r>
            <m:rPr>
              <m:sty m:val="p"/>
            </m:rPr>
            <m:t>)</m:t>
          </m:r>
          <m:r>
            <m:rPr>
              <m:sty m:val="p"/>
            </m:rPr>
            <m:t>+</m:t>
          </m:r>
          <m:nary>
            <m:naryPr>
              <m:chr m:val="∑"/>
              <m:limLoc m:val="undOvr"/>
              <m:subHide m:val="off"/>
              <m:supHide m:val="on"/>
            </m:naryPr>
            <m:sub>
              <m:r>
                <m:t>k</m:t>
              </m:r>
            </m:sub>
            <m:sup>
              <m:r>
                <m:t>​</m:t>
              </m:r>
            </m:sup>
            <m:e>
              <m:sSub>
                <m:e>
                  <m:r>
                    <m:t>δ</m:t>
                  </m:r>
                </m:e>
                <m:sub>
                  <m:r>
                    <m:t>k</m:t>
                  </m:r>
                </m:sub>
              </m:sSub>
            </m:e>
          </m:nary>
          <m:r>
            <m:t>C</m:t>
          </m:r>
          <m:r>
            <m:t>o</m:t>
          </m:r>
          <m:r>
            <m:t>n</m:t>
          </m:r>
          <m:r>
            <m:t>t</m:t>
          </m:r>
          <m:r>
            <m:t>r</m:t>
          </m:r>
          <m:r>
            <m:t>o</m:t>
          </m:r>
          <m:r>
            <m:t>l</m:t>
          </m:r>
          <m:sSub>
            <m:e>
              <m:r>
                <m:t>s</m:t>
              </m:r>
            </m:e>
            <m:sub>
              <m:r>
                <m:t>k</m:t>
              </m:r>
              <m:r>
                <m:rPr>
                  <m:sty m:val="p"/>
                </m:rPr>
                <m:t>,</m:t>
              </m:r>
              <m:r>
                <m:t>i</m:t>
              </m:r>
              <m:r>
                <m:rPr>
                  <m:sty m:val="p"/>
                </m:rPr>
                <m:t>,</m:t>
              </m:r>
              <m:r>
                <m:t>t</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oMath>
      </m:oMathPara>
    </w:p>
    <w:p>
      <w:pPr>
        <w:pStyle w:val="FirstParagraph"/>
      </w:pPr>
      <w:r>
        <w:t xml:space="preserve">Three-way interaction (</w:t>
      </w:r>
      <w:r>
        <w:t xml:space="preserve">“especially in growth and decline”</w:t>
      </w:r>
      <w:r>
        <w:t xml:space="preserve">), where GD = 1 for growth or decline at t−1 and 0 for maturity:</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r>
            <m:rPr>
              <m:sty m:val="p"/>
            </m:rPr>
            <m:t>…</m:t>
          </m:r>
          <m:r>
            <m:rPr>
              <m:sty m:val="p"/>
            </m:rPr>
            <m:t>+</m:t>
          </m:r>
          <m:sSub>
            <m:e>
              <m:r>
                <m:t>β</m:t>
              </m:r>
            </m:e>
            <m:sub>
              <m:r>
                <m:t>4</m:t>
              </m:r>
            </m:sub>
          </m:sSub>
          <m:r>
            <m:rPr>
              <m:sty m:val="p"/>
            </m:rPr>
            <m:t>(</m:t>
          </m:r>
          <m:r>
            <m:t>C</m:t>
          </m:r>
          <m:r>
            <m:t>S</m:t>
          </m:r>
          <m:sSup>
            <m:e>
              <m:r>
                <m:t>D</m:t>
              </m:r>
            </m:e>
            <m:sup>
              <m:r>
                <m:rPr>
                  <m:sty m:val="p"/>
                </m:rPr>
                <m:t>+</m:t>
              </m:r>
            </m:sup>
          </m:sSup>
          <m:r>
            <m:rPr>
              <m:sty m:val="p"/>
            </m:rPr>
            <m:t>×</m:t>
          </m:r>
          <m:r>
            <m:t>M</m:t>
          </m:r>
          <m:r>
            <m:t>A</m:t>
          </m:r>
          <m:r>
            <m:rPr>
              <m:sty m:val="p"/>
            </m:rPr>
            <m:t>)</m:t>
          </m:r>
          <m:r>
            <m:rPr>
              <m:sty m:val="p"/>
            </m:rPr>
            <m:t>+</m:t>
          </m:r>
          <m:sSub>
            <m:e>
              <m:r>
                <m:t>ϕ</m:t>
              </m:r>
            </m:e>
            <m:sub>
              <m:r>
                <m:t>1</m:t>
              </m:r>
            </m:sub>
          </m:sSub>
          <m:r>
            <m:t>G</m:t>
          </m:r>
          <m:r>
            <m:t>D</m:t>
          </m:r>
          <m:r>
            <m:rPr>
              <m:sty m:val="p"/>
            </m:rPr>
            <m:t>+</m:t>
          </m:r>
          <m:sSub>
            <m:e>
              <m:r>
                <m:t>β</m:t>
              </m:r>
            </m:e>
            <m:sub>
              <m:r>
                <m:t>5</m:t>
              </m:r>
            </m:sub>
          </m:sSub>
          <m:r>
            <m:rPr>
              <m:sty m:val="p"/>
            </m:rPr>
            <m:t>(</m:t>
          </m:r>
          <m:r>
            <m:t>C</m:t>
          </m:r>
          <m:r>
            <m:t>S</m:t>
          </m:r>
          <m:sSup>
            <m:e>
              <m:r>
                <m:t>D</m:t>
              </m:r>
            </m:e>
            <m:sup>
              <m:r>
                <m:rPr>
                  <m:sty m:val="p"/>
                </m:rPr>
                <m:t>+</m:t>
              </m:r>
            </m:sup>
          </m:sSup>
          <m:r>
            <m:rPr>
              <m:sty m:val="p"/>
            </m:rPr>
            <m:t>×</m:t>
          </m:r>
          <m:r>
            <m:t>G</m:t>
          </m:r>
          <m:r>
            <m:t>D</m:t>
          </m:r>
          <m:r>
            <m:rPr>
              <m:sty m:val="p"/>
            </m:rPr>
            <m:t>)</m:t>
          </m:r>
          <m:r>
            <m:rPr>
              <m:sty m:val="p"/>
            </m:rPr>
            <m:t>+</m:t>
          </m:r>
          <m:sSub>
            <m:e>
              <m:r>
                <m:t>β</m:t>
              </m:r>
            </m:e>
            <m:sub>
              <m:r>
                <m:t>6</m:t>
              </m:r>
            </m:sub>
          </m:sSub>
          <m:r>
            <m:rPr>
              <m:sty m:val="p"/>
            </m:rPr>
            <m:t>(</m:t>
          </m:r>
          <m:r>
            <m:t>M</m:t>
          </m:r>
          <m:r>
            <m:t>A</m:t>
          </m:r>
          <m:r>
            <m:rPr>
              <m:sty m:val="p"/>
            </m:rPr>
            <m:t>×</m:t>
          </m:r>
          <m:r>
            <m:t>G</m:t>
          </m:r>
          <m:r>
            <m:t>D</m:t>
          </m:r>
          <m:r>
            <m:rPr>
              <m:sty m:val="p"/>
            </m:rPr>
            <m:t>)</m:t>
          </m:r>
          <m:r>
            <m:rPr>
              <m:sty m:val="p"/>
            </m:rPr>
            <m:t>+</m:t>
          </m:r>
          <m:sSub>
            <m:e>
              <m:r>
                <m:t>β</m:t>
              </m:r>
            </m:e>
            <m:sub>
              <m:r>
                <m:t>7</m:t>
              </m:r>
            </m:sub>
          </m:sSub>
          <m:r>
            <m:rPr>
              <m:sty m:val="p"/>
            </m:rPr>
            <m:t>(</m:t>
          </m:r>
          <m:r>
            <m:t>C</m:t>
          </m:r>
          <m:r>
            <m:t>S</m:t>
          </m:r>
          <m:sSup>
            <m:e>
              <m:r>
                <m:t>D</m:t>
              </m:r>
            </m:e>
            <m:sup>
              <m:r>
                <m:rPr>
                  <m:sty m:val="p"/>
                </m:rPr>
                <m:t>+</m:t>
              </m:r>
            </m:sup>
          </m:sSup>
          <m:r>
            <m:rPr>
              <m:sty m:val="p"/>
            </m:rPr>
            <m:t>×</m:t>
          </m:r>
          <m:r>
            <m:t>M</m:t>
          </m:r>
          <m:r>
            <m:t>A</m:t>
          </m:r>
          <m:r>
            <m:rPr>
              <m:sty m:val="p"/>
            </m:rPr>
            <m:t>×</m:t>
          </m:r>
          <m:r>
            <m:t>G</m:t>
          </m:r>
          <m:r>
            <m:t>D</m:t>
          </m:r>
          <m:r>
            <m:rPr>
              <m:sty m:val="p"/>
            </m:rPr>
            <m:t>)</m:t>
          </m:r>
          <m:r>
            <m:rPr>
              <m:sty m:val="p"/>
            </m:rPr>
            <m:t>+</m:t>
          </m:r>
          <m:r>
            <m:rPr>
              <m:sty m:val="p"/>
            </m:rPr>
            <m:t>…</m:t>
          </m:r>
        </m:oMath>
      </m:oMathPara>
    </w:p>
    <w:p>
      <w:pPr>
        <w:pStyle w:val="Compact"/>
        <w:numPr>
          <w:ilvl w:val="0"/>
          <w:numId w:val="1006"/>
        </w:numPr>
      </w:pPr>
      <w:r>
        <w:rPr>
          <w:b/>
          <w:bCs/>
        </w:rPr>
        <w:t xml:space="preserve">H3a:</w:t>
      </w:r>
      <w:r>
        <w:t xml:space="preserve"> </w:t>
      </w:r>
      <w:r>
        <w:t xml:space="preserve">β₄ &gt; 0. Higher ability makes the negative effect of over-leverage smaller; the effect of CSD⁺ is β₁ + β₄·MA.</w:t>
      </w:r>
    </w:p>
    <w:p>
      <w:pPr>
        <w:pStyle w:val="Compact"/>
        <w:numPr>
          <w:ilvl w:val="0"/>
          <w:numId w:val="1006"/>
        </w:numPr>
      </w:pPr>
      <w:r>
        <w:rPr>
          <w:b/>
          <w:bCs/>
        </w:rPr>
        <w:t xml:space="preserve">H3a (stage):</w:t>
      </w:r>
      <w:r>
        <w:t xml:space="preserve"> </w:t>
      </w:r>
      <w:r>
        <w:t xml:space="preserve">β₇ &gt; 0, meaning mitigation is stronger in growth and decline. Mitigation within growth and decline is β₄ + β₇.</w:t>
      </w:r>
    </w:p>
    <w:bookmarkEnd w:id="19"/>
    <w:bookmarkStart w:id="20" w:name="X594f4d0a890217cac781902508fe0084439c45a"/>
    <w:p>
      <w:pPr>
        <w:pStyle w:val="Heading3"/>
      </w:pPr>
      <w:r>
        <w:t xml:space="preserve">Model 3b — Managerial ability and under-leverage (H3b)</w:t>
      </w:r>
    </w:p>
    <w:p>
      <w:pPr>
        <w:pStyle w:val="FirstParagraph"/>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b>
            <m:e>
              <m:r>
                <m:t>β</m:t>
              </m:r>
            </m:e>
            <m:sub>
              <m:r>
                <m:t>3</m:t>
              </m:r>
            </m:sub>
          </m:sSub>
          <m:r>
            <m:t>M</m:t>
          </m:r>
          <m:sSub>
            <m:e>
              <m:r>
                <m:t>A</m:t>
              </m:r>
            </m:e>
            <m:sub>
              <m:r>
                <m:t>i</m:t>
              </m:r>
              <m:r>
                <m:rPr>
                  <m:sty m:val="p"/>
                </m:rPr>
                <m:t>,</m:t>
              </m:r>
              <m:r>
                <m:t>t</m:t>
              </m:r>
            </m:sub>
          </m:sSub>
          <m:r>
            <m:rPr>
              <m:sty m:val="p"/>
            </m:rPr>
            <m:t>+</m:t>
          </m:r>
          <m:sSub>
            <m:e>
              <m:r>
                <m:t>β</m:t>
              </m:r>
            </m:e>
            <m:sub>
              <m:r>
                <m:t>5</m:t>
              </m:r>
            </m:sub>
          </m:sSub>
          <m:r>
            <m:rPr>
              <m:sty m:val="p"/>
            </m:rPr>
            <m:t>(</m:t>
          </m:r>
          <m:r>
            <m:t>C</m:t>
          </m:r>
          <m:r>
            <m:t>S</m:t>
          </m:r>
          <m:sSubSup>
            <m:e>
              <m:r>
                <m:t>D</m:t>
              </m:r>
            </m:e>
            <m:sub>
              <m:r>
                <m:t>i</m:t>
              </m:r>
              <m:r>
                <m:rPr>
                  <m:sty m:val="p"/>
                </m:rPr>
                <m:t>,</m:t>
              </m:r>
              <m:r>
                <m:t>t</m:t>
              </m:r>
            </m:sub>
            <m:sup>
              <m:r>
                <m:rPr>
                  <m:sty m:val="p"/>
                </m:rPr>
                <m:t>−</m:t>
              </m:r>
            </m:sup>
          </m:sSubSup>
          <m:r>
            <m:rPr>
              <m:sty m:val="p"/>
            </m:rPr>
            <m:t>×</m:t>
          </m:r>
          <m:r>
            <m:t>M</m:t>
          </m:r>
          <m:sSub>
            <m:e>
              <m:r>
                <m:t>A</m:t>
              </m:r>
            </m:e>
            <m:sub>
              <m:r>
                <m:t>i</m:t>
              </m:r>
              <m:r>
                <m:rPr>
                  <m:sty m:val="p"/>
                </m:rPr>
                <m:t>,</m:t>
              </m:r>
              <m:r>
                <m:t>t</m:t>
              </m:r>
            </m:sub>
          </m:sSub>
          <m:r>
            <m:rPr>
              <m:sty m:val="p"/>
            </m:rPr>
            <m:t>)</m:t>
          </m:r>
          <m:r>
            <m:rPr>
              <m:sty m:val="p"/>
            </m:rPr>
            <m:t>+</m:t>
          </m:r>
          <m:nary>
            <m:naryPr>
              <m:chr m:val="∑"/>
              <m:limLoc m:val="undOvr"/>
              <m:subHide m:val="off"/>
              <m:supHide m:val="on"/>
            </m:naryPr>
            <m:sub>
              <m:r>
                <m:t>k</m:t>
              </m:r>
            </m:sub>
            <m:sup>
              <m:r>
                <m:t>​</m:t>
              </m:r>
            </m:sup>
            <m:e>
              <m:sSub>
                <m:e>
                  <m:r>
                    <m:t>δ</m:t>
                  </m:r>
                </m:e>
                <m:sub>
                  <m:r>
                    <m:t>k</m:t>
                  </m:r>
                </m:sub>
              </m:sSub>
            </m:e>
          </m:nary>
          <m:r>
            <m:t>C</m:t>
          </m:r>
          <m:r>
            <m:t>o</m:t>
          </m:r>
          <m:r>
            <m:t>n</m:t>
          </m:r>
          <m:r>
            <m:t>t</m:t>
          </m:r>
          <m:r>
            <m:t>r</m:t>
          </m:r>
          <m:r>
            <m:t>o</m:t>
          </m:r>
          <m:r>
            <m:t>l</m:t>
          </m:r>
          <m:sSub>
            <m:e>
              <m:r>
                <m:t>s</m:t>
              </m:r>
            </m:e>
            <m:sub>
              <m:r>
                <m:t>k</m:t>
              </m:r>
              <m:r>
                <m:rPr>
                  <m:sty m:val="p"/>
                </m:rPr>
                <m:t>,</m:t>
              </m:r>
              <m:r>
                <m:t>i</m:t>
              </m:r>
              <m:r>
                <m:rPr>
                  <m:sty m:val="p"/>
                </m:rPr>
                <m:t>,</m:t>
              </m:r>
              <m:r>
                <m:t>t</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oMath>
      </m:oMathPara>
    </w:p>
    <w:p>
      <w:pPr>
        <w:pStyle w:val="FirstParagraph"/>
      </w:pPr>
      <w:r>
        <w:t xml:space="preserve">Three-way version with MAT (maturity = 1, growth/decline = 0): add MAT, CSD⁻ × MAT, MA × MAT and CSD⁻ × MA × MAT (coefficient β₈).</w:t>
      </w:r>
    </w:p>
    <w:p>
      <w:pPr>
        <w:pStyle w:val="Compact"/>
        <w:numPr>
          <w:ilvl w:val="0"/>
          <w:numId w:val="1007"/>
        </w:numPr>
      </w:pPr>
      <w:r>
        <w:rPr>
          <w:b/>
          <w:bCs/>
        </w:rPr>
        <w:t xml:space="preserve">H3b:</w:t>
      </w:r>
      <w:r>
        <w:t xml:space="preserve"> </w:t>
      </w:r>
      <w:r>
        <w:t xml:space="preserve">β₅ &lt; 0. Higher ability reduces the over-investment caused by under-leverage.</w:t>
      </w:r>
    </w:p>
    <w:p>
      <w:pPr>
        <w:pStyle w:val="Compact"/>
        <w:numPr>
          <w:ilvl w:val="0"/>
          <w:numId w:val="1007"/>
        </w:numPr>
      </w:pPr>
      <w:r>
        <w:rPr>
          <w:b/>
          <w:bCs/>
        </w:rPr>
        <w:t xml:space="preserve">H3b (stage):</w:t>
      </w:r>
      <w:r>
        <w:t xml:space="preserve"> </w:t>
      </w:r>
      <w:r>
        <w:t xml:space="preserve">β₈ &lt; 0, meaning the limiting effect is stronger in maturity.</w:t>
      </w:r>
    </w:p>
    <w:bookmarkEnd w:id="20"/>
    <w:bookmarkStart w:id="21" w:name="summary-hypothesis-test"/>
    <w:p>
      <w:pPr>
        <w:pStyle w:val="Heading3"/>
      </w:pPr>
      <w:r>
        <w:t xml:space="preserve">Summary: hypothesis → test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Hypothesis</w:t>
            </w:r>
          </w:p>
        </w:tc>
        <w:tc>
          <w:tcPr>
            <w:shd w:val="clear" w:color="auto" w:fill="E8ECF3"/>
          </w:tcPr>
          <w:p>
            <w:pPr>
              <w:pStyle w:val="Compact"/>
            </w:pPr>
            <w:r>
              <w:rPr>
                <w:b/>
                <w:sz w:val="19"/>
              </w:rPr>
              <w:t xml:space="preserve">Model</w:t>
            </w:r>
          </w:p>
        </w:tc>
        <w:tc>
          <w:tcPr>
            <w:shd w:val="clear" w:color="auto" w:fill="E8ECF3"/>
          </w:tcPr>
          <w:p>
            <w:pPr>
              <w:pStyle w:val="Compact"/>
            </w:pPr>
            <w:r>
              <w:rPr>
                <w:b/>
                <w:sz w:val="19"/>
              </w:rPr>
              <w:t xml:space="preserve">Coefficient</w:t>
            </w:r>
          </w:p>
        </w:tc>
        <w:tc>
          <w:tcPr>
            <w:shd w:val="clear" w:color="auto" w:fill="E8ECF3"/>
          </w:tcPr>
          <w:p>
            <w:pPr>
              <w:pStyle w:val="Compact"/>
            </w:pPr>
            <w:r>
              <w:rPr>
                <w:b/>
                <w:sz w:val="19"/>
              </w:rPr>
              <w:t xml:space="preserve">Predicted sign</w:t>
            </w:r>
          </w:p>
        </w:tc>
      </w:tr>
      <w:tr>
        <w:tc>
          <w:tcPr/>
          <w:p>
            <w:pPr>
              <w:pStyle w:val="Compact"/>
            </w:pPr>
            <w:r>
              <w:rPr>
                <w:sz w:val="19"/>
              </w:rPr>
              <w:t xml:space="preserve">H1a</w:t>
            </w:r>
          </w:p>
        </w:tc>
        <w:tc>
          <w:tcPr/>
          <w:p>
            <w:pPr>
              <w:pStyle w:val="Compact"/>
            </w:pPr>
            <w:r>
              <w:rPr>
                <w:sz w:val="19"/>
              </w:rPr>
              <w:t xml:space="preserve">1</w:t>
            </w:r>
          </w:p>
        </w:tc>
        <w:tc>
          <w:tcPr/>
          <w:p>
            <w:pPr>
              <w:pStyle w:val="Compact"/>
            </w:pPr>
            <w:r>
              <w:rPr>
                <w:sz w:val="19"/>
              </w:rPr>
              <w:t xml:space="preserve">β₁ (CSD⁺)</w:t>
            </w:r>
          </w:p>
        </w:tc>
        <w:tc>
          <w:tcPr/>
          <w:p>
            <w:pPr>
              <w:pStyle w:val="Compact"/>
            </w:pPr>
            <w:r>
              <w:rPr>
                <w:sz w:val="19"/>
              </w:rPr>
              <w:t xml:space="preserve">−</w:t>
            </w:r>
          </w:p>
        </w:tc>
      </w:tr>
      <w:tr>
        <w:tc>
          <w:tcPr/>
          <w:p>
            <w:pPr>
              <w:pStyle w:val="Compact"/>
            </w:pPr>
            <w:r>
              <w:rPr>
                <w:sz w:val="19"/>
              </w:rPr>
              <w:t xml:space="preserve">H1b</w:t>
            </w:r>
          </w:p>
        </w:tc>
        <w:tc>
          <w:tcPr/>
          <w:p>
            <w:pPr>
              <w:pStyle w:val="Compact"/>
            </w:pPr>
            <w:r>
              <w:rPr>
                <w:sz w:val="19"/>
              </w:rPr>
              <w:t xml:space="preserve">1</w:t>
            </w:r>
          </w:p>
        </w:tc>
        <w:tc>
          <w:tcPr/>
          <w:p>
            <w:pPr>
              <w:pStyle w:val="Compact"/>
            </w:pPr>
            <w:r>
              <w:rPr>
                <w:sz w:val="19"/>
              </w:rPr>
              <w:t xml:space="preserve">β₂ (CSD⁻)</w:t>
            </w:r>
          </w:p>
        </w:tc>
        <w:tc>
          <w:tcPr/>
          <w:p>
            <w:pPr>
              <w:pStyle w:val="Compact"/>
            </w:pPr>
            <w:r>
              <w:rPr>
                <w:sz w:val="19"/>
              </w:rPr>
              <w:t xml:space="preserve">+</w:t>
            </w:r>
          </w:p>
        </w:tc>
      </w:tr>
      <w:tr>
        <w:tc>
          <w:tcPr/>
          <w:p>
            <w:pPr>
              <w:pStyle w:val="Compact"/>
            </w:pPr>
            <w:r>
              <w:rPr>
                <w:sz w:val="19"/>
              </w:rPr>
              <w:t xml:space="preserve">Asymmetry</w:t>
            </w:r>
          </w:p>
        </w:tc>
        <w:tc>
          <w:tcPr/>
          <w:p>
            <w:pPr>
              <w:pStyle w:val="Compact"/>
            </w:pPr>
            <w:r>
              <w:rPr>
                <w:sz w:val="19"/>
              </w:rPr>
              <w:t xml:space="preserve">1</w:t>
            </w:r>
          </w:p>
        </w:tc>
        <w:tc>
          <w:tcPr/>
          <w:p>
            <w:pPr>
              <w:pStyle w:val="Compact"/>
            </w:pPr>
            <w:r>
              <w:rPr>
                <w:sz w:val="19"/>
              </w:rPr>
              <w:t xml:space="preserve">β₁ + β₂</w:t>
            </w:r>
          </w:p>
        </w:tc>
        <w:tc>
          <w:tcPr/>
          <w:p>
            <w:pPr>
              <w:pStyle w:val="Compact"/>
            </w:pPr>
            <w:r>
              <w:rPr>
                <w:sz w:val="19"/>
              </w:rPr>
              <w:t xml:space="preserve">≠ 0</w:t>
            </w:r>
          </w:p>
        </w:tc>
      </w:tr>
      <w:tr>
        <w:tc>
          <w:tcPr/>
          <w:p>
            <w:pPr>
              <w:pStyle w:val="Compact"/>
            </w:pPr>
            <w:r>
              <w:rPr>
                <w:sz w:val="19"/>
              </w:rPr>
              <w:t xml:space="preserve">H2a</w:t>
            </w:r>
          </w:p>
        </w:tc>
        <w:tc>
          <w:tcPr/>
          <w:p>
            <w:pPr>
              <w:pStyle w:val="Compact"/>
            </w:pPr>
            <w:r>
              <w:rPr>
                <w:sz w:val="19"/>
              </w:rPr>
              <w:t xml:space="preserve">2a</w:t>
            </w:r>
          </w:p>
        </w:tc>
        <w:tc>
          <w:tcPr/>
          <w:p>
            <w:pPr>
              <w:pStyle w:val="Compact"/>
            </w:pPr>
            <w:r>
              <w:rPr>
                <w:sz w:val="19"/>
              </w:rPr>
              <w:t xml:space="preserve">β₃ (CSD⁺×GROW), β₄ (CSD⁺×DEC)</w:t>
            </w:r>
          </w:p>
        </w:tc>
        <w:tc>
          <w:tcPr/>
          <w:p>
            <w:pPr>
              <w:pStyle w:val="Compact"/>
            </w:pPr>
            <w:r>
              <w:rPr>
                <w:sz w:val="19"/>
              </w:rPr>
              <w:t xml:space="preserve">−, −</w:t>
            </w:r>
          </w:p>
        </w:tc>
      </w:tr>
      <w:tr>
        <w:tc>
          <w:tcPr/>
          <w:p>
            <w:pPr>
              <w:pStyle w:val="Compact"/>
            </w:pPr>
            <w:r>
              <w:rPr>
                <w:sz w:val="19"/>
              </w:rPr>
              <w:t xml:space="preserve">H2b</w:t>
            </w:r>
          </w:p>
        </w:tc>
        <w:tc>
          <w:tcPr/>
          <w:p>
            <w:pPr>
              <w:pStyle w:val="Compact"/>
            </w:pPr>
            <w:r>
              <w:rPr>
                <w:sz w:val="19"/>
              </w:rPr>
              <w:t xml:space="preserve">2b</w:t>
            </w:r>
          </w:p>
        </w:tc>
        <w:tc>
          <w:tcPr/>
          <w:p>
            <w:pPr>
              <w:pStyle w:val="Compact"/>
            </w:pPr>
            <w:r>
              <w:rPr>
                <w:sz w:val="19"/>
              </w:rPr>
              <w:t xml:space="preserve">β₅ (CSD⁻×MAT)</w:t>
            </w:r>
          </w:p>
        </w:tc>
        <w:tc>
          <w:tcPr/>
          <w:p>
            <w:pPr>
              <w:pStyle w:val="Compact"/>
            </w:pPr>
            <w:r>
              <w:rPr>
                <w:sz w:val="19"/>
              </w:rPr>
              <w:t xml:space="preserve">+</w:t>
            </w:r>
          </w:p>
        </w:tc>
      </w:tr>
      <w:tr>
        <w:tc>
          <w:tcPr/>
          <w:p>
            <w:pPr>
              <w:pStyle w:val="Compact"/>
            </w:pPr>
            <w:r>
              <w:rPr>
                <w:sz w:val="19"/>
              </w:rPr>
              <w:t xml:space="preserve">H3a</w:t>
            </w:r>
          </w:p>
        </w:tc>
        <w:tc>
          <w:tcPr/>
          <w:p>
            <w:pPr>
              <w:pStyle w:val="Compact"/>
            </w:pPr>
            <w:r>
              <w:rPr>
                <w:sz w:val="19"/>
              </w:rPr>
              <w:t xml:space="preserve">3a</w:t>
            </w:r>
          </w:p>
        </w:tc>
        <w:tc>
          <w:tcPr/>
          <w:p>
            <w:pPr>
              <w:pStyle w:val="Compact"/>
            </w:pPr>
            <w:r>
              <w:rPr>
                <w:sz w:val="19"/>
              </w:rPr>
              <w:t xml:space="preserve">β₄ (CSD⁺×MA); β₇ (CSD⁺×MA×GD)</w:t>
            </w:r>
          </w:p>
        </w:tc>
        <w:tc>
          <w:tcPr/>
          <w:p>
            <w:pPr>
              <w:pStyle w:val="Compact"/>
            </w:pPr>
            <w:r>
              <w:rPr>
                <w:sz w:val="19"/>
              </w:rPr>
              <w:t xml:space="preserve">+; +</w:t>
            </w:r>
          </w:p>
        </w:tc>
      </w:tr>
      <w:tr>
        <w:tc>
          <w:tcPr/>
          <w:p>
            <w:pPr>
              <w:pStyle w:val="Compact"/>
            </w:pPr>
            <w:r>
              <w:rPr>
                <w:sz w:val="19"/>
              </w:rPr>
              <w:t xml:space="preserve">H3b</w:t>
            </w:r>
          </w:p>
        </w:tc>
        <w:tc>
          <w:tcPr/>
          <w:p>
            <w:pPr>
              <w:pStyle w:val="Compact"/>
            </w:pPr>
            <w:r>
              <w:rPr>
                <w:sz w:val="19"/>
              </w:rPr>
              <w:t xml:space="preserve">3b</w:t>
            </w:r>
          </w:p>
        </w:tc>
        <w:tc>
          <w:tcPr/>
          <w:p>
            <w:pPr>
              <w:pStyle w:val="Compact"/>
            </w:pPr>
            <w:r>
              <w:rPr>
                <w:sz w:val="19"/>
              </w:rPr>
              <w:t xml:space="preserve">β₅ (CSD⁻×MA); β₈ (CSD⁻×MA×MAT)</w:t>
            </w:r>
          </w:p>
        </w:tc>
        <w:tc>
          <w:tcPr/>
          <w:p>
            <w:pPr>
              <w:pStyle w:val="Compact"/>
            </w:pPr>
            <w:r>
              <w:rPr>
                <w:sz w:val="19"/>
              </w:rPr>
              <w:t xml:space="preserve">−; −</w:t>
            </w:r>
          </w:p>
        </w:tc>
      </w:tr>
    </w:tbl>
    <w:p>
      <w:pPr>
        <w:pStyle w:val="BodyText"/>
      </w:pPr>
      <w:r>
        <w:t xml:space="preserve">As a supplementary, descriptive analysis, Models 1, 3a and 3b are also estimated separately for the growth, maturity and decline subsamples. Formal inference on stage differences comes only from the interaction terms in Models 2a, 2b, 3a and 3b. A difference between coefficients from separately estimated GMM models is not a statistical test, and stage subsamples break the panel continuity that GMM instruments require.</w:t>
      </w:r>
    </w:p>
    <w:bookmarkEnd w:id="21"/>
    <w:bookmarkEnd w:id="22"/>
    <w:bookmarkStart w:id="26" w:name="estimation-strategy-two-step-system-gmm"/>
    <w:p>
      <w:pPr>
        <w:pStyle w:val="Heading2"/>
      </w:pPr>
      <w:r>
        <w:t xml:space="preserve">3.4 Estimation Strategy: Two-step System GMM</w:t>
      </w:r>
    </w:p>
    <w:p>
      <w:pPr>
        <w:pStyle w:val="FirstParagraph"/>
      </w:pPr>
      <w:r>
        <w:t xml:space="preserve">All models are estimated with the two-step System GMM estimator (Arellano &amp; Bover, 1995; Blundell &amp; Bond, 1998), implemented with xtabond2 (Roodman, 2009), with Windmeijer (2005) finite-sample corrected standard errors. Three features of the setting make static estimators inconsistent:</w:t>
      </w:r>
    </w:p>
    <w:p>
      <w:pPr>
        <w:pStyle w:val="Compact"/>
        <w:numPr>
          <w:ilvl w:val="0"/>
          <w:numId w:val="1008"/>
        </w:numPr>
      </w:pPr>
      <w:r>
        <w:rPr>
          <w:b/>
          <w:bCs/>
        </w:rPr>
        <w:t xml:space="preserve">Dynamics.</w:t>
      </w:r>
      <w:r>
        <w:t xml:space="preserve"> </w:t>
      </w:r>
      <w:r>
        <w:t xml:space="preserve">Investment behavior persists, so InvEff at t−1 enters the model. With unobserved firm effects, pooled OLS biases γ₁ upward and the within (fixed-effects) estimator biases it downward (Nickell, 1981), because T is short (about 10 effective years).</w:t>
      </w:r>
    </w:p>
    <w:p>
      <w:pPr>
        <w:pStyle w:val="Compact"/>
        <w:numPr>
          <w:ilvl w:val="0"/>
          <w:numId w:val="1008"/>
        </w:numPr>
      </w:pPr>
      <w:r>
        <w:rPr>
          <w:b/>
          <w:bCs/>
        </w:rPr>
        <w:t xml:space="preserve">Simultaneity.</w:t>
      </w:r>
      <w:r>
        <w:t xml:space="preserve"> </w:t>
      </w:r>
      <w:r>
        <w:t xml:space="preserve">Investment financed with new debt raises leverage in the same year, so CSD⁺ and CSD⁻ are jointly determined with InvEff.</w:t>
      </w:r>
    </w:p>
    <w:p>
      <w:pPr>
        <w:pStyle w:val="Compact"/>
        <w:numPr>
          <w:ilvl w:val="0"/>
          <w:numId w:val="1008"/>
        </w:numPr>
      </w:pPr>
      <w:r>
        <w:rPr>
          <w:b/>
          <w:bCs/>
        </w:rPr>
        <w:t xml:space="preserve">Endogeneity of ability.</w:t>
      </w:r>
      <w:r>
        <w:t xml:space="preserve"> </w:t>
      </w:r>
      <w:r>
        <w:t xml:space="preserve">MA is derived from same-year sales efficiency, which is itself related to investment outcomes.</w:t>
      </w:r>
    </w:p>
    <w:p>
      <w:pPr>
        <w:pStyle w:val="FirstParagraph"/>
      </w:pPr>
      <w:r>
        <w:t xml:space="preserve">System GMM stacks the first-differenced equation, instrumented with lagged levels, and the levels equation, instrumented with lagged differences. This removes the firm effect and handles the endogenous regressors.</w:t>
      </w:r>
    </w:p>
    <w:bookmarkStart w:id="23" w:name="treatment-of-each-regressor"/>
    <w:p>
      <w:pPr>
        <w:pStyle w:val="Heading3"/>
      </w:pPr>
      <w:r>
        <w:t xml:space="preserve">Treatment of each regressor</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Regressor</w:t>
            </w:r>
          </w:p>
        </w:tc>
        <w:tc>
          <w:tcPr>
            <w:shd w:val="clear" w:color="auto" w:fill="E8ECF3"/>
          </w:tcPr>
          <w:p>
            <w:pPr>
              <w:pStyle w:val="Compact"/>
            </w:pPr>
            <w:r>
              <w:rPr>
                <w:b/>
                <w:sz w:val="19"/>
              </w:rPr>
              <w:t xml:space="preserve">Treatment</w:t>
            </w:r>
          </w:p>
        </w:tc>
        <w:tc>
          <w:tcPr>
            <w:shd w:val="clear" w:color="auto" w:fill="E8ECF3"/>
          </w:tcPr>
          <w:p>
            <w:pPr>
              <w:pStyle w:val="Compact"/>
            </w:pPr>
            <w:r>
              <w:rPr>
                <w:b/>
                <w:sz w:val="19"/>
              </w:rPr>
              <w:t xml:space="preserve">Instruments in the differenced equation</w:t>
            </w:r>
          </w:p>
        </w:tc>
        <w:tc>
          <w:tcPr>
            <w:shd w:val="clear" w:color="auto" w:fill="E8ECF3"/>
          </w:tcPr>
          <w:p>
            <w:pPr>
              <w:pStyle w:val="Compact"/>
            </w:pPr>
            <w:r>
              <w:rPr>
                <w:b/>
                <w:sz w:val="19"/>
              </w:rPr>
              <w:t xml:space="preserve">Instruments in the levels equation</w:t>
            </w:r>
          </w:p>
        </w:tc>
      </w:tr>
      <w:tr>
        <w:tc>
          <w:tcPr/>
          <w:p>
            <w:pPr>
              <w:pStyle w:val="Compact"/>
            </w:pPr>
            <w:r>
              <w:rPr>
                <w:sz w:val="19"/>
              </w:rPr>
              <w:t xml:space="preserve">InvEff at t−1</w:t>
            </w:r>
          </w:p>
        </w:tc>
        <w:tc>
          <w:tcPr/>
          <w:p>
            <w:pPr>
              <w:pStyle w:val="Compact"/>
            </w:pPr>
            <w:r>
              <w:rPr>
                <w:sz w:val="19"/>
              </w:rPr>
              <w:t xml:space="preserve">Endogenous</w:t>
            </w:r>
          </w:p>
        </w:tc>
        <w:tc>
          <w:tcPr/>
          <w:p>
            <w:pPr>
              <w:pStyle w:val="Compact"/>
            </w:pPr>
            <w:r>
              <w:rPr>
                <w:sz w:val="19"/>
              </w:rPr>
              <w:t xml:space="preserve">Levels at t−2 and t−3</w:t>
            </w:r>
          </w:p>
        </w:tc>
        <w:tc>
          <w:tcPr/>
          <w:p>
            <w:pPr>
              <w:pStyle w:val="Compact"/>
            </w:pPr>
            <w:r>
              <w:rPr>
                <w:sz w:val="19"/>
              </w:rPr>
              <w:t xml:space="preserve">Δ at t−1</w:t>
            </w:r>
          </w:p>
        </w:tc>
      </w:tr>
      <w:tr>
        <w:tc>
          <w:tcPr/>
          <w:p>
            <w:pPr>
              <w:pStyle w:val="Compact"/>
            </w:pPr>
            <w:r>
              <w:rPr>
                <w:sz w:val="19"/>
              </w:rPr>
              <w:t xml:space="preserve">CSD⁺, CSD⁻, MA</w:t>
            </w:r>
          </w:p>
        </w:tc>
        <w:tc>
          <w:tcPr/>
          <w:p>
            <w:pPr>
              <w:pStyle w:val="Compact"/>
            </w:pPr>
            <w:r>
              <w:rPr>
                <w:sz w:val="19"/>
              </w:rPr>
              <w:t xml:space="preserve">Endogenous</w:t>
            </w:r>
          </w:p>
        </w:tc>
        <w:tc>
          <w:tcPr/>
          <w:p>
            <w:pPr>
              <w:pStyle w:val="Compact"/>
            </w:pPr>
            <w:r>
              <w:rPr>
                <w:sz w:val="19"/>
              </w:rPr>
              <w:t xml:space="preserve">Levels at t−2 and t−3</w:t>
            </w:r>
          </w:p>
        </w:tc>
        <w:tc>
          <w:tcPr/>
          <w:p>
            <w:pPr>
              <w:pStyle w:val="Compact"/>
            </w:pPr>
            <w:r>
              <w:rPr>
                <w:sz w:val="19"/>
              </w:rPr>
              <w:t xml:space="preserve">Δ at t−1</w:t>
            </w:r>
          </w:p>
        </w:tc>
      </w:tr>
      <w:tr>
        <w:tc>
          <w:tcPr/>
          <w:p>
            <w:pPr>
              <w:pStyle w:val="Compact"/>
            </w:pPr>
            <w:r>
              <w:rPr>
                <w:sz w:val="19"/>
              </w:rPr>
              <w:t xml:space="preserve">All interactions containing CSD⁺, CSD⁻ or MA</w:t>
            </w:r>
          </w:p>
        </w:tc>
        <w:tc>
          <w:tcPr/>
          <w:p>
            <w:pPr>
              <w:pStyle w:val="Compact"/>
            </w:pPr>
            <w:r>
              <w:rPr>
                <w:sz w:val="19"/>
              </w:rPr>
              <w:t xml:space="preserve">Endogenous; instrumented by lags of the interaction itself</w:t>
            </w:r>
          </w:p>
        </w:tc>
        <w:tc>
          <w:tcPr/>
          <w:p>
            <w:pPr>
              <w:pStyle w:val="Compact"/>
            </w:pPr>
            <w:r>
              <w:rPr>
                <w:sz w:val="19"/>
              </w:rPr>
              <w:t xml:space="preserve">Levels at t−2 and t−3</w:t>
            </w:r>
          </w:p>
        </w:tc>
        <w:tc>
          <w:tcPr/>
          <w:p>
            <w:pPr>
              <w:pStyle w:val="Compact"/>
            </w:pPr>
            <w:r>
              <w:rPr>
                <w:sz w:val="19"/>
              </w:rPr>
              <w:t xml:space="preserve">Δ at t−1</w:t>
            </w:r>
          </w:p>
        </w:tc>
      </w:tr>
      <w:tr>
        <w:tc>
          <w:tcPr/>
          <w:p>
            <w:pPr>
              <w:pStyle w:val="Compact"/>
            </w:pPr>
            <w:r>
              <w:rPr>
                <w:sz w:val="19"/>
              </w:rPr>
              <w:t xml:space="preserve">Stage indicators (t−1)</w:t>
            </w:r>
          </w:p>
        </w:tc>
        <w:tc>
          <w:tcPr/>
          <w:p>
            <w:pPr>
              <w:pStyle w:val="Compact"/>
            </w:pPr>
            <w:r>
              <w:rPr>
                <w:sz w:val="19"/>
              </w:rPr>
              <w:t xml:space="preserve">Predetermined</w:t>
            </w:r>
          </w:p>
        </w:tc>
        <w:tc>
          <w:tcPr/>
          <w:p>
            <w:pPr>
              <w:pStyle w:val="Compact"/>
            </w:pPr>
            <w:r>
              <w:rPr>
                <w:sz w:val="19"/>
              </w:rPr>
              <w:t xml:space="preserve">Levels at t−1 and t−2</w:t>
            </w:r>
          </w:p>
        </w:tc>
        <w:tc>
          <w:tcPr/>
          <w:p>
            <w:pPr>
              <w:pStyle w:val="Compact"/>
            </w:pPr>
            <w:r>
              <w:rPr>
                <w:sz w:val="19"/>
              </w:rPr>
              <w:t xml:space="preserve">Δ at t</w:t>
            </w:r>
          </w:p>
        </w:tc>
      </w:tr>
      <w:tr>
        <w:tc>
          <w:tcPr/>
          <w:p>
            <w:pPr>
              <w:pStyle w:val="Compact"/>
            </w:pPr>
            <w:r>
              <w:rPr>
                <w:sz w:val="19"/>
              </w:rPr>
              <w:t xml:space="preserve">LTA, MTB, PROFIT, FCF</w:t>
            </w:r>
          </w:p>
        </w:tc>
        <w:tc>
          <w:tcPr/>
          <w:p>
            <w:pPr>
              <w:pStyle w:val="Compact"/>
            </w:pPr>
            <w:r>
              <w:rPr>
                <w:sz w:val="19"/>
              </w:rPr>
              <w:t xml:space="preserve">Predetermined</w:t>
            </w:r>
          </w:p>
        </w:tc>
        <w:tc>
          <w:tcPr/>
          <w:p>
            <w:pPr>
              <w:pStyle w:val="Compact"/>
            </w:pPr>
            <w:r>
              <w:rPr>
                <w:sz w:val="19"/>
              </w:rPr>
              <w:t xml:space="preserve">Levels at t−1 and t−2</w:t>
            </w:r>
          </w:p>
        </w:tc>
        <w:tc>
          <w:tcPr/>
          <w:p>
            <w:pPr>
              <w:pStyle w:val="Compact"/>
            </w:pPr>
            <w:r>
              <w:rPr>
                <w:sz w:val="19"/>
              </w:rPr>
              <w:t xml:space="preserve">Δ at t</w:t>
            </w:r>
          </w:p>
        </w:tc>
      </w:tr>
      <w:tr>
        <w:tc>
          <w:tcPr/>
          <w:p>
            <w:pPr>
              <w:pStyle w:val="Compact"/>
            </w:pPr>
            <w:r>
              <w:rPr>
                <w:sz w:val="19"/>
              </w:rPr>
              <w:t xml:space="preserve">Year dummies</w:t>
            </w:r>
          </w:p>
        </w:tc>
        <w:tc>
          <w:tcPr/>
          <w:p>
            <w:pPr>
              <w:pStyle w:val="Compact"/>
            </w:pPr>
            <w:r>
              <w:rPr>
                <w:sz w:val="19"/>
              </w:rPr>
              <w:t xml:space="preserve">Exogenous</w:t>
            </w:r>
          </w:p>
        </w:tc>
        <w:tc>
          <w:tcPr/>
          <w:p>
            <w:pPr>
              <w:pStyle w:val="Compact"/>
            </w:pPr>
            <w:r>
              <w:rPr>
                <w:sz w:val="19"/>
              </w:rPr>
              <w:t xml:space="preserve">Standard (IV-style) instruments</w:t>
            </w:r>
          </w:p>
        </w:tc>
        <w:tc>
          <w:tcPr/>
          <w:p>
            <w:pPr>
              <w:pStyle w:val="Compact"/>
            </w:pPr>
            <w:r>
              <w:rPr>
                <w:sz w:val="19"/>
              </w:rPr>
              <w:t xml:space="preserve">Standard instruments</w:t>
            </w:r>
          </w:p>
        </w:tc>
      </w:tr>
      <w:tr>
        <w:tc>
          <w:tcPr/>
          <w:p>
            <w:pPr>
              <w:pStyle w:val="Compact"/>
            </w:pPr>
            <w:r>
              <w:rPr>
                <w:sz w:val="19"/>
              </w:rPr>
              <w:t xml:space="preserve">Industry dummies, AGE</w:t>
            </w:r>
          </w:p>
        </w:tc>
        <w:tc>
          <w:tcPr/>
          <w:p>
            <w:pPr>
              <w:pStyle w:val="Compact"/>
            </w:pPr>
            <w:r>
              <w:rPr>
                <w:sz w:val="19"/>
              </w:rPr>
              <w:t xml:space="preserve">Time-invariant or deterministic</w:t>
            </w:r>
          </w:p>
        </w:tc>
        <w:tc>
          <w:tcPr/>
          <w:p>
            <w:pPr>
              <w:pStyle w:val="Compact"/>
            </w:pPr>
            <w:r>
              <w:rPr>
                <w:sz w:val="19"/>
              </w:rPr>
              <w:t xml:space="preserve">Not used</w:t>
            </w:r>
          </w:p>
        </w:tc>
        <w:tc>
          <w:tcPr/>
          <w:p>
            <w:pPr>
              <w:pStyle w:val="Compact"/>
            </w:pPr>
            <w:r>
              <w:rPr>
                <w:sz w:val="19"/>
              </w:rPr>
              <w:t xml:space="preserve">Levels equation only</w:t>
            </w:r>
          </w:p>
        </w:tc>
      </w:tr>
    </w:tbl>
    <w:p>
      <w:pPr>
        <w:pStyle w:val="BodyText"/>
      </w:pPr>
      <w:r>
        <w:t xml:space="preserve">The instrument matrix is collapsed and lag depth is limited to two lags. This keeps the number of instruments below the number of firms (299), because instrument proliferation weakens the Hansen test and overfits the endogenous variables (Roodman, 2009).</w:t>
      </w:r>
    </w:p>
    <w:bookmarkEnd w:id="23"/>
    <w:bookmarkStart w:id="24" w:name="year-and-industry-effects"/>
    <w:p>
      <w:pPr>
        <w:pStyle w:val="Heading3"/>
      </w:pPr>
      <w:r>
        <w:t xml:space="preserve">Year and industry effects</w:t>
      </w:r>
    </w:p>
    <w:p>
      <w:pPr>
        <w:pStyle w:val="FirstParagraph"/>
      </w:pPr>
      <w:r>
        <w:t xml:space="preserve">Year and industry effects are included in every equation where they can be identified. The table states how each equation handles them:</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Equation</w:t>
            </w:r>
          </w:p>
        </w:tc>
        <w:tc>
          <w:tcPr>
            <w:shd w:val="clear" w:color="auto" w:fill="E8ECF3"/>
          </w:tcPr>
          <w:p>
            <w:pPr>
              <w:pStyle w:val="Compact"/>
            </w:pPr>
            <w:r>
              <w:rPr>
                <w:b/>
                <w:sz w:val="19"/>
              </w:rPr>
              <w:t xml:space="preserve">Year effects</w:t>
            </w:r>
          </w:p>
        </w:tc>
        <w:tc>
          <w:tcPr>
            <w:shd w:val="clear" w:color="auto" w:fill="E8ECF3"/>
          </w:tcPr>
          <w:p>
            <w:pPr>
              <w:pStyle w:val="Compact"/>
            </w:pPr>
            <w:r>
              <w:rPr>
                <w:b/>
                <w:sz w:val="19"/>
              </w:rPr>
              <w:t xml:space="preserve">Industry effects</w:t>
            </w:r>
          </w:p>
        </w:tc>
        <w:tc>
          <w:tcPr>
            <w:shd w:val="clear" w:color="auto" w:fill="E8ECF3"/>
          </w:tcPr>
          <w:p>
            <w:pPr>
              <w:pStyle w:val="Compact"/>
            </w:pPr>
            <w:r>
              <w:rPr>
                <w:b/>
                <w:sz w:val="19"/>
              </w:rPr>
              <w:t xml:space="preserve">Reason</w:t>
            </w:r>
          </w:p>
        </w:tc>
      </w:tr>
      <w:tr>
        <w:tc>
          <w:tcPr/>
          <w:p>
            <w:pPr>
              <w:pStyle w:val="Compact"/>
            </w:pPr>
            <w:r>
              <w:rPr>
                <w:sz w:val="19"/>
              </w:rPr>
              <w:t xml:space="preserve">Biddle expectation model (3.2.1)</w:t>
            </w:r>
          </w:p>
        </w:tc>
        <w:tc>
          <w:tcPr/>
          <w:p>
            <w:pPr>
              <w:pStyle w:val="Compact"/>
            </w:pPr>
            <w:r>
              <w:rPr>
                <w:sz w:val="19"/>
              </w:rPr>
              <w:t xml:space="preserve">Absorbed by design</w:t>
            </w:r>
          </w:p>
        </w:tc>
        <w:tc>
          <w:tcPr/>
          <w:p>
            <w:pPr>
              <w:pStyle w:val="Compact"/>
            </w:pPr>
            <w:r>
              <w:rPr>
                <w:sz w:val="19"/>
              </w:rPr>
              <w:t xml:space="preserve">Absorbed by design</w:t>
            </w:r>
          </w:p>
        </w:tc>
        <w:tc>
          <w:tcPr/>
          <w:p>
            <w:pPr>
              <w:pStyle w:val="Compact"/>
            </w:pPr>
            <w:r>
              <w:rPr>
                <w:sz w:val="19"/>
              </w:rPr>
              <w:t xml:space="preserve">Estimated separately for each industry-year, so each cell has its own intercept and slope. Small cells, pooled by industry, include year dummies.</w:t>
            </w:r>
          </w:p>
        </w:tc>
      </w:tr>
      <w:tr>
        <w:tc>
          <w:tcPr/>
          <w:p>
            <w:pPr>
              <w:pStyle w:val="Compact"/>
            </w:pPr>
            <w:r>
              <w:rPr>
                <w:sz w:val="19"/>
              </w:rPr>
              <w:t xml:space="preserve">Target leverage model (3.2.2)</w:t>
            </w:r>
          </w:p>
        </w:tc>
        <w:tc>
          <w:tcPr/>
          <w:p>
            <w:pPr>
              <w:pStyle w:val="Compact"/>
            </w:pPr>
            <w:r>
              <w:rPr>
                <w:sz w:val="19"/>
              </w:rPr>
              <w:t xml:space="preserve">Not included; INF captures time variation</w:t>
            </w:r>
          </w:p>
        </w:tc>
        <w:tc>
          <w:tcPr/>
          <w:p>
            <w:pPr>
              <w:pStyle w:val="Compact"/>
            </w:pPr>
            <w:r>
              <w:rPr>
                <w:sz w:val="19"/>
              </w:rPr>
              <w:t xml:space="preserve">Industry dummies λ</w:t>
            </w:r>
            <w:r>
              <w:rPr>
                <w:sz w:val="19"/>
                <w:vertAlign w:val="subscript"/>
              </w:rPr>
              <w:t xml:space="preserve">j</w:t>
            </w:r>
          </w:p>
        </w:tc>
        <w:tc>
          <w:tcPr/>
          <w:p>
            <w:pPr>
              <w:pStyle w:val="Compact"/>
            </w:pPr>
            <w:r>
              <w:rPr>
                <w:sz w:val="19"/>
              </w:rPr>
              <w:t xml:space="preserve">INF is constant across firms within a year, so year dummies would absorb it and its coefficient could not be estimated.</w:t>
            </w:r>
          </w:p>
        </w:tc>
      </w:tr>
      <w:tr>
        <w:tc>
          <w:tcPr/>
          <w:p>
            <w:pPr>
              <w:pStyle w:val="Compact"/>
            </w:pPr>
            <w:r>
              <w:rPr>
                <w:sz w:val="19"/>
              </w:rPr>
              <w:t xml:space="preserve">DEA (3.2.4, stage 1)</w:t>
            </w:r>
          </w:p>
        </w:tc>
        <w:tc>
          <w:tcPr/>
          <w:p>
            <w:pPr>
              <w:pStyle w:val="Compact"/>
            </w:pPr>
            <w:r>
              <w:rPr>
                <w:sz w:val="19"/>
              </w:rPr>
              <w:t xml:space="preserve">Frontier per industry-year</w:t>
            </w:r>
          </w:p>
        </w:tc>
        <w:tc>
          <w:tcPr/>
          <w:p>
            <w:pPr>
              <w:pStyle w:val="Compact"/>
            </w:pPr>
            <w:r>
              <w:rPr>
                <w:sz w:val="19"/>
              </w:rPr>
              <w:t xml:space="preserve">Frontier per industry-year</w:t>
            </w:r>
          </w:p>
        </w:tc>
        <w:tc>
          <w:tcPr/>
          <w:p>
            <w:pPr>
              <w:pStyle w:val="Compact"/>
            </w:pPr>
            <w:r>
              <w:rPr>
                <w:sz w:val="19"/>
              </w:rPr>
              <w:t xml:space="preserve">Firms are compared only with peers in the same industry and year.</w:t>
            </w:r>
          </w:p>
        </w:tc>
      </w:tr>
      <w:tr>
        <w:tc>
          <w:tcPr/>
          <w:p>
            <w:pPr>
              <w:pStyle w:val="Compact"/>
            </w:pPr>
            <w:r>
              <w:rPr>
                <w:sz w:val="19"/>
              </w:rPr>
              <w:t xml:space="preserve">Tobit (3.2.4, stage 2)</w:t>
            </w:r>
          </w:p>
        </w:tc>
        <w:tc>
          <w:tcPr/>
          <w:p>
            <w:pPr>
              <w:pStyle w:val="Compact"/>
            </w:pPr>
            <w:r>
              <w:rPr>
                <w:sz w:val="19"/>
              </w:rPr>
              <w:t xml:space="preserve">Year dummies ν</w:t>
            </w:r>
            <w:r>
              <w:rPr>
                <w:sz w:val="19"/>
                <w:vertAlign w:val="subscript"/>
              </w:rPr>
              <w:t xml:space="preserve">t</w:t>
            </w:r>
          </w:p>
        </w:tc>
        <w:tc>
          <w:tcPr/>
          <w:p>
            <w:pPr>
              <w:pStyle w:val="Compact"/>
            </w:pPr>
            <w:r>
              <w:rPr>
                <w:sz w:val="19"/>
              </w:rPr>
              <w:t xml:space="preserve">Industry dummies λ</w:t>
            </w:r>
            <w:r>
              <w:rPr>
                <w:sz w:val="19"/>
                <w:vertAlign w:val="subscript"/>
              </w:rPr>
              <w:t xml:space="preserve">j</w:t>
            </w:r>
          </w:p>
        </w:tc>
        <w:tc>
          <w:tcPr/>
          <w:p>
            <w:pPr>
              <w:pStyle w:val="Compact"/>
            </w:pPr>
            <w:r>
              <w:rPr>
                <w:sz w:val="19"/>
              </w:rPr>
              <w:t xml:space="preserve">Removes efficiency differences common to a year or an industry, so MA reflects the manager rather than the setting.</w:t>
            </w:r>
          </w:p>
        </w:tc>
      </w:tr>
      <w:tr>
        <w:tc>
          <w:tcPr/>
          <w:p>
            <w:pPr>
              <w:pStyle w:val="Compact"/>
            </w:pPr>
            <w:r>
              <w:rPr>
                <w:sz w:val="19"/>
              </w:rPr>
              <w:t xml:space="preserve">Models 1–3b (System GMM)</w:t>
            </w:r>
          </w:p>
        </w:tc>
        <w:tc>
          <w:tcPr/>
          <w:p>
            <w:pPr>
              <w:pStyle w:val="Compact"/>
            </w:pPr>
            <w:r>
              <w:rPr>
                <w:sz w:val="19"/>
              </w:rPr>
              <w:t xml:space="preserve">Year dummies ν</w:t>
            </w:r>
            <w:r>
              <w:rPr>
                <w:sz w:val="19"/>
                <w:vertAlign w:val="subscript"/>
              </w:rPr>
              <w:t xml:space="preserve">t</w:t>
            </w:r>
            <w:r>
              <w:rPr>
                <w:sz w:val="19"/>
              </w:rPr>
              <w:t xml:space="preserve">, in both the differenced and levels equations</w:t>
            </w:r>
          </w:p>
        </w:tc>
        <w:tc>
          <w:tcPr/>
          <w:p>
            <w:pPr>
              <w:pStyle w:val="Compact"/>
            </w:pPr>
            <w:r>
              <w:rPr>
                <w:sz w:val="19"/>
              </w:rPr>
              <w:t xml:space="preserve">Industry dummies λ</w:t>
            </w:r>
            <w:r>
              <w:rPr>
                <w:sz w:val="19"/>
                <w:vertAlign w:val="subscript"/>
              </w:rPr>
              <w:t xml:space="preserve">j</w:t>
            </w:r>
            <w:r>
              <w:rPr>
                <w:sz w:val="19"/>
              </w:rPr>
              <w:t xml:space="preserve">, in the levels equation only</w:t>
            </w:r>
          </w:p>
        </w:tc>
        <w:tc>
          <w:tcPr/>
          <w:p>
            <w:pPr>
              <w:pStyle w:val="Compact"/>
            </w:pPr>
            <w:r>
              <w:rPr>
                <w:sz w:val="19"/>
              </w:rPr>
              <w:t xml:space="preserve">See below</w:t>
            </w:r>
          </w:p>
        </w:tc>
      </w:tr>
    </w:tbl>
    <w:p>
      <w:pPr>
        <w:pStyle w:val="BodyText"/>
      </w:pPr>
      <w:r>
        <w:t xml:space="preserve">In the System GMM models, both sets of effects are needed for three reasons:</w:t>
      </w:r>
    </w:p>
    <w:p>
      <w:pPr>
        <w:pStyle w:val="Compact"/>
        <w:numPr>
          <w:ilvl w:val="0"/>
          <w:numId w:val="1009"/>
        </w:numPr>
      </w:pPr>
      <w:r>
        <w:rPr>
          <w:b/>
          <w:bCs/>
        </w:rPr>
        <w:t xml:space="preserve">Common shocks.</w:t>
      </w:r>
      <w:r>
        <w:t xml:space="preserve"> </w:t>
      </w:r>
      <w:r>
        <w:t xml:space="preserve">Year dummies absorb shocks that hit all TSE firms in the same year, such as currency devaluations, inflation surges, sanctions and interest-rate changes. Without them, these shocks would load onto the error, create cross-sectional correlation, and invalidate the Arellano–Bond AR(2) test (Roodman, 2009).</w:t>
      </w:r>
    </w:p>
    <w:p>
      <w:pPr>
        <w:pStyle w:val="Compact"/>
        <w:numPr>
          <w:ilvl w:val="0"/>
          <w:numId w:val="1009"/>
        </w:numPr>
      </w:pPr>
      <w:r>
        <w:rPr>
          <w:b/>
          <w:bCs/>
        </w:rPr>
        <w:t xml:space="preserve">Industry heterogeneity.</w:t>
      </w:r>
      <w:r>
        <w:t xml:space="preserve"> </w:t>
      </w:r>
      <w:r>
        <w:t xml:space="preserve">Industry dummies capture persistent industry differences in investment intensity and leverage. They are time-invariant, so the first-difference transformation removes them; they therefore enter only the levels equation, as their own instruments.</w:t>
      </w:r>
    </w:p>
    <w:p>
      <w:pPr>
        <w:pStyle w:val="Compact"/>
        <w:numPr>
          <w:ilvl w:val="0"/>
          <w:numId w:val="1009"/>
        </w:numPr>
      </w:pPr>
      <w:r>
        <w:rPr>
          <w:b/>
          <w:bCs/>
        </w:rPr>
        <w:t xml:space="preserve">Firm effects.</w:t>
      </w:r>
      <w:r>
        <w:t xml:space="preserve"> </w:t>
      </w:r>
      <w:r>
        <w:t xml:space="preserve">The firm effect η</w:t>
      </w:r>
      <w:r>
        <w:rPr>
          <w:vertAlign w:val="subscript"/>
        </w:rPr>
        <w:t xml:space="preserve">i</w:t>
      </w:r>
      <w:r>
        <w:t xml:space="preserve">, which includes the industry effect, is eliminated by differencing. The industry dummies in the levels equation make the industry part explicit.</w:t>
      </w:r>
    </w:p>
    <w:p>
      <w:pPr>
        <w:pStyle w:val="FirstParagraph"/>
      </w:pPr>
      <w:r>
        <w:t xml:space="preserve">Industry × year interaction dummies are not used. With 299 firms they would add more than a hundred instruments, which would violate the instrument-count rule in this section. Year dummies are also the reason INF and AGE cannot be GMM controls (Section 3.6).</w:t>
      </w:r>
    </w:p>
    <w:bookmarkEnd w:id="24"/>
    <w:bookmarkStart w:id="25" w:name="X10310ee77ca1dbab1b213ce2067f2964099608c"/>
    <w:p>
      <w:pPr>
        <w:pStyle w:val="Heading3"/>
      </w:pPr>
      <w:r>
        <w:t xml:space="preserve">Specification tests reported for every model</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3960"/>
        <w:gridCol w:w="3960"/>
      </w:tblGrid>
      <w:tr>
        <w:trPr>
          <w:tblHeader w:val="on"/>
        </w:trPr>
        <w:tc>
          <w:tcPr>
            <w:shd w:val="clear" w:color="auto" w:fill="E8ECF3"/>
          </w:tcPr>
          <w:p>
            <w:pPr>
              <w:pStyle w:val="Compact"/>
            </w:pPr>
            <w:r>
              <w:rPr>
                <w:b/>
                <w:sz w:val="19"/>
              </w:rPr>
              <w:t xml:space="preserve">Test</w:t>
            </w:r>
          </w:p>
        </w:tc>
        <w:tc>
          <w:tcPr>
            <w:shd w:val="clear" w:color="auto" w:fill="E8ECF3"/>
          </w:tcPr>
          <w:p>
            <w:pPr>
              <w:pStyle w:val="Compact"/>
            </w:pPr>
            <w:r>
              <w:rPr>
                <w:b/>
                <w:sz w:val="19"/>
              </w:rPr>
              <w:t xml:space="preserve">Requirement for a valid model</w:t>
            </w:r>
          </w:p>
        </w:tc>
      </w:tr>
      <w:tr>
        <w:tc>
          <w:tcPr/>
          <w:p>
            <w:pPr>
              <w:pStyle w:val="Compact"/>
            </w:pPr>
            <w:r>
              <w:rPr>
                <w:sz w:val="19"/>
              </w:rPr>
              <w:t xml:space="preserve">Arellano–Bond AR(1) in differences</w:t>
            </w:r>
          </w:p>
        </w:tc>
        <w:tc>
          <w:tcPr/>
          <w:p>
            <w:pPr>
              <w:pStyle w:val="Compact"/>
            </w:pPr>
            <w:r>
              <w:rPr>
                <w:sz w:val="19"/>
              </w:rPr>
              <w:t xml:space="preserve">Significant (expected by construction)</w:t>
            </w:r>
          </w:p>
        </w:tc>
      </w:tr>
      <w:tr>
        <w:tc>
          <w:tcPr/>
          <w:p>
            <w:pPr>
              <w:pStyle w:val="Compact"/>
            </w:pPr>
            <w:r>
              <w:rPr>
                <w:sz w:val="19"/>
              </w:rPr>
              <w:t xml:space="preserve">Arellano–Bond AR(2) in differences</w:t>
            </w:r>
          </w:p>
        </w:tc>
        <w:tc>
          <w:tcPr/>
          <w:p>
            <w:pPr>
              <w:pStyle w:val="Compact"/>
            </w:pPr>
            <w:r>
              <w:rPr>
                <w:sz w:val="19"/>
              </w:rPr>
              <w:t xml:space="preserve">Not significant (p &gt; 0.10)</w:t>
            </w:r>
          </w:p>
        </w:tc>
      </w:tr>
      <w:tr>
        <w:tc>
          <w:tcPr/>
          <w:p>
            <w:pPr>
              <w:pStyle w:val="Compact"/>
            </w:pPr>
            <w:r>
              <w:rPr>
                <w:sz w:val="19"/>
              </w:rPr>
              <w:t xml:space="preserve">Hansen J test of overidentifying restrictions</w:t>
            </w:r>
          </w:p>
        </w:tc>
        <w:tc>
          <w:tcPr/>
          <w:p>
            <w:pPr>
              <w:pStyle w:val="Compact"/>
            </w:pPr>
            <w:r>
              <w:rPr>
                <w:sz w:val="19"/>
              </w:rPr>
              <w:t xml:space="preserve">Not rejected (p &gt; 0.10), and not implausibly close to 1.000</w:t>
            </w:r>
          </w:p>
        </w:tc>
      </w:tr>
      <w:tr>
        <w:tc>
          <w:tcPr/>
          <w:p>
            <w:pPr>
              <w:pStyle w:val="Compact"/>
            </w:pPr>
            <w:r>
              <w:rPr>
                <w:sz w:val="19"/>
              </w:rPr>
              <w:t xml:space="preserve">Difference-in-Hansen for the levels-equation instruments</w:t>
            </w:r>
          </w:p>
        </w:tc>
        <w:tc>
          <w:tcPr/>
          <w:p>
            <w:pPr>
              <w:pStyle w:val="Compact"/>
            </w:pPr>
            <w:r>
              <w:rPr>
                <w:sz w:val="19"/>
              </w:rPr>
              <w:t xml:space="preserve">Not rejected (validates the extra System GMM moment conditions)</w:t>
            </w:r>
          </w:p>
        </w:tc>
      </w:tr>
      <w:tr>
        <w:tc>
          <w:tcPr/>
          <w:p>
            <w:pPr>
              <w:pStyle w:val="Compact"/>
            </w:pPr>
            <w:r>
              <w:rPr>
                <w:sz w:val="19"/>
              </w:rPr>
              <w:t xml:space="preserve">Number of instruments vs number of firms</w:t>
            </w:r>
          </w:p>
        </w:tc>
        <w:tc>
          <w:tcPr/>
          <w:p>
            <w:pPr>
              <w:pStyle w:val="Compact"/>
            </w:pPr>
            <w:r>
              <w:rPr>
                <w:sz w:val="19"/>
              </w:rPr>
              <w:t xml:space="preserve">Instruments &lt; 299</w:t>
            </w:r>
          </w:p>
        </w:tc>
      </w:tr>
      <w:tr>
        <w:tc>
          <w:tcPr/>
          <w:p>
            <w:pPr>
              <w:pStyle w:val="Compact"/>
            </w:pPr>
            <w:r>
              <w:rPr>
                <w:sz w:val="19"/>
              </w:rPr>
              <w:t xml:space="preserve">Bond (2002) bounds check</w:t>
            </w:r>
          </w:p>
        </w:tc>
        <w:tc>
          <w:tcPr/>
          <w:p>
            <w:pPr>
              <w:pStyle w:val="Compact"/>
            </w:pPr>
            <w:r>
              <w:rPr>
                <w:sz w:val="19"/>
              </w:rPr>
              <w:t xml:space="preserve">γ̂₁ lies between the fixed-effects and pooled OLS estimates of γ₁</w:t>
            </w:r>
          </w:p>
        </w:tc>
      </w:tr>
      <w:tr>
        <w:tc>
          <w:tcPr/>
          <w:p>
            <w:pPr>
              <w:pStyle w:val="Compact"/>
            </w:pPr>
            <w:r>
              <w:rPr>
                <w:sz w:val="19"/>
              </w:rPr>
              <w:t xml:space="preserve">Steady-state condition</w:t>
            </w:r>
          </w:p>
        </w:tc>
        <w:tc>
          <w:tcPr/>
          <w:p>
            <w:pPr>
              <w:pStyle w:val="Compact"/>
            </w:pPr>
            <w:r>
              <w:rPr>
                <w:sz w:val="19"/>
              </w:rPr>
              <w:t xml:space="preserve">|γ̂₁| &lt; 1</w:t>
            </w:r>
          </w:p>
        </w:tc>
      </w:tr>
    </w:tbl>
    <w:p>
      <w:pPr>
        <w:pStyle w:val="BodyText"/>
      </w:pPr>
      <w:r>
        <w:t xml:space="preserve">A Wald test of joint significance is reported for each model. Static fixed-effects estimates of the same models are reported alongside for transparency.</w:t>
      </w:r>
    </w:p>
    <w:bookmarkEnd w:id="25"/>
    <w:bookmarkEnd w:id="26"/>
    <w:bookmarkStart w:id="27" w:name="econometric-treatment-of-moderation"/>
    <w:p>
      <w:pPr>
        <w:pStyle w:val="Heading2"/>
      </w:pPr>
      <w:r>
        <w:t xml:space="preserve">3.5 Econometric Treatment of Moderation</w:t>
      </w:r>
    </w:p>
    <w:p>
      <w:pPr>
        <w:pStyle w:val="FirstParagraph"/>
      </w:pPr>
      <w:r>
        <w:t xml:space="preserve">The moderation tests follow Brambor, Clark and Golder (2006) and Aiken and West (1991). In practice this means seven rules:</w:t>
      </w:r>
    </w:p>
    <w:p>
      <w:pPr>
        <w:pStyle w:val="Compact"/>
        <w:numPr>
          <w:ilvl w:val="0"/>
          <w:numId w:val="1010"/>
        </w:numPr>
      </w:pPr>
      <w:r>
        <w:rPr>
          <w:b/>
          <w:bCs/>
        </w:rPr>
        <w:t xml:space="preserve">All constituent terms are included.</w:t>
      </w:r>
      <w:r>
        <w:t xml:space="preserve"> </w:t>
      </w:r>
      <w:r>
        <w:t xml:space="preserve">Every model with A × B also contains A and B, and every three-way model contains all three main effects and all three two-way products. Omitting a constituent term biases the interaction coefficient.</w:t>
      </w:r>
    </w:p>
    <w:p>
      <w:pPr>
        <w:pStyle w:val="Compact"/>
        <w:numPr>
          <w:ilvl w:val="0"/>
          <w:numId w:val="1010"/>
        </w:numPr>
      </w:pPr>
      <w:r>
        <w:rPr>
          <w:b/>
          <w:bCs/>
        </w:rPr>
        <w:t xml:space="preserve">Centering.</w:t>
      </w:r>
      <w:r>
        <w:t xml:space="preserve"> </w:t>
      </w:r>
      <w:r>
        <w:t xml:space="preserve">MA is mean-centered before the products are formed, so β₁ and β₂ are the effects for a firm with average managerial ability. CSD⁺ and CSD⁻ are not centered, because zero has a substantive meaning: the firm is at its target.</w:t>
      </w:r>
    </w:p>
    <w:p>
      <w:pPr>
        <w:pStyle w:val="Compact"/>
        <w:numPr>
          <w:ilvl w:val="0"/>
          <w:numId w:val="1010"/>
        </w:numPr>
      </w:pPr>
      <w:r>
        <w:rPr>
          <w:b/>
          <w:bCs/>
        </w:rPr>
        <w:t xml:space="preserve">Reference categories.</w:t>
      </w:r>
      <w:r>
        <w:t xml:space="preserve"> </w:t>
      </w:r>
      <w:r>
        <w:t xml:space="preserve">Stage indicators always omit one category. The reference is stated for each model: maturity in Model 2a, growth and decline in Model 2b.</w:t>
      </w:r>
    </w:p>
    <w:p>
      <w:pPr>
        <w:pStyle w:val="Compact"/>
        <w:numPr>
          <w:ilvl w:val="0"/>
          <w:numId w:val="1010"/>
        </w:numPr>
      </w:pPr>
      <w:r>
        <w:rPr>
          <w:b/>
          <w:bCs/>
        </w:rPr>
        <w:t xml:space="preserve">Interpretation through marginal effects.</w:t>
      </w:r>
      <w:r>
        <w:t xml:space="preserve"> </w:t>
      </w:r>
      <w:r>
        <w:t xml:space="preserve">An interaction coefficient alone does not show where the effect is significant. For Models 3a and 3b, the marginal effect of CSD⁺ (or CSD⁻) on InvEff is computed over the observed range of MA, as β₁ + β₄·MA, with 95% confidence intervals from the full covariance matrix. It is plotted against MA, separately for growth/decline and maturity in the three-way models. The Johnson–Neyman region (the MA values where the effect is significant) is reported.</w:t>
      </w:r>
    </w:p>
    <w:p>
      <w:pPr>
        <w:pStyle w:val="Compact"/>
        <w:numPr>
          <w:ilvl w:val="0"/>
          <w:numId w:val="1010"/>
        </w:numPr>
      </w:pPr>
      <w:r>
        <w:rPr>
          <w:b/>
          <w:bCs/>
        </w:rPr>
        <w:t xml:space="preserve">Simple slopes.</w:t>
      </w:r>
      <w:r>
        <w:t xml:space="preserve"> </w:t>
      </w:r>
      <w:r>
        <w:t xml:space="preserve">The effect of CSD⁺ and CSD⁻ is also reported at low MA (mean − 1 SD) and high MA (mean + 1 SD).</w:t>
      </w:r>
    </w:p>
    <w:p>
      <w:pPr>
        <w:pStyle w:val="Compact"/>
        <w:numPr>
          <w:ilvl w:val="0"/>
          <w:numId w:val="1010"/>
        </w:numPr>
      </w:pPr>
      <w:r>
        <w:rPr>
          <w:b/>
          <w:bCs/>
        </w:rPr>
        <w:t xml:space="preserve">Testing differences directly.</w:t>
      </w:r>
      <w:r>
        <w:t xml:space="preserve"> </w:t>
      </w:r>
      <w:r>
        <w:t xml:space="preserve">Stage differences are tested with interaction coefficients and joint Wald tests in one pooled model, not by comparing significance across subsamples.</w:t>
      </w:r>
    </w:p>
    <w:p>
      <w:pPr>
        <w:pStyle w:val="Compact"/>
        <w:numPr>
          <w:ilvl w:val="0"/>
          <w:numId w:val="1010"/>
        </w:numPr>
      </w:pPr>
      <w:r>
        <w:rPr>
          <w:b/>
          <w:bCs/>
        </w:rPr>
        <w:t xml:space="preserve">Endogeneity of products.</w:t>
      </w:r>
      <w:r>
        <w:t xml:space="preserve"> </w:t>
      </w:r>
      <w:r>
        <w:t xml:space="preserve">Because CSD and MA are endogenous, their products are endogenous too and are instrumented with lags of the product itself (Section 3.4).</w:t>
      </w:r>
    </w:p>
    <w:p>
      <w:pPr>
        <w:pStyle w:val="FirstParagraph"/>
      </w:pPr>
      <w:r>
        <w:t xml:space="preserve">Economic significance is reported alongside statistical significance: the change in InvEff from a one-standard-deviation increase in CSD⁺ or CSD⁻, expressed as a percentage of the mean absolute investment residual, at low and high MA.</w:t>
      </w:r>
    </w:p>
    <w:bookmarkEnd w:id="27"/>
    <w:bookmarkStart w:id="32" w:name="X4f6ca10db822bb26fb88e80edce58a648d10b66"/>
    <w:p>
      <w:pPr>
        <w:pStyle w:val="Heading2"/>
      </w:pPr>
      <w:r>
        <w:t xml:space="preserve">3.6 Pre-estimation Diagnostics, Multicollinearity and Classical Assumptions</w:t>
      </w:r>
    </w:p>
    <w:p>
      <w:pPr>
        <w:pStyle w:val="FirstParagraph"/>
      </w:pPr>
      <w:r>
        <w:t xml:space="preserve">The pre-estimation diagnostics are descriptive statistics, the Pearson correlation matrix, and the frequency of each life-cycle stage, cross-tabulated with over- versus under-leverage. The cross-tabulation shows whether each stage × direction cell has enough observations to identify the interaction terms.</w:t>
      </w:r>
    </w:p>
    <w:bookmarkStart w:id="28" w:name="multicollinearity"/>
    <w:p>
      <w:pPr>
        <w:pStyle w:val="Heading3"/>
      </w:pPr>
      <w:r>
        <w:t xml:space="preserve">Multicollinearity</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Source</w:t>
            </w:r>
          </w:p>
        </w:tc>
        <w:tc>
          <w:tcPr>
            <w:shd w:val="clear" w:color="auto" w:fill="E8ECF3"/>
          </w:tcPr>
          <w:p>
            <w:pPr>
              <w:pStyle w:val="Compact"/>
            </w:pPr>
            <w:r>
              <w:rPr>
                <w:b/>
                <w:sz w:val="19"/>
              </w:rPr>
              <w:t xml:space="preserve">Diagnosis</w:t>
            </w:r>
          </w:p>
        </w:tc>
        <w:tc>
          <w:tcPr>
            <w:shd w:val="clear" w:color="auto" w:fill="E8ECF3"/>
          </w:tcPr>
          <w:p>
            <w:pPr>
              <w:pStyle w:val="Compact"/>
            </w:pPr>
            <w:r>
              <w:rPr>
                <w:b/>
                <w:sz w:val="19"/>
              </w:rPr>
              <w:t xml:space="preserve">Treatment</w:t>
            </w:r>
          </w:p>
        </w:tc>
      </w:tr>
      <w:tr>
        <w:tc>
          <w:tcPr/>
          <w:p>
            <w:pPr>
              <w:pStyle w:val="Compact"/>
            </w:pPr>
            <w:r>
              <w:rPr>
                <w:sz w:val="19"/>
              </w:rPr>
              <w:t xml:space="preserve">General</w:t>
            </w:r>
          </w:p>
        </w:tc>
        <w:tc>
          <w:tcPr/>
          <w:p>
            <w:pPr>
              <w:pStyle w:val="Compact"/>
            </w:pPr>
            <w:r>
              <w:rPr>
                <w:sz w:val="19"/>
              </w:rPr>
              <w:t xml:space="preserve">VIF on the static, main-effects version of each model</w:t>
            </w:r>
          </w:p>
        </w:tc>
        <w:tc>
          <w:tcPr/>
          <w:p>
            <w:pPr>
              <w:pStyle w:val="Compact"/>
            </w:pPr>
            <w:r>
              <w:rPr>
                <w:sz w:val="19"/>
              </w:rPr>
              <w:t xml:space="preserve">Acceptable if every VIF &lt; 10 and the mean VIF &lt; 5</w:t>
            </w:r>
          </w:p>
        </w:tc>
      </w:tr>
      <w:tr>
        <w:tc>
          <w:tcPr/>
          <w:p>
            <w:pPr>
              <w:pStyle w:val="Compact"/>
            </w:pPr>
            <w:r>
              <w:rPr>
                <w:sz w:val="19"/>
              </w:rPr>
              <w:t xml:space="preserve">Interaction terms</w:t>
            </w:r>
          </w:p>
        </w:tc>
        <w:tc>
          <w:tcPr/>
          <w:p>
            <w:pPr>
              <w:pStyle w:val="Compact"/>
            </w:pPr>
            <w:r>
              <w:rPr>
                <w:sz w:val="19"/>
              </w:rPr>
              <w:t xml:space="preserve">High VIF between a product and its components is structural and does not bias estimates (Brambor et al., 2006)</w:t>
            </w:r>
          </w:p>
        </w:tc>
        <w:tc>
          <w:tcPr/>
          <w:p>
            <w:pPr>
              <w:pStyle w:val="Compact"/>
            </w:pPr>
            <w:r>
              <w:rPr>
                <w:sz w:val="19"/>
              </w:rPr>
              <w:t xml:space="preserve">MA centered; VIF of products not used as a criterion</w:t>
            </w:r>
          </w:p>
        </w:tc>
      </w:tr>
      <w:tr>
        <w:tc>
          <w:tcPr/>
          <w:p>
            <w:pPr>
              <w:pStyle w:val="Compact"/>
            </w:pPr>
            <w:r>
              <w:rPr>
                <w:sz w:val="19"/>
              </w:rPr>
              <w:t xml:space="preserve">INF in the InvEff models</w:t>
            </w:r>
          </w:p>
        </w:tc>
        <w:tc>
          <w:tcPr/>
          <w:p>
            <w:pPr>
              <w:pStyle w:val="Compact"/>
            </w:pPr>
            <w:r>
              <w:rPr>
                <w:sz w:val="19"/>
              </w:rPr>
              <w:t xml:space="preserve">Identical for all firms in a year, so perfectly collinear with year dummies</w:t>
            </w:r>
          </w:p>
        </w:tc>
        <w:tc>
          <w:tcPr/>
          <w:p>
            <w:pPr>
              <w:pStyle w:val="Compact"/>
            </w:pPr>
            <w:r>
              <w:rPr>
                <w:sz w:val="19"/>
              </w:rPr>
              <w:t xml:space="preserve">Excluded from the InvEff models; enters through target leverage</w:t>
            </w:r>
          </w:p>
        </w:tc>
      </w:tr>
      <w:tr>
        <w:tc>
          <w:tcPr/>
          <w:p>
            <w:pPr>
              <w:pStyle w:val="Compact"/>
            </w:pPr>
            <w:r>
              <w:rPr>
                <w:sz w:val="19"/>
              </w:rPr>
              <w:t xml:space="preserve">AGE under differencing</w:t>
            </w:r>
          </w:p>
        </w:tc>
        <w:tc>
          <w:tcPr/>
          <w:p>
            <w:pPr>
              <w:pStyle w:val="Compact"/>
            </w:pPr>
            <w:r>
              <w:rPr>
                <w:sz w:val="19"/>
              </w:rPr>
              <w:t xml:space="preserve">ΔAGE = 1 for every firm-year, so collinear with year dummies in the differenced equation</w:t>
            </w:r>
          </w:p>
        </w:tc>
        <w:tc>
          <w:tcPr/>
          <w:p>
            <w:pPr>
              <w:pStyle w:val="Compact"/>
            </w:pPr>
            <w:r>
              <w:rPr>
                <w:sz w:val="19"/>
              </w:rPr>
              <w:t xml:space="preserve">Used in the levels equation only</w:t>
            </w:r>
          </w:p>
        </w:tc>
      </w:tr>
      <w:tr>
        <w:tc>
          <w:tcPr/>
          <w:p>
            <w:pPr>
              <w:pStyle w:val="Compact"/>
            </w:pPr>
            <w:r>
              <w:rPr>
                <w:sz w:val="19"/>
              </w:rPr>
              <w:t xml:space="preserve">Stage indicators</w:t>
            </w:r>
          </w:p>
        </w:tc>
        <w:tc>
          <w:tcPr/>
          <w:p>
            <w:pPr>
              <w:pStyle w:val="Compact"/>
            </w:pPr>
            <w:r>
              <w:rPr>
                <w:sz w:val="19"/>
              </w:rPr>
              <w:t xml:space="preserve">Three exhaustive categories</w:t>
            </w:r>
          </w:p>
        </w:tc>
        <w:tc>
          <w:tcPr/>
          <w:p>
            <w:pPr>
              <w:pStyle w:val="Compact"/>
            </w:pPr>
            <w:r>
              <w:rPr>
                <w:sz w:val="19"/>
              </w:rPr>
              <w:t xml:space="preserve">One reference category omitted in each model</w:t>
            </w:r>
          </w:p>
        </w:tc>
      </w:tr>
      <w:tr>
        <w:tc>
          <w:tcPr/>
          <w:p>
            <w:pPr>
              <w:pStyle w:val="Compact"/>
            </w:pPr>
            <w:r>
              <w:rPr>
                <w:sz w:val="19"/>
              </w:rPr>
              <w:t xml:space="preserve">CSDev and its determinants</w:t>
            </w:r>
          </w:p>
        </w:tc>
        <w:tc>
          <w:tcPr/>
          <w:p>
            <w:pPr>
              <w:pStyle w:val="Compact"/>
            </w:pPr>
            <w:r>
              <w:rPr>
                <w:sz w:val="19"/>
              </w:rPr>
              <w:t xml:space="preserve">CSDev is an OLS residual, so it is orthogonal to LTA, MTB and PROFIT by construction</w:t>
            </w:r>
          </w:p>
        </w:tc>
        <w:tc>
          <w:tcPr/>
          <w:p>
            <w:pPr>
              <w:pStyle w:val="Compact"/>
            </w:pPr>
            <w:r>
              <w:rPr>
                <w:sz w:val="19"/>
              </w:rPr>
              <w:t xml:space="preserve">These variables can be controls without collinearity</w:t>
            </w:r>
          </w:p>
        </w:tc>
      </w:tr>
      <w:tr>
        <w:tc>
          <w:tcPr/>
          <w:p>
            <w:pPr>
              <w:pStyle w:val="Compact"/>
            </w:pPr>
            <w:r>
              <w:rPr>
                <w:sz w:val="19"/>
              </w:rPr>
              <w:t xml:space="preserve">CSD⁺ and CSD⁻</w:t>
            </w:r>
          </w:p>
        </w:tc>
        <w:tc>
          <w:tcPr/>
          <w:p>
            <w:pPr>
              <w:pStyle w:val="Compact"/>
            </w:pPr>
            <w:r>
              <w:rPr>
                <w:sz w:val="19"/>
              </w:rPr>
              <w:t xml:space="preserve">At most one is non-zero for a firm-year, but each varies independently</w:t>
            </w:r>
          </w:p>
        </w:tc>
        <w:tc>
          <w:tcPr/>
          <w:p>
            <w:pPr>
              <w:pStyle w:val="Compact"/>
            </w:pPr>
            <w:r>
              <w:rPr>
                <w:sz w:val="19"/>
              </w:rPr>
              <w:t xml:space="preserve">Both are included; not collinear</w:t>
            </w:r>
          </w:p>
        </w:tc>
      </w:tr>
    </w:tbl>
    <w:bookmarkEnd w:id="28"/>
    <w:bookmarkStart w:id="29" w:name="classical-assumptions-in-the-gmm-setting"/>
    <w:p>
      <w:pPr>
        <w:pStyle w:val="Heading3"/>
      </w:pPr>
      <w:r>
        <w:t xml:space="preserve">Classical assumptions in the GMM setting</w:t>
      </w:r>
    </w:p>
    <w:p>
      <w:pPr>
        <w:pStyle w:val="FirstParagraph"/>
      </w:pPr>
      <w:r>
        <w:t xml:space="preserve">GMM does not assume normal or homoskedastic errors, so the relevant assumptions are the moment conditions: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Assumption</w:t>
            </w:r>
          </w:p>
        </w:tc>
        <w:tc>
          <w:tcPr>
            <w:shd w:val="clear" w:color="auto" w:fill="E8ECF3"/>
          </w:tcPr>
          <w:p>
            <w:pPr>
              <w:pStyle w:val="Compact"/>
            </w:pPr>
            <w:r>
              <w:rPr>
                <w:b/>
                <w:sz w:val="19"/>
              </w:rPr>
              <w:t xml:space="preserve">Test</w:t>
            </w:r>
          </w:p>
        </w:tc>
        <w:tc>
          <w:tcPr>
            <w:shd w:val="clear" w:color="auto" w:fill="E8ECF3"/>
          </w:tcPr>
          <w:p>
            <w:pPr>
              <w:pStyle w:val="Compact"/>
            </w:pPr>
            <w:r>
              <w:rPr>
                <w:b/>
                <w:sz w:val="19"/>
              </w:rPr>
              <w:t xml:space="preserve">Remedy</w:t>
            </w:r>
          </w:p>
        </w:tc>
      </w:tr>
      <w:tr>
        <w:tc>
          <w:tcPr/>
          <w:p>
            <w:pPr>
              <w:pStyle w:val="Compact"/>
            </w:pPr>
            <w:r>
              <w:rPr>
                <w:sz w:val="19"/>
              </w:rPr>
              <w:t xml:space="preserve">No second-order serial correlation in differenced errors</w:t>
            </w:r>
          </w:p>
        </w:tc>
        <w:tc>
          <w:tcPr/>
          <w:p>
            <w:pPr>
              <w:pStyle w:val="Compact"/>
            </w:pPr>
            <w:r>
              <w:rPr>
                <w:sz w:val="19"/>
              </w:rPr>
              <w:t xml:space="preserve">Arellano–Bond AR(2)</w:t>
            </w:r>
          </w:p>
        </w:tc>
        <w:tc>
          <w:tcPr/>
          <w:p>
            <w:pPr>
              <w:pStyle w:val="Compact"/>
            </w:pPr>
            <w:r>
              <w:rPr>
                <w:sz w:val="19"/>
              </w:rPr>
              <w:t xml:space="preserve">Deeper lags as instruments</w:t>
            </w:r>
          </w:p>
        </w:tc>
      </w:tr>
      <w:tr>
        <w:tc>
          <w:tcPr/>
          <w:p>
            <w:pPr>
              <w:pStyle w:val="Compact"/>
            </w:pPr>
            <w:r>
              <w:rPr>
                <w:sz w:val="19"/>
              </w:rPr>
              <w:t xml:space="preserve">Instrument exogeneity</w:t>
            </w:r>
          </w:p>
        </w:tc>
        <w:tc>
          <w:tcPr/>
          <w:p>
            <w:pPr>
              <w:pStyle w:val="Compact"/>
            </w:pPr>
            <w:r>
              <w:rPr>
                <w:sz w:val="19"/>
              </w:rPr>
              <w:t xml:space="preserve">Hansen J; Difference-in-Hansen</w:t>
            </w:r>
          </w:p>
        </w:tc>
        <w:tc>
          <w:tcPr/>
          <w:p>
            <w:pPr>
              <w:pStyle w:val="Compact"/>
            </w:pPr>
            <w:r>
              <w:rPr>
                <w:sz w:val="19"/>
              </w:rPr>
              <w:t xml:space="preserve">Revise lag structure or treatment of regressors</w:t>
            </w:r>
          </w:p>
        </w:tc>
      </w:tr>
      <w:tr>
        <w:tc>
          <w:tcPr/>
          <w:p>
            <w:pPr>
              <w:pStyle w:val="Compact"/>
            </w:pPr>
            <w:r>
              <w:rPr>
                <w:sz w:val="19"/>
              </w:rPr>
              <w:t xml:space="preserve">Heteroskedasticity</w:t>
            </w:r>
          </w:p>
        </w:tc>
        <w:tc>
          <w:tcPr/>
          <w:p>
            <w:pPr>
              <w:pStyle w:val="Compact"/>
            </w:pPr>
            <w:r>
              <w:rPr>
                <w:sz w:val="19"/>
              </w:rPr>
              <w:t xml:space="preserve">Not required</w:t>
            </w:r>
          </w:p>
        </w:tc>
        <w:tc>
          <w:tcPr/>
          <w:p>
            <w:pPr>
              <w:pStyle w:val="Compact"/>
            </w:pPr>
            <w:r>
              <w:rPr>
                <w:sz w:val="19"/>
              </w:rPr>
              <w:t xml:space="preserve">Two-step robust estimator with Windmeijer correction</w:t>
            </w:r>
          </w:p>
        </w:tc>
      </w:tr>
      <w:tr>
        <w:tc>
          <w:tcPr/>
          <w:p>
            <w:pPr>
              <w:pStyle w:val="Compact"/>
            </w:pPr>
            <w:r>
              <w:rPr>
                <w:sz w:val="19"/>
              </w:rPr>
              <w:t xml:space="preserve">Cross-sectional dependence (market-wide shocks)</w:t>
            </w:r>
          </w:p>
        </w:tc>
        <w:tc>
          <w:tcPr/>
          <w:p>
            <w:pPr>
              <w:pStyle w:val="Compact"/>
            </w:pPr>
            <w:r>
              <w:rPr>
                <w:sz w:val="19"/>
              </w:rPr>
              <w:t xml:space="preserve">Pesaran CD test on static residuals</w:t>
            </w:r>
          </w:p>
        </w:tc>
        <w:tc>
          <w:tcPr/>
          <w:p>
            <w:pPr>
              <w:pStyle w:val="Compact"/>
            </w:pPr>
            <w:r>
              <w:rPr>
                <w:sz w:val="19"/>
              </w:rPr>
              <w:t xml:space="preserve">Year dummies absorb common shocks</w:t>
            </w:r>
          </w:p>
        </w:tc>
      </w:tr>
      <w:tr>
        <w:tc>
          <w:tcPr/>
          <w:p>
            <w:pPr>
              <w:pStyle w:val="Compact"/>
            </w:pPr>
            <w:r>
              <w:rPr>
                <w:sz w:val="19"/>
              </w:rPr>
              <w:t xml:space="preserve">Stationarity</w:t>
            </w:r>
          </w:p>
        </w:tc>
        <w:tc>
          <w:tcPr/>
          <w:p>
            <w:pPr>
              <w:pStyle w:val="Compact"/>
            </w:pPr>
            <w:r>
              <w:rPr>
                <w:sz w:val="19"/>
              </w:rPr>
              <w:t xml:space="preserve">Large N, short T (about 10 years): panel unit-root tests are not required; a Fisher-type ADF test on InvEff and CSDev is reported for completeness</w:t>
            </w:r>
          </w:p>
        </w:tc>
        <w:tc>
          <w:tcPr/>
          <w:p>
            <w:pPr>
              <w:pStyle w:val="Compact"/>
            </w:pPr>
            <w:r>
              <w:rPr>
                <w:sz w:val="19"/>
              </w:rPr>
              <w:t xml:space="preserve">—</w:t>
            </w:r>
          </w:p>
        </w:tc>
      </w:tr>
      <w:tr>
        <w:tc>
          <w:tcPr/>
          <w:p>
            <w:pPr>
              <w:pStyle w:val="Compact"/>
            </w:pPr>
            <w:r>
              <w:rPr>
                <w:sz w:val="19"/>
              </w:rPr>
              <w:t xml:space="preserve">Outliers</w:t>
            </w:r>
          </w:p>
        </w:tc>
        <w:tc>
          <w:tcPr/>
          <w:p>
            <w:pPr>
              <w:pStyle w:val="Compact"/>
            </w:pPr>
            <w:r>
              <w:rPr>
                <w:sz w:val="19"/>
              </w:rPr>
              <w:t xml:space="preserve">Distribution checks</w:t>
            </w:r>
          </w:p>
        </w:tc>
        <w:tc>
          <w:tcPr/>
          <w:p>
            <w:pPr>
              <w:pStyle w:val="Compact"/>
            </w:pPr>
            <w:r>
              <w:rPr>
                <w:sz w:val="19"/>
              </w:rPr>
              <w:t xml:space="preserve">1/99 winsorization of ratios</w:t>
            </w:r>
          </w:p>
        </w:tc>
      </w:tr>
    </w:tbl>
    <w:bookmarkEnd w:id="29"/>
    <w:bookmarkStart w:id="30" w:name="static-benchmark-tests"/>
    <w:p>
      <w:pPr>
        <w:pStyle w:val="Heading3"/>
      </w:pPr>
      <w:r>
        <w:t xml:space="preserve">Static benchmark tests</w:t>
      </w:r>
    </w:p>
    <w:p>
      <w:pPr>
        <w:pStyle w:val="FirstParagraph"/>
      </w:pPr>
      <w:r>
        <w:t xml:space="preserve">For the static fixed-effects benchmarks, the standard panel selection tests are reported: the F test (pooled vs fixed effects) and the Hausman test (fixed vs random effects). These benchmarks also provide the bounds for the Bond (2002) check on γ₁.</w:t>
      </w:r>
    </w:p>
    <w:bookmarkEnd w:id="30"/>
    <w:bookmarkStart w:id="31" w:name="generated-regressors"/>
    <w:p>
      <w:pPr>
        <w:pStyle w:val="Heading3"/>
      </w:pPr>
      <w:r>
        <w:t xml:space="preserve">Generated regressors</w:t>
      </w:r>
    </w:p>
    <w:p>
      <w:pPr>
        <w:pStyle w:val="FirstParagraph"/>
      </w:pPr>
      <w:r>
        <w:t xml:space="preserve">InvEff, CSDev and MA are estimated in first-stage regressions, so second-stage standard errors understate the true sampling uncertainty. This is acknowledged as a limitation. A firm-level bootstrap of the full procedure is reported for the main coefficients.</w:t>
      </w:r>
    </w:p>
    <w:bookmarkEnd w:id="31"/>
    <w:bookmarkEnd w:id="32"/>
    <w:bookmarkStart w:id="33" w:name="robustness-checks"/>
    <w:p>
      <w:pPr>
        <w:pStyle w:val="Heading2"/>
      </w:pPr>
      <w:r>
        <w:t xml:space="preserve">3.7 Robustness Checks</w:t>
      </w:r>
    </w:p>
    <w:p>
      <w:pPr>
        <w:pStyle w:val="FirstParagraph"/>
      </w:pPr>
      <w:r>
        <w:t xml:space="preserve">The main results are re-estimated under the following alternatives, each of which changes one element of the design:</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w:t>
            </w:r>
          </w:p>
        </w:tc>
        <w:tc>
          <w:tcPr>
            <w:shd w:val="clear" w:color="auto" w:fill="E8ECF3"/>
          </w:tcPr>
          <w:p>
            <w:pPr>
              <w:pStyle w:val="Compact"/>
            </w:pPr>
            <w:r>
              <w:rPr>
                <w:b/>
                <w:sz w:val="19"/>
              </w:rPr>
              <w:t xml:space="preserve">Element changed</w:t>
            </w:r>
          </w:p>
        </w:tc>
        <w:tc>
          <w:tcPr>
            <w:shd w:val="clear" w:color="auto" w:fill="E8ECF3"/>
          </w:tcPr>
          <w:p>
            <w:pPr>
              <w:pStyle w:val="Compact"/>
            </w:pPr>
            <w:r>
              <w:rPr>
                <w:b/>
                <w:sz w:val="19"/>
              </w:rPr>
              <w:t xml:space="preserve">Alternative</w:t>
            </w:r>
          </w:p>
        </w:tc>
      </w:tr>
      <w:tr>
        <w:tc>
          <w:tcPr/>
          <w:p>
            <w:pPr>
              <w:pStyle w:val="Compact"/>
            </w:pPr>
            <w:r>
              <w:rPr>
                <w:sz w:val="19"/>
              </w:rPr>
              <w:t xml:space="preserve">R1</w:t>
            </w:r>
          </w:p>
        </w:tc>
        <w:tc>
          <w:tcPr/>
          <w:p>
            <w:pPr>
              <w:pStyle w:val="Compact"/>
            </w:pPr>
            <w:r>
              <w:rPr>
                <w:sz w:val="19"/>
              </w:rPr>
              <w:t xml:space="preserve">Target leverage</w:t>
            </w:r>
          </w:p>
        </w:tc>
        <w:tc>
          <w:tcPr/>
          <w:p>
            <w:pPr>
              <w:pStyle w:val="Compact"/>
            </w:pPr>
            <w:r>
              <w:rPr>
                <w:sz w:val="19"/>
              </w:rPr>
              <w:t xml:space="preserve">Synn &amp; Williams model without IOB. Financial expense is roughly the interest rate times debt, so IOB may mechanically absorb part of actual leverage.</w:t>
            </w:r>
          </w:p>
        </w:tc>
      </w:tr>
      <w:tr>
        <w:tc>
          <w:tcPr/>
          <w:p>
            <w:pPr>
              <w:pStyle w:val="Compact"/>
            </w:pPr>
            <w:r>
              <w:rPr>
                <w:sz w:val="19"/>
              </w:rPr>
              <w:t xml:space="preserve">R2</w:t>
            </w:r>
          </w:p>
        </w:tc>
        <w:tc>
          <w:tcPr/>
          <w:p>
            <w:pPr>
              <w:pStyle w:val="Compact"/>
            </w:pPr>
            <w:r>
              <w:rPr>
                <w:sz w:val="19"/>
              </w:rPr>
              <w:t xml:space="preserve">Target leverage</w:t>
            </w:r>
          </w:p>
        </w:tc>
        <w:tc>
          <w:tcPr/>
          <w:p>
            <w:pPr>
              <w:pStyle w:val="Compact"/>
            </w:pPr>
            <w:r>
              <w:rPr>
                <w:sz w:val="19"/>
              </w:rPr>
              <w:t xml:space="preserve">Market leverage, TD / (TD + market value of equity)</w:t>
            </w:r>
          </w:p>
        </w:tc>
      </w:tr>
      <w:tr>
        <w:tc>
          <w:tcPr/>
          <w:p>
            <w:pPr>
              <w:pStyle w:val="Compact"/>
            </w:pPr>
            <w:r>
              <w:rPr>
                <w:sz w:val="19"/>
              </w:rPr>
              <w:t xml:space="preserve">R3</w:t>
            </w:r>
          </w:p>
        </w:tc>
        <w:tc>
          <w:tcPr/>
          <w:p>
            <w:pPr>
              <w:pStyle w:val="Compact"/>
            </w:pPr>
            <w:r>
              <w:rPr>
                <w:sz w:val="19"/>
              </w:rPr>
              <w:t xml:space="preserve">Timing of deviation</w:t>
            </w:r>
          </w:p>
        </w:tc>
        <w:tc>
          <w:tcPr/>
          <w:p>
            <w:pPr>
              <w:pStyle w:val="Compact"/>
            </w:pPr>
            <w:r>
              <w:rPr>
                <w:sz w:val="19"/>
              </w:rPr>
              <w:t xml:space="preserve">CSD⁺ and CSD⁻ at t−1 instead of t</w:t>
            </w:r>
          </w:p>
        </w:tc>
      </w:tr>
      <w:tr>
        <w:tc>
          <w:tcPr/>
          <w:p>
            <w:pPr>
              <w:pStyle w:val="Compact"/>
            </w:pPr>
            <w:r>
              <w:rPr>
                <w:sz w:val="19"/>
              </w:rPr>
              <w:t xml:space="preserve">R4</w:t>
            </w:r>
          </w:p>
        </w:tc>
        <w:tc>
          <w:tcPr/>
          <w:p>
            <w:pPr>
              <w:pStyle w:val="Compact"/>
            </w:pPr>
            <w:r>
              <w:rPr>
                <w:sz w:val="19"/>
              </w:rPr>
              <w:t xml:space="preserve">Expectation model</w:t>
            </w:r>
          </w:p>
        </w:tc>
        <w:tc>
          <w:tcPr/>
          <w:p>
            <w:pPr>
              <w:pStyle w:val="Compact"/>
            </w:pPr>
            <w:r>
              <w:rPr>
                <w:sz w:val="19"/>
              </w:rPr>
              <w:t xml:space="preserve">Chen, Hope, Li and Wang (2011), which allows a different response to sales declines</w:t>
            </w:r>
          </w:p>
        </w:tc>
      </w:tr>
      <w:tr>
        <w:tc>
          <w:tcPr/>
          <w:p>
            <w:pPr>
              <w:pStyle w:val="Compact"/>
            </w:pPr>
            <w:r>
              <w:rPr>
                <w:sz w:val="19"/>
              </w:rPr>
              <w:t xml:space="preserve">R5</w:t>
            </w:r>
          </w:p>
        </w:tc>
        <w:tc>
          <w:tcPr/>
          <w:p>
            <w:pPr>
              <w:pStyle w:val="Compact"/>
            </w:pPr>
            <w:r>
              <w:rPr>
                <w:sz w:val="19"/>
              </w:rPr>
              <w:t xml:space="preserve">Investment measure</w:t>
            </w:r>
          </w:p>
        </w:tc>
        <w:tc>
          <w:tcPr/>
          <w:p>
            <w:pPr>
              <w:pStyle w:val="Compact"/>
            </w:pPr>
            <w:r>
              <w:rPr>
                <w:sz w:val="19"/>
              </w:rPr>
              <w:t xml:space="preserve">Cash-based investment: −CFI / lagged total assets. This is immune to asset revaluations, which are common among TSE firms.</w:t>
            </w:r>
          </w:p>
        </w:tc>
      </w:tr>
      <w:tr>
        <w:tc>
          <w:tcPr/>
          <w:p>
            <w:pPr>
              <w:pStyle w:val="Compact"/>
            </w:pPr>
            <w:r>
              <w:rPr>
                <w:sz w:val="19"/>
              </w:rPr>
              <w:t xml:space="preserve">R6</w:t>
            </w:r>
          </w:p>
        </w:tc>
        <w:tc>
          <w:tcPr/>
          <w:p>
            <w:pPr>
              <w:pStyle w:val="Compact"/>
            </w:pPr>
            <w:r>
              <w:rPr>
                <w:sz w:val="19"/>
              </w:rPr>
              <w:t xml:space="preserve">Managerial ability</w:t>
            </w:r>
          </w:p>
        </w:tc>
        <w:tc>
          <w:tcPr/>
          <w:p>
            <w:pPr>
              <w:pStyle w:val="Compact"/>
            </w:pPr>
            <w:r>
              <w:rPr>
                <w:sz w:val="19"/>
              </w:rPr>
              <w:t xml:space="preserve">Industry-year percentile rank of MA; MA averaged over t−1 and t−2 to reduce measurement noise</w:t>
            </w:r>
          </w:p>
        </w:tc>
      </w:tr>
      <w:tr>
        <w:tc>
          <w:tcPr/>
          <w:p>
            <w:pPr>
              <w:pStyle w:val="Compact"/>
            </w:pPr>
            <w:r>
              <w:rPr>
                <w:sz w:val="19"/>
              </w:rPr>
              <w:t xml:space="preserve">R7</w:t>
            </w:r>
          </w:p>
        </w:tc>
        <w:tc>
          <w:tcPr/>
          <w:p>
            <w:pPr>
              <w:pStyle w:val="Compact"/>
            </w:pPr>
            <w:r>
              <w:rPr>
                <w:sz w:val="19"/>
              </w:rPr>
              <w:t xml:space="preserve">Life cycle</w:t>
            </w:r>
          </w:p>
        </w:tc>
        <w:tc>
          <w:tcPr/>
          <w:p>
            <w:pPr>
              <w:pStyle w:val="Compact"/>
            </w:pPr>
            <w:r>
              <w:rPr>
                <w:sz w:val="19"/>
              </w:rPr>
              <w:t xml:space="preserve">Dickinson’s original five stages, without consolidation</w:t>
            </w:r>
          </w:p>
        </w:tc>
      </w:tr>
      <w:tr>
        <w:tc>
          <w:tcPr/>
          <w:p>
            <w:pPr>
              <w:pStyle w:val="Compact"/>
            </w:pPr>
            <w:r>
              <w:rPr>
                <w:sz w:val="19"/>
              </w:rPr>
              <w:t xml:space="preserve">R8</w:t>
            </w:r>
          </w:p>
        </w:tc>
        <w:tc>
          <w:tcPr/>
          <w:p>
            <w:pPr>
              <w:pStyle w:val="Compact"/>
            </w:pPr>
            <w:r>
              <w:rPr>
                <w:sz w:val="19"/>
              </w:rPr>
              <w:t xml:space="preserve">Near-target firms</w:t>
            </w:r>
          </w:p>
        </w:tc>
        <w:tc>
          <w:tcPr/>
          <w:p>
            <w:pPr>
              <w:pStyle w:val="Compact"/>
            </w:pPr>
            <w:r>
              <w:rPr>
                <w:sz w:val="19"/>
              </w:rPr>
              <w:t xml:space="preserve">Excluding firm-years with |CSDev| below 0.25 standard deviations, whose over/under sign is mostly noise</w:t>
            </w:r>
          </w:p>
        </w:tc>
      </w:tr>
      <w:tr>
        <w:tc>
          <w:tcPr/>
          <w:p>
            <w:pPr>
              <w:pStyle w:val="Compact"/>
            </w:pPr>
            <w:r>
              <w:rPr>
                <w:sz w:val="19"/>
              </w:rPr>
              <w:t xml:space="preserve">R9</w:t>
            </w:r>
          </w:p>
        </w:tc>
        <w:tc>
          <w:tcPr/>
          <w:p>
            <w:pPr>
              <w:pStyle w:val="Compact"/>
            </w:pPr>
            <w:r>
              <w:rPr>
                <w:sz w:val="19"/>
              </w:rPr>
              <w:t xml:space="preserve">GMM instruments</w:t>
            </w:r>
          </w:p>
        </w:tc>
        <w:tc>
          <w:tcPr/>
          <w:p>
            <w:pPr>
              <w:pStyle w:val="Compact"/>
            </w:pPr>
            <w:r>
              <w:rPr>
                <w:sz w:val="19"/>
              </w:rPr>
              <w:t xml:space="preserve">Lag depth 2–4; uncollapsed instruments where the instrument count allows</w:t>
            </w:r>
          </w:p>
        </w:tc>
      </w:tr>
      <w:tr>
        <w:tc>
          <w:tcPr/>
          <w:p>
            <w:pPr>
              <w:pStyle w:val="Compact"/>
            </w:pPr>
            <w:r>
              <w:rPr>
                <w:sz w:val="19"/>
              </w:rPr>
              <w:t xml:space="preserve">R10</w:t>
            </w:r>
          </w:p>
        </w:tc>
        <w:tc>
          <w:tcPr/>
          <w:p>
            <w:pPr>
              <w:pStyle w:val="Compact"/>
            </w:pPr>
            <w:r>
              <w:rPr>
                <w:sz w:val="19"/>
              </w:rPr>
              <w:t xml:space="preserve">Estimator</w:t>
            </w:r>
          </w:p>
        </w:tc>
        <w:tc>
          <w:tcPr/>
          <w:p>
            <w:pPr>
              <w:pStyle w:val="Compact"/>
            </w:pPr>
            <w:r>
              <w:rPr>
                <w:sz w:val="19"/>
              </w:rPr>
              <w:t xml:space="preserve">Static fixed effects with firm-clustered standard errors</w:t>
            </w:r>
          </w:p>
        </w:tc>
      </w:tr>
      <w:tr>
        <w:tc>
          <w:tcPr/>
          <w:p>
            <w:pPr>
              <w:pStyle w:val="Compact"/>
            </w:pPr>
            <w:r>
              <w:rPr>
                <w:sz w:val="19"/>
              </w:rPr>
              <w:t xml:space="preserve">R11</w:t>
            </w:r>
          </w:p>
        </w:tc>
        <w:tc>
          <w:tcPr/>
          <w:p>
            <w:pPr>
              <w:pStyle w:val="Compact"/>
            </w:pPr>
            <w:r>
              <w:rPr>
                <w:sz w:val="19"/>
              </w:rPr>
              <w:t xml:space="preserve">Alternative dependent variable</w:t>
            </w:r>
          </w:p>
        </w:tc>
        <w:tc>
          <w:tcPr/>
          <w:p>
            <w:pPr>
              <w:pStyle w:val="Compact"/>
            </w:pPr>
            <w:r>
              <w:rPr>
                <w:sz w:val="19"/>
              </w:rPr>
              <w:t xml:space="preserve">Multinomial logit on Biddle et al. (2009) quartile classes: under-investment, benchmark, over-investment</w:t>
            </w:r>
          </w:p>
        </w:tc>
      </w:tr>
    </w:tbl>
    <w:bookmarkEnd w:id="33"/>
    <w:bookmarkEnd w:id="34"/>
    <w:bookmarkStart w:id="37" w:name="Xc368652321f98a6fc9bc6569be8011430f1ec9c"/>
    <w:p>
      <w:pPr>
        <w:pStyle w:val="Heading1"/>
      </w:pPr>
      <w:r>
        <w:t xml:space="preserve">Notes for the author (remove before submission)</w:t>
      </w:r>
    </w:p>
    <w:bookmarkStart w:id="35" w:name="changes-from-the-original-draft"/>
    <w:p>
      <w:pPr>
        <w:pStyle w:val="Heading2"/>
      </w:pPr>
      <w:r>
        <w:t xml:space="preserve">Changes from the original draft</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Original draft</w:t>
            </w:r>
          </w:p>
        </w:tc>
        <w:tc>
          <w:tcPr>
            <w:shd w:val="clear" w:color="auto" w:fill="E8ECF3"/>
          </w:tcPr>
          <w:p>
            <w:pPr>
              <w:pStyle w:val="Compact"/>
            </w:pPr>
            <w:r>
              <w:rPr>
                <w:b/>
                <w:sz w:val="19"/>
              </w:rPr>
              <w:t xml:space="preserve">Revised</w:t>
            </w:r>
          </w:p>
        </w:tc>
        <w:tc>
          <w:tcPr>
            <w:shd w:val="clear" w:color="auto" w:fill="E8ECF3"/>
          </w:tcPr>
          <w:p>
            <w:pPr>
              <w:pStyle w:val="Compact"/>
            </w:pPr>
            <w:r>
              <w:rPr>
                <w:b/>
                <w:sz w:val="19"/>
              </w:rPr>
              <w:t xml:space="preserve">Reason</w:t>
            </w:r>
          </w:p>
        </w:tc>
      </w:tr>
      <w:tr>
        <w:tc>
          <w:tcPr/>
          <w:p>
            <w:pPr>
              <w:pStyle w:val="Compact"/>
            </w:pPr>
            <w:r>
              <w:rPr>
                <w:sz w:val="19"/>
              </w:rPr>
              <w:t xml:space="preserve">One model containing CSDev × MA</w:t>
            </w:r>
          </w:p>
        </w:tc>
        <w:tc>
          <w:tcPr/>
          <w:p>
            <w:pPr>
              <w:pStyle w:val="Compact"/>
            </w:pPr>
            <w:r>
              <w:rPr>
                <w:sz w:val="19"/>
              </w:rPr>
              <w:t xml:space="preserve">Six models (1, 2a, 2b, 3a, 3b + three-way versions) mapped to H1a–H3b</w:t>
            </w:r>
          </w:p>
        </w:tc>
        <w:tc>
          <w:tcPr/>
          <w:p>
            <w:pPr>
              <w:pStyle w:val="Compact"/>
            </w:pPr>
            <w:r>
              <w:rPr>
                <w:sz w:val="19"/>
              </w:rPr>
              <w:t xml:space="preserve">H1 and H2 had no model, and H3 could not separate H3a from H3b</w:t>
            </w:r>
          </w:p>
        </w:tc>
      </w:tr>
      <w:tr>
        <w:tc>
          <w:tcPr/>
          <w:p>
            <w:pPr>
              <w:pStyle w:val="Compact"/>
            </w:pPr>
            <w:r>
              <w:rPr>
                <w:sz w:val="19"/>
              </w:rPr>
              <w:t xml:space="preserve">Single CSDev term</w:t>
            </w:r>
          </w:p>
        </w:tc>
        <w:tc>
          <w:tcPr/>
          <w:p>
            <w:pPr>
              <w:pStyle w:val="Compact"/>
            </w:pPr>
            <w:r>
              <w:rPr>
                <w:sz w:val="19"/>
              </w:rPr>
              <w:t xml:space="preserve">CSD⁺ and CSD⁻</w:t>
            </w:r>
          </w:p>
        </w:tc>
        <w:tc>
          <w:tcPr/>
          <w:p>
            <w:pPr>
              <w:pStyle w:val="Compact"/>
            </w:pPr>
            <w:r>
              <w:rPr>
                <w:sz w:val="19"/>
              </w:rPr>
              <w:t xml:space="preserve">A single slope assumes the two effects are equal and opposite, which contradicts the asymmetry argument</w:t>
            </w:r>
          </w:p>
        </w:tc>
      </w:tr>
      <w:tr>
        <w:tc>
          <w:tcPr/>
          <w:p>
            <w:pPr>
              <w:pStyle w:val="Compact"/>
            </w:pPr>
            <w:r>
              <w:rPr>
                <w:sz w:val="19"/>
              </w:rPr>
              <w:t xml:space="preserve">DV = Invest (raw) in the GMM equation</w:t>
            </w:r>
          </w:p>
        </w:tc>
        <w:tc>
          <w:tcPr/>
          <w:p>
            <w:pPr>
              <w:pStyle w:val="Compact"/>
            </w:pPr>
            <w:r>
              <w:rPr>
                <w:sz w:val="19"/>
              </w:rPr>
              <w:t xml:space="preserve">DV = InvEff (signed Biddle residual), as defined in 3.2.1</w:t>
            </w:r>
          </w:p>
        </w:tc>
        <w:tc>
          <w:tcPr/>
          <w:p>
            <w:pPr>
              <w:pStyle w:val="Compact"/>
            </w:pPr>
            <w:r>
              <w:rPr>
                <w:sz w:val="19"/>
              </w:rPr>
              <w:t xml:space="preserve">The draft defined InvEff but estimated a model of raw Invest</w:t>
            </w:r>
          </w:p>
        </w:tc>
      </w:tr>
      <w:tr>
        <w:tc>
          <w:tcPr/>
          <w:p>
            <w:pPr>
              <w:pStyle w:val="Compact"/>
            </w:pPr>
            <w:r>
              <w:rPr>
                <w:sz w:val="19"/>
              </w:rPr>
              <w:t xml:space="preserve">“Partial adjustment model”</w:t>
            </w:r>
          </w:p>
        </w:tc>
        <w:tc>
          <w:tcPr/>
          <w:p>
            <w:pPr>
              <w:pStyle w:val="Compact"/>
            </w:pPr>
            <w:r>
              <w:rPr>
                <w:sz w:val="19"/>
              </w:rPr>
              <w:t xml:space="preserve">“Target leverage model”</w:t>
            </w:r>
          </w:p>
        </w:tc>
        <w:tc>
          <w:tcPr/>
          <w:p>
            <w:pPr>
              <w:pStyle w:val="Compact"/>
            </w:pPr>
            <w:r>
              <w:rPr>
                <w:sz w:val="19"/>
              </w:rPr>
              <w:t xml:space="preserve">The equation has no lagged leverage or adjustment speed</w:t>
            </w:r>
          </w:p>
        </w:tc>
      </w:tr>
      <w:tr>
        <w:tc>
          <w:tcPr/>
          <w:p>
            <w:pPr>
              <w:pStyle w:val="Compact"/>
            </w:pPr>
            <w:r>
              <w:rPr>
                <w:sz w:val="19"/>
              </w:rPr>
              <w:t xml:space="preserve">Error term μ(i, t−1)</w:t>
            </w:r>
          </w:p>
        </w:tc>
        <w:tc>
          <w:tcPr/>
          <w:p>
            <w:pPr>
              <w:pStyle w:val="Compact"/>
            </w:pPr>
            <w:r>
              <w:rPr>
                <w:sz w:val="19"/>
              </w:rPr>
              <w:t xml:space="preserve">μ(i, t)</w:t>
            </w:r>
          </w:p>
        </w:tc>
        <w:tc>
          <w:tcPr/>
          <w:p>
            <w:pPr>
              <w:pStyle w:val="Compact"/>
            </w:pPr>
            <w:r>
              <w:rPr>
                <w:sz w:val="19"/>
              </w:rPr>
              <w:t xml:space="preserve">Typo</w:t>
            </w:r>
          </w:p>
        </w:tc>
      </w:tr>
      <w:tr>
        <w:tc>
          <w:tcPr/>
          <w:p>
            <w:pPr>
              <w:pStyle w:val="Compact"/>
            </w:pPr>
            <w:r>
              <w:rPr>
                <w:sz w:val="19"/>
              </w:rPr>
              <w:t xml:space="preserve">INF and AGE as GMM controls</w:t>
            </w:r>
          </w:p>
        </w:tc>
        <w:tc>
          <w:tcPr/>
          <w:p>
            <w:pPr>
              <w:pStyle w:val="Compact"/>
            </w:pPr>
            <w:r>
              <w:rPr>
                <w:sz w:val="19"/>
              </w:rPr>
              <w:t xml:space="preserve">INF only in target leverage; AGE in the levels equation only</w:t>
            </w:r>
          </w:p>
        </w:tc>
        <w:tc>
          <w:tcPr/>
          <w:p>
            <w:pPr>
              <w:pStyle w:val="Compact"/>
            </w:pPr>
            <w:r>
              <w:rPr>
                <w:sz w:val="19"/>
              </w:rPr>
              <w:t xml:space="preserve">Perfect collinearity with year dummies</w:t>
            </w:r>
          </w:p>
        </w:tc>
      </w:tr>
      <w:tr>
        <w:tc>
          <w:tcPr/>
          <w:p>
            <w:pPr>
              <w:pStyle w:val="Compact"/>
            </w:pPr>
            <w:r>
              <w:rPr>
                <w:sz w:val="19"/>
              </w:rPr>
              <w:t xml:space="preserve">η</w:t>
            </w:r>
            <w:r>
              <w:rPr>
                <w:sz w:val="19"/>
                <w:vertAlign w:val="subscript"/>
              </w:rPr>
              <w:t xml:space="preserve">i</w:t>
            </w:r>
            <w:r>
              <w:rPr>
                <w:sz w:val="19"/>
              </w:rPr>
              <w:t xml:space="preserve"> </w:t>
            </w:r>
            <w:r>
              <w:rPr>
                <w:sz w:val="19"/>
              </w:rPr>
              <w:t xml:space="preserve">called industry fixed effect</w:t>
            </w:r>
          </w:p>
        </w:tc>
        <w:tc>
          <w:tcPr/>
          <w:p>
            <w:pPr>
              <w:pStyle w:val="Compact"/>
            </w:pPr>
            <w:r>
              <w:rPr>
                <w:sz w:val="19"/>
              </w:rPr>
              <w:t xml:space="preserve">Firm effect (removed by GMM); industry dummies λ</w:t>
            </w:r>
            <w:r>
              <w:rPr>
                <w:sz w:val="19"/>
                <w:vertAlign w:val="subscript"/>
              </w:rPr>
              <w:t xml:space="preserve">j</w:t>
            </w:r>
            <w:r>
              <w:rPr>
                <w:sz w:val="19"/>
              </w:rPr>
              <w:t xml:space="preserve"> </w:t>
            </w:r>
            <w:r>
              <w:rPr>
                <w:sz w:val="19"/>
              </w:rPr>
              <w:t xml:space="preserve">shown separately</w:t>
            </w:r>
          </w:p>
        </w:tc>
        <w:tc>
          <w:tcPr/>
          <w:p>
            <w:pPr>
              <w:pStyle w:val="Compact"/>
            </w:pPr>
            <w:r>
              <w:rPr>
                <w:sz w:val="19"/>
              </w:rPr>
              <w:t xml:space="preserve">Notation</w:t>
            </w:r>
          </w:p>
        </w:tc>
      </w:tr>
      <w:tr>
        <w:tc>
          <w:tcPr/>
          <w:p>
            <w:pPr>
              <w:pStyle w:val="Compact"/>
            </w:pPr>
            <w:r>
              <w:rPr>
                <w:sz w:val="19"/>
              </w:rPr>
              <w:t xml:space="preserve">γ₃ and γ₄ both called</w:t>
            </w:r>
            <w:r>
              <w:rPr>
                <w:sz w:val="19"/>
              </w:rPr>
              <w:t xml:space="preserve"> </w:t>
            </w:r>
            <w:r>
              <w:rPr>
                <w:sz w:val="19"/>
              </w:rPr>
              <w:t xml:space="preserve">“primary metric”</w:t>
            </w:r>
          </w:p>
        </w:tc>
        <w:tc>
          <w:tcPr/>
          <w:p>
            <w:pPr>
              <w:pStyle w:val="Compact"/>
            </w:pPr>
            <w:r>
              <w:rPr>
                <w:sz w:val="19"/>
              </w:rPr>
              <w:t xml:space="preserve">Each coefficient has one stated role</w:t>
            </w:r>
          </w:p>
        </w:tc>
        <w:tc>
          <w:tcPr/>
          <w:p>
            <w:pPr>
              <w:pStyle w:val="Compact"/>
            </w:pPr>
            <w:r>
              <w:rPr>
                <w:sz w:val="19"/>
              </w:rPr>
              <w:t xml:space="preserve">Duplicate paragraph in the draft</w:t>
            </w:r>
          </w:p>
        </w:tc>
      </w:tr>
      <w:tr>
        <w:tc>
          <w:tcPr/>
          <w:p>
            <w:pPr>
              <w:pStyle w:val="Compact"/>
            </w:pPr>
            <w:r>
              <w:rPr>
                <w:sz w:val="19"/>
              </w:rPr>
              <w:t xml:space="preserve">Life cycle at t</w:t>
            </w:r>
          </w:p>
        </w:tc>
        <w:tc>
          <w:tcPr/>
          <w:p>
            <w:pPr>
              <w:pStyle w:val="Compact"/>
            </w:pPr>
            <w:r>
              <w:rPr>
                <w:sz w:val="19"/>
              </w:rPr>
              <w:t xml:space="preserve">Life cycle at t−1</w:t>
            </w:r>
          </w:p>
        </w:tc>
        <w:tc>
          <w:tcPr/>
          <w:p>
            <w:pPr>
              <w:pStyle w:val="Compact"/>
            </w:pPr>
            <w:r>
              <w:rPr>
                <w:sz w:val="19"/>
              </w:rPr>
              <w:t xml:space="preserve">CFI enters both the stage definition and investment</w:t>
            </w:r>
          </w:p>
        </w:tc>
      </w:tr>
      <w:tr>
        <w:tc>
          <w:tcPr/>
          <w:p>
            <w:pPr>
              <w:pStyle w:val="Compact"/>
            </w:pPr>
            <w:r>
              <w:rPr>
                <w:sz w:val="19"/>
              </w:rPr>
              <w:t xml:space="preserve">Intangible assets in the Tobit</w:t>
            </w:r>
          </w:p>
        </w:tc>
        <w:tc>
          <w:tcPr/>
          <w:p>
            <w:pPr>
              <w:pStyle w:val="Compact"/>
            </w:pPr>
            <w:r>
              <w:rPr>
                <w:sz w:val="19"/>
              </w:rPr>
              <w:t xml:space="preserve">Removed; FCF as a positive-FCF indicator</w:t>
            </w:r>
          </w:p>
        </w:tc>
        <w:tc>
          <w:tcPr/>
          <w:p>
            <w:pPr>
              <w:pStyle w:val="Compact"/>
            </w:pPr>
            <w:r>
              <w:rPr>
                <w:sz w:val="19"/>
              </w:rPr>
              <w:t xml:space="preserve">Follows Demerjian et al. (2012); intangibles are already a DEA input</w:t>
            </w:r>
          </w:p>
        </w:tc>
      </w:tr>
      <w:tr>
        <w:tc>
          <w:tcPr/>
          <w:p>
            <w:pPr>
              <w:pStyle w:val="Compact"/>
            </w:pPr>
            <w:r>
              <w:rPr>
                <w:sz w:val="19"/>
              </w:rPr>
              <w:t xml:space="preserve">Subsample GMM as the test of stage effects</w:t>
            </w:r>
          </w:p>
        </w:tc>
        <w:tc>
          <w:tcPr/>
          <w:p>
            <w:pPr>
              <w:pStyle w:val="Compact"/>
            </w:pPr>
            <w:r>
              <w:rPr>
                <w:sz w:val="19"/>
              </w:rPr>
              <w:t xml:space="preserve">Pooled interaction models; subsamples descriptive only</w:t>
            </w:r>
          </w:p>
        </w:tc>
        <w:tc>
          <w:tcPr/>
          <w:p>
            <w:pPr>
              <w:pStyle w:val="Compact"/>
            </w:pPr>
            <w:r>
              <w:rPr>
                <w:sz w:val="19"/>
              </w:rPr>
              <w:t xml:space="preserve">Coefficients from separate models cannot be tested against each other, and subsamples break the panel</w:t>
            </w:r>
          </w:p>
        </w:tc>
      </w:tr>
    </w:tbl>
    <w:bookmarkEnd w:id="35"/>
    <w:bookmarkStart w:id="36" w:name="open-points-to-confirm"/>
    <w:p>
      <w:pPr>
        <w:pStyle w:val="Heading2"/>
      </w:pPr>
      <w:r>
        <w:t xml:space="preserve">Open points to confirm</w:t>
      </w:r>
    </w:p>
    <w:p>
      <w:pPr>
        <w:pStyle w:val="Compact"/>
        <w:numPr>
          <w:ilvl w:val="0"/>
          <w:numId w:val="1011"/>
        </w:numPr>
      </w:pPr>
      <w:r>
        <w:t xml:space="preserve">Sample period: 1393–1403 with base year 1392. Because of lags, InvEff starts in 1394 and GMM in 1395. Sales and total assets for 1391 would let InvEff cover the full 1393–1403 period; otherwise state the effective estimation window in the text.</w:t>
      </w:r>
    </w:p>
    <w:p>
      <w:pPr>
        <w:pStyle w:val="Compact"/>
        <w:numPr>
          <w:ilvl w:val="0"/>
          <w:numId w:val="1011"/>
        </w:numPr>
      </w:pPr>
      <w:r>
        <w:t xml:space="preserve">The dataset has no separate capital-expenditure item, so R5 uses −CFI. Add payments for fixed assets from the cash flow statement if it can be collected.</w:t>
      </w:r>
    </w:p>
    <w:p>
      <w:pPr>
        <w:pStyle w:val="Compact"/>
        <w:numPr>
          <w:ilvl w:val="0"/>
          <w:numId w:val="1011"/>
        </w:numPr>
      </w:pPr>
      <w:r>
        <w:t xml:space="preserve">How many industries are there, and how many firms per industry-year? This decides whether the Biddle model and DEA are estimated per industry-year or pooled by industry.</w:t>
      </w:r>
    </w:p>
    <w:p>
      <w:pPr>
        <w:pStyle w:val="Compact"/>
        <w:numPr>
          <w:ilvl w:val="0"/>
          <w:numId w:val="1011"/>
        </w:numPr>
      </w:pPr>
      <w:r>
        <w:t xml:space="preserve">Frequency of Dickinson’s five original stages, to justify the consolidation.</w:t>
      </w:r>
    </w:p>
    <w:p>
      <w:pPr>
        <w:pStyle w:val="Compact"/>
        <w:numPr>
          <w:ilvl w:val="0"/>
          <w:numId w:val="1011"/>
        </w:numPr>
      </w:pPr>
      <w:r>
        <w:t xml:space="preserve">Is MA measured at t (as written) or at t−1? Both are defensible because MA is treated as endogenous; t−1 is the safer choice.</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1F2A44"/>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1F2A44"/>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1F2A44"/>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1F2A44"/>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1F2A44"/>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Methodology</dc:title>
  <dc:creator/>
  <cp:keywords/>
  <dcterms:created xsi:type="dcterms:W3CDTF">2026-10-01T06:11:38Z</dcterms:created>
  <dcterms:modified xsi:type="dcterms:W3CDTF">2026-10-01T06:11:38Z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Asymmetric Impact of Managerial Ability on Investment Efficiency under Capital Structure Deviation: Evidence from Emerging Markets</vt:lpwstr>
  </property>
</Properties>
</file>