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160" w:line="276" w:lineRule="auto"/>
        <w:jc w:val="center"/>
      </w:pPr>
      <w:r>
        <w:rPr>
          <w:rFonts w:ascii="Times New Roman" w:hAnsi="Times New Roman" w:cs="Times New Roman" w:eastAsia="Times New Roman"/>
          <w:b/>
          <w:bCs/>
          <w:sz w:val="32"/>
          <w:szCs w:val="32"/>
          <w:lang w:val="en-US" w:bidi="fa-IR"/>
        </w:rPr>
        <w:t xml:space="preserve">From Symbolic Compliance to Substantive Implementation: Institutional Pressures, Information-System Maturity and the Accountability Effects of Public-Sector Financial Reforms</w:t>
      </w:r>
    </w:p>
    <w:p>
      <w:pPr>
        <w:spacing w:before="0" w:after="100" w:line="276" w:lineRule="auto"/>
        <w:jc w:val="center"/>
      </w:pPr>
      <w:r>
        <w:rPr>
          <w:rFonts w:ascii="Times New Roman" w:hAnsi="Times New Roman" w:cs="Times New Roman" w:eastAsia="Times New Roman"/>
          <w:b/>
          <w:bCs/>
          <w:sz w:val="26"/>
          <w:szCs w:val="26"/>
          <w:lang w:val="en-US" w:bidi="fa-IR"/>
        </w:rPr>
        <w:t xml:space="preserve">Extended Abstract</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Background and problem</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Performance-based budgeting and accrual accounting have been promoted in many countries through legislation and standards, yet evidence points to a gap between formal adoption and real use. Iranian studies likewise report partial implementation and legal, structural and technological obstacles. Institutional theory suggests that organisations adopt structures to gain legitimacy even when those structures are decoupled from day-to-day technical activity. The problem addressed here is how institutional pressures push executive agencies towards substantive implementation or symbolic compliance, and what each response means for financial accountability.</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Objectives and research questions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study tests a model in which three institutional pressures (coercive, normative, mimetic) shape two organisational responses (substantive implementation, symbolic compliance); these affect the perceived usefulness of reported information and, through it, financial accountability, while financial information-system maturity conditions two paths. Questions: What does each pressure do to each response? How does usefulness of information link the responses to accountability? What role does system maturity play?</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Theoretical framework</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framework integrates institutional isomorphism, decoupling and ceremonial adoption, the literature on performance-information use, the accountability framework of information, justification and consequences, and the information-systems success model. The core argument is that institutional pressure is not a single cause with a single effect: coercion makes behaviour visible and may encourage both real implementation and display; professional norms internalise implementation; imitation breeds templates. Information usefulness is the bridge from implementation to accountability, and a mature system with auditable trails raises the cost of ceremonial behaviour. Thirteen hypotheses were derived.</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Method</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study is applied and survey-based. A 34-item questionnaire (eight constructs, five-point Likert) was administered to 336 financial managers, comptrollers, budget experts and accountants of executive agencies. Analysis used covariance-based structural equation modelling with fully latent variables (no item sums or means), latent interactions built from matched-pair product indicators, a 2,000-draw bootstrap for indirect and conditional indirect effects, and comparison of five competing models. Robustness was assessed with DWLS estimation, residual-centred indicators, a respecified model, outlier trimming and an experienced-respondent subsample.</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Findings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measurement model fitted well (CFI = 0.990; RMSEA = 0.017; composite reliability 0.81–0.87; maximum HTMT = 0.52). Coercive pressure raised both substantive implementation (β = 0.32) and symbolic compliance (β = 0.38); normative pressure strengthened the former (β = 0.37) and weakened the latter (β = -0.22); mimetic pressure raised symbolic compliance (β = 0.33) without a significant effect on substantive implementation. Substantive implementation increased usefulness (β = 0.35) and accountability (β = 0.28); symbolic compliance reduced both (β = -0.22; -0.17); usefulness improved accountability (β = 0.36). System maturity strengthened the usefulness effect of substantive implementation (β = 0.16) and weakened the link between coercive pressure and symbolic compliance (β = -0.25). The total indirect effect of normative pressure was positive (estimate = 0.21, 95% CI [0.13, 0.30]), whereas that of coercive pressure was small (0.03) because its constructive and ceremonial routes largely offset each other. Adding direct paths from pressures to accountability did not improve fit, supporting full mediation. Results were stable across all robustness checks.</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Conclusions and implications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effect of financial reforms depends less on the intensity of legal mandates than on the type of organisational response and the information infrastructure that makes it visible and usable. Strengthening professional norms, monitoring the use rather than the submission of reports, investing in integrated, real-time and auditable systems, and avoiding template imitation without localisation are the main recommendations. The study extends institutional analysis from adoption versus non-adoption to the quality of adoption.</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Limitations and future research</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cross-sectional, self-reported design, the newness of some scales and possible differences across agency types limit inference. Objective data (budget variance, performance-audit results), longitudinal and multi-source designs and cross-group measurement invariance are recommended.</w:t>
      </w:r>
    </w:p>
    <w:p>
      <w:pPr>
        <w:spacing w:before="80" w:after="80" w:line="276" w:lineRule="auto"/>
        <w:jc w:val="both"/>
      </w:pPr>
      <w:r>
        <w:rPr>
          <w:rFonts w:ascii="Times New Roman" w:hAnsi="Times New Roman" w:cs="Times New Roman" w:eastAsia="Times New Roman"/>
          <w:b/>
          <w:bCs/>
          <w:sz w:val="24"/>
          <w:szCs w:val="24"/>
          <w:lang w:val="en-US" w:bidi="fa-IR"/>
        </w:rPr>
        <w:t xml:space="preserve">Keywords:</w:t>
      </w:r>
      <w:r>
        <w:rPr>
          <w:rFonts w:ascii="Times New Roman" w:hAnsi="Times New Roman" w:cs="Times New Roman" w:eastAsia="Times New Roman"/>
          <w:sz w:val="24"/>
          <w:szCs w:val="24"/>
          <w:lang w:val="en-US" w:bidi="fa-IR"/>
        </w:rPr>
        <w:t xml:space="preserve"> Financial accountability; information system maturity; institutional pressures; substantive implementation; symbolic compliance</w:t>
      </w:r>
    </w:p>
    <w:sectPr>
      <w:footerReference w:type="default" r:id="rIdFooter"/>
      <w:pgSz w:w="11906" w:h="16838"/>
      <w:pgMar w:top="1417" w:right="1417" w:bottom="1417" w:left="1417" w:header="708" w:footer="708"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Times New Roman"/>
        <w:sz w:val="24"/>
        <w:szCs w:val="24"/>
        <w:lang w:val="en-US" w:bidi="fa-IR"/>
      </w:rPr>
    </w:rPrDefault>
    <w:pPrDefault>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Extended Abstract</dc:title>
  <dc:language>en-US</dc:language>
</cp:coreProperties>
</file>