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idi/>
        <w:spacing w:before="0" w:after="200" w:line="240" w:lineRule="auto"/>
        <w:jc w:val="center"/>
      </w:pPr>
      <w:r>
        <w:rPr>
          <w:rFonts w:ascii="Times New Roman" w:hAnsi="Times New Roman" w:cs="B Titr" w:eastAsia="Times New Roman"/>
          <w:b/>
          <w:bCs/>
          <w:sz w:val="24"/>
          <w:szCs w:val="24"/>
          <w:lang w:val="en-US" w:bidi="fa-IR"/>
        </w:rPr>
        <w:t xml:space="preserve">از انطباق نمادین تا اجرای ماهوی: نقش فشارهای نهادی و بلوغ نظام اطلاعاتی در اثرگذاری اصلاحات مالی بر پاسخگویی دستگاه‌های اجرایی</w:t>
      </w:r>
    </w:p>
    <w:p>
      <w:pPr>
        <w:bidi/>
        <w:spacing w:before="0" w:after="100" w:line="240" w:lineRule="auto"/>
        <w:jc w:val="center"/>
      </w:pPr>
      <w:r>
        <w:rPr>
          <w:rFonts w:ascii="Times New Roman" w:hAnsi="Times New Roman" w:cs="B Mitra" w:eastAsia="Times New Roman"/>
          <w:b/>
          <w:bCs/>
          <w:sz w:val="26"/>
          <w:szCs w:val="26"/>
          <w:lang w:val="en-US" w:bidi="fa-IR"/>
        </w:rPr>
        <w:t xml:space="preserve">چکیدهٔ گسترده</w:t>
      </w:r>
    </w:p>
    <w:p>
      <w:pPr>
        <w:keepNext/>
        <w:bidi/>
        <w:spacing w:before="100" w:after="30" w:line="240" w:lineRule="auto"/>
        <w:jc w:val="left"/>
      </w:pPr>
      <w:r>
        <w:rPr>
          <w:rFonts w:ascii="Times New Roman" w:hAnsi="Times New Roman" w:cs="B Mitra" w:eastAsia="Times New Roman"/>
          <w:b/>
          <w:bCs/>
          <w:sz w:val="26"/>
          <w:szCs w:val="26"/>
          <w:lang w:val="en-US" w:bidi="fa-IR"/>
        </w:rPr>
        <w:t xml:space="preserve">زمینه و مسئله</w:t>
      </w:r>
    </w:p>
    <w:p>
      <w:pPr>
        <w:bidi/>
        <w:spacing w:before="0" w:after="40" w:line="240" w:lineRule="auto"/>
        <w:ind w:firstLine="360"/>
        <w:jc w:val="both"/>
      </w:pPr>
      <w:r>
        <w:rPr>
          <w:rFonts w:ascii="Times New Roman" w:hAnsi="Times New Roman" w:cs="B Mitra" w:eastAsia="Times New Roman"/>
          <w:sz w:val="24"/>
          <w:szCs w:val="24"/>
          <w:lang w:val="en-US" w:bidi="fa-IR"/>
        </w:rPr>
        <w:t xml:space="preserve">اصلاحات بودجه‌ریزی عملیاتی و مبنای تعهدی در بخش عمومی در بسیاری از کشورها از راه قانون و استانداردها ترویج شده است، اما شواهد از فاصلهٔ میان پذیرش رسمی و به‌کارگیری واقعی اصلاحات حکایت دارند. در ایران نیز پژوهش‌ها اجرای ناقص این اصلاحات و چالش‌های حقوقی، ساختاری و فناورانه را گزارش کرده‌اند. نظریهٔ نهادی نشان می‌دهد سازمان‌ها برای کسب مشروعیت ساختارهایی را می‌پذیرند که لزوماً با فعالیت فنی روزمره پیوند ندارند. مسئلهٔ این پژوهش آن است که فشارهای نهادی چگونه دستگاه‌های اجرایی را به اجرای ماهوی یا انطباق نمادین می‌کشانند و این دو مسیر چه پیامدی برای پاسخگویی مالی دارند.</w:t>
      </w:r>
    </w:p>
    <w:p>
      <w:pPr>
        <w:keepNext/>
        <w:bidi/>
        <w:spacing w:before="100" w:after="30" w:line="240" w:lineRule="auto"/>
        <w:jc w:val="left"/>
      </w:pPr>
      <w:r>
        <w:rPr>
          <w:rFonts w:ascii="Times New Roman" w:hAnsi="Times New Roman" w:cs="B Mitra" w:eastAsia="Times New Roman"/>
          <w:b/>
          <w:bCs/>
          <w:sz w:val="26"/>
          <w:szCs w:val="26"/>
          <w:lang w:val="en-US" w:bidi="fa-IR"/>
        </w:rPr>
        <w:t xml:space="preserve">هدف و پرسش‌ها</w:t>
      </w:r>
    </w:p>
    <w:p>
      <w:pPr>
        <w:bidi/>
        <w:spacing w:before="0" w:after="40" w:line="240" w:lineRule="auto"/>
        <w:ind w:firstLine="360"/>
        <w:jc w:val="both"/>
      </w:pPr>
      <w:r>
        <w:rPr>
          <w:rFonts w:ascii="Times New Roman" w:hAnsi="Times New Roman" w:cs="B Mitra" w:eastAsia="Times New Roman"/>
          <w:sz w:val="24"/>
          <w:szCs w:val="24"/>
          <w:lang w:val="en-US" w:bidi="fa-IR"/>
        </w:rPr>
        <w:t xml:space="preserve">هدف پژوهش آزمون مدلی است که در آن سه فشار نهادی (الزامی، هنجاری و تقلیدی) بر دو شیوهٔ پاسخ سازمان (اجرای ماهوی و انطباق نمادین) اثر می‌گذارند؛ این دو بر سودمندی اطلاعات گزارش‌شده و از آن راه بر پاسخگویی مالی اثر دارند و بلوغ نظام اطلاعاتی مالی دو مسیر را تعدیل می‌کند. پرسش‌ها: هر فشار چه اثری بر دو شیوهٔ پاسخ دارد؟ سودمندی اطلاعات چگونه این اثرها را به پاسخگویی پیوند می‌دهد؟ و بلوغ نظام اطلاعاتی چه نقشی دارد؟</w:t>
      </w:r>
    </w:p>
    <w:p>
      <w:pPr>
        <w:keepNext/>
        <w:bidi/>
        <w:spacing w:before="100" w:after="30" w:line="240" w:lineRule="auto"/>
        <w:jc w:val="left"/>
      </w:pPr>
      <w:r>
        <w:rPr>
          <w:rFonts w:ascii="Times New Roman" w:hAnsi="Times New Roman" w:cs="B Mitra" w:eastAsia="Times New Roman"/>
          <w:b/>
          <w:bCs/>
          <w:sz w:val="26"/>
          <w:szCs w:val="26"/>
          <w:lang w:val="en-US" w:bidi="fa-IR"/>
        </w:rPr>
        <w:t xml:space="preserve">مبانی نظری</w:t>
      </w:r>
    </w:p>
    <w:p>
      <w:pPr>
        <w:bidi/>
        <w:spacing w:before="0" w:after="40" w:line="240" w:lineRule="auto"/>
        <w:ind w:firstLine="360"/>
        <w:jc w:val="both"/>
      </w:pPr>
      <w:r>
        <w:rPr>
          <w:rFonts w:ascii="Times New Roman" w:hAnsi="Times New Roman" w:cs="B Mitra" w:eastAsia="Times New Roman"/>
          <w:sz w:val="24"/>
          <w:szCs w:val="24"/>
          <w:lang w:val="en-US" w:bidi="fa-IR"/>
        </w:rPr>
        <w:t xml:space="preserve">چارچوب نظری بر همسانی نهادی (فشار الزامی، هنجاری و تقلیدی)، نظریهٔ جدایی و پذیرش تشریفاتی، ادبیات استفاده از اطلاعات عملکرد، چارچوب پاسخگویی (اطلاع‌رسانی، توجیه و پیامد) و مدل موفقیت سیستم‌های اطلاعاتی استوار است. استدلال اصلی آن است که فشار نهادی یک علت واحد با پیامد واحد نیست: الزام رفتار را قابل‌مشاهده می‌کند و می‌تواند هم اجرای واقعی و هم گزارش‌دهی نمایشی را تشویق کند، هنجار حرفه‌ای اجرا را درونی می‌سازد، و تقلید قالب‌گرایی می‌آفریند. سودمندی اطلاعات حلقهٔ میانی اجرا تا پاسخگویی است و نظام اطلاعاتی بالغ با ردپای حسابرسی‌پذیر هزینهٔ رفتار نمایشی را بالا می‌برد. بر این پایه ۱۳ فرضیه صورت‌بندی شد.</w:t>
      </w:r>
    </w:p>
    <w:p>
      <w:pPr>
        <w:keepNext/>
        <w:bidi/>
        <w:spacing w:before="100" w:after="30" w:line="240" w:lineRule="auto"/>
        <w:jc w:val="left"/>
      </w:pPr>
      <w:r>
        <w:rPr>
          <w:rFonts w:ascii="Times New Roman" w:hAnsi="Times New Roman" w:cs="B Mitra" w:eastAsia="Times New Roman"/>
          <w:b/>
          <w:bCs/>
          <w:sz w:val="26"/>
          <w:szCs w:val="26"/>
          <w:lang w:val="en-US" w:bidi="fa-IR"/>
        </w:rPr>
        <w:t xml:space="preserve">روش‌شناسی</w:t>
      </w:r>
    </w:p>
    <w:p>
      <w:pPr>
        <w:bidi/>
        <w:spacing w:before="0" w:after="40" w:line="240" w:lineRule="auto"/>
        <w:ind w:firstLine="360"/>
        <w:jc w:val="both"/>
      </w:pPr>
      <w:r>
        <w:rPr>
          <w:rFonts w:ascii="Times New Roman" w:hAnsi="Times New Roman" w:cs="B Mitra" w:eastAsia="Times New Roman"/>
          <w:sz w:val="24"/>
          <w:szCs w:val="24"/>
          <w:lang w:val="en-US" w:bidi="fa-IR"/>
        </w:rPr>
        <w:t xml:space="preserve">پژوهش کاربردی و پیمایشی است. داده‌ها با پرسشنامهٔ ۳۴ گویه‌ای (هشت سازه، لیکرت پنج‌درجه‌ای) از ۳۳۶ مدیر مالی، ذی‌حساب، کارشناس بودجه و حسابدار دستگاه‌های اجرایی گردآوری شد. تحلیل با مدل‌سازی معادلات ساختاری مبتنی بر کوواریانس کاملاً پنهان (بدون میانگین یا مجموع گویه‌ها)، تعامل پنهان با شاخص‌های حاصل‌ضرب جفت‌شده، بوت‌استرپ ۲٬۰۰۰ تکراری برای اثرهای غیرمستقیم و شرطی و مقایسهٔ پنج مدل رقیب انجام گرفت. استواری با برآورد DWLS، شاخص‌های باقی‌مانده‌مرکزشده، مدل بازمشخص‌شده، حذف مشاهدات دورافتاده و زیرنمونهٔ باسابقه سنجیده شد.</w:t>
      </w:r>
    </w:p>
    <w:p>
      <w:pPr>
        <w:keepNext/>
        <w:bidi/>
        <w:spacing w:before="100" w:after="30" w:line="240" w:lineRule="auto"/>
        <w:jc w:val="left"/>
      </w:pPr>
      <w:r>
        <w:rPr>
          <w:rFonts w:ascii="Times New Roman" w:hAnsi="Times New Roman" w:cs="B Mitra" w:eastAsia="Times New Roman"/>
          <w:b/>
          <w:bCs/>
          <w:sz w:val="26"/>
          <w:szCs w:val="26"/>
          <w:lang w:val="en-US" w:bidi="fa-IR"/>
        </w:rPr>
        <w:t xml:space="preserve">یافته‌ها</w:t>
      </w:r>
    </w:p>
    <w:p>
      <w:pPr>
        <w:bidi/>
        <w:spacing w:before="0" w:after="40" w:line="240" w:lineRule="auto"/>
        <w:ind w:firstLine="360"/>
        <w:jc w:val="both"/>
      </w:pPr>
      <w:r>
        <w:rPr>
          <w:rFonts w:ascii="Times New Roman" w:hAnsi="Times New Roman" w:cs="B Mitra" w:eastAsia="Times New Roman"/>
          <w:sz w:val="24"/>
          <w:szCs w:val="24"/>
          <w:lang w:val="en-US" w:bidi="fa-IR"/>
        </w:rPr>
        <w:t xml:space="preserve">مدل اندازه‌گیری برازش مطلوبی داشت (CFI = ۰٫۹۹۰؛ RMSEA = ۰٫۰۱۷؛ پایایی ترکیبی ۰٫۸۱ تا ۰٫۸۷؛ بیشینهٔ HTMT = ۰٫۵۲). فشار الزامی هم اجرای ماهوی (β = ۰٫۳۲) و هم انطباق نمادین (β = ۰٫۳۸) را افزایش داد؛ فشار هنجاری اجرای ماهوی را تقویت (β = ۰٫۳۷) و انطباق نمادین را کم کرد (β = −۰٫۲۲)؛ فشار تقلیدی انطباق نمادین را بالا برد (β = ۰٫۳۳) و اثر معناداری بر اجرای ماهوی نداشت. اجرای ماهوی سودمندی اطلاعات (β = ۰٫۳۵) و پاسخگویی (β = ۰٫۲۸) را افزایش و انطباق نمادین هر دو را کاهش داد (β = −۰٫۲۲ و −۰٫۱۷)؛ سودمندی اطلاعات پاسخگویی را بهبود بخشید (β = ۰٫۳۶). بلوغ نظام اطلاعاتی اثر اجرای ماهوی بر سودمندی را تقویت (β = ۰٫۱۶) و اثر فشار الزامی بر انطباق نمادین را تضعیف کرد (β = −۰٫۲۵). اثر کل غیرمستقیم فشار هنجاری مثبت (۰٫۲۱؛ فاصلهٔ اطمینان ۰٫۱۳ تا ۰٫۳۰) و اثر کل فشار الزامی ناچیز بود (۰٫۰۳) زیرا مسیرهای ماهوی و نمادین یکدیگر را تا حد زیادی خنثی کردند. افزودن اثر مستقیم فشارها بر پاسخگویی برازش را بهبود نداد (میانجی‌گری کامل). نتایج در همهٔ آزمون‌های استواری پایدار بود.</w:t>
      </w:r>
    </w:p>
    <w:p>
      <w:pPr>
        <w:keepNext/>
        <w:bidi/>
        <w:spacing w:before="100" w:after="30" w:line="240" w:lineRule="auto"/>
        <w:jc w:val="left"/>
      </w:pPr>
      <w:r>
        <w:rPr>
          <w:rFonts w:ascii="Times New Roman" w:hAnsi="Times New Roman" w:cs="B Mitra" w:eastAsia="Times New Roman"/>
          <w:b/>
          <w:bCs/>
          <w:sz w:val="26"/>
          <w:szCs w:val="26"/>
          <w:lang w:val="en-US" w:bidi="fa-IR"/>
        </w:rPr>
        <w:t xml:space="preserve">نتیجه‌گیری و پیامدها</w:t>
      </w:r>
    </w:p>
    <w:p>
      <w:pPr>
        <w:bidi/>
        <w:spacing w:before="0" w:after="40" w:line="240" w:lineRule="auto"/>
        <w:ind w:firstLine="360"/>
        <w:jc w:val="both"/>
      </w:pPr>
      <w:r>
        <w:rPr>
          <w:rFonts w:ascii="Times New Roman" w:hAnsi="Times New Roman" w:cs="B Mitra" w:eastAsia="Times New Roman"/>
          <w:sz w:val="24"/>
          <w:szCs w:val="24"/>
          <w:lang w:val="en-US" w:bidi="fa-IR"/>
        </w:rPr>
        <w:t xml:space="preserve">اثرگذاری اصلاحات مالی بیش از شدت الزام قانونی، به نوع پاسخ سازمان و زیرساخت اطلاعاتی وابسته است. تقویت هنجارهای حرفه‌ای، سنجش «استفاده از گزارش در تصمیم» به‌جای «تحویل گزارش»، سرمایه‌گذاری در نظام‌های یکپارچه، برخط و حسابرسی‌پذیر، و پرهیز از الگوبرداری بدون بومی‌سازی از پیشنهادهای اصلی‌اند. از نظر نظری، مقاله چارچوب نهادی را از «پذیرش یا رد» به «کیفیت پذیرش» گسترش می‌دهد.</w:t>
      </w:r>
    </w:p>
    <w:p>
      <w:pPr>
        <w:keepNext/>
        <w:bidi/>
        <w:spacing w:before="100" w:after="30" w:line="240" w:lineRule="auto"/>
        <w:jc w:val="left"/>
      </w:pPr>
      <w:r>
        <w:rPr>
          <w:rFonts w:ascii="Times New Roman" w:hAnsi="Times New Roman" w:cs="B Mitra" w:eastAsia="Times New Roman"/>
          <w:b/>
          <w:bCs/>
          <w:sz w:val="26"/>
          <w:szCs w:val="26"/>
          <w:lang w:val="en-US" w:bidi="fa-IR"/>
        </w:rPr>
        <w:t xml:space="preserve">محدودیت‌ها و پژوهش‌های آینده</w:t>
      </w:r>
    </w:p>
    <w:p>
      <w:pPr>
        <w:bidi/>
        <w:spacing w:before="0" w:after="40" w:line="240" w:lineRule="auto"/>
        <w:ind w:firstLine="360"/>
        <w:jc w:val="both"/>
      </w:pPr>
      <w:r>
        <w:rPr>
          <w:rFonts w:ascii="Times New Roman" w:hAnsi="Times New Roman" w:cs="B Mitra" w:eastAsia="Times New Roman"/>
          <w:sz w:val="24"/>
          <w:szCs w:val="24"/>
          <w:lang w:val="en-US" w:bidi="fa-IR"/>
        </w:rPr>
        <w:t xml:space="preserve">طرح مقطعی و خوداظهاری، تازه‌بودن بخشی از مقیاس‌ها و تفاوت‌های احتمالی میان انواع دستگاه‌ها از محدودیت‌ها هستند. پیشنهاد می‌شود داده‌های عینی (انحراف بودجه، نتایج حسابرسی عملکرد)، طرح‌های طولی، داده‌های چندمنبعی و ناوردایی اندازه‌گیری میان انواع دستگاه‌ها بررسی شود.</w:t>
      </w:r>
    </w:p>
    <w:p>
      <w:pPr>
        <w:bidi/>
        <w:spacing w:before="80" w:after="50" w:line="240" w:lineRule="auto"/>
        <w:jc w:val="left"/>
      </w:pPr>
      <w:r>
        <w:rPr>
          <w:rFonts w:ascii="Times New Roman" w:hAnsi="Times New Roman" w:cs="B Mitra" w:eastAsia="Times New Roman"/>
          <w:b/>
          <w:bCs/>
          <w:sz w:val="22"/>
          <w:szCs w:val="22"/>
          <w:lang w:val="en-US" w:bidi="fa-IR"/>
        </w:rPr>
        <w:t xml:space="preserve">واژه‌های کلیدی:</w:t>
      </w:r>
      <w:r>
        <w:rPr>
          <w:rFonts w:ascii="Times New Roman" w:hAnsi="Times New Roman" w:cs="B Mitra" w:eastAsia="Times New Roman"/>
          <w:sz w:val="22"/>
          <w:szCs w:val="22"/>
          <w:lang w:val="en-US" w:bidi="fa-IR"/>
        </w:rPr>
        <w:t xml:space="preserve"> اجرای ماهوی، انطباق نمادین، پاسخگویی مالی، فشارهای نهادی، نظام اطلاعاتی</w:t>
      </w:r>
    </w:p>
    <w:sectPr>
      <w:footerReference w:type="default" r:id="rIdFooter"/>
      <w:pgSz w:w="11906" w:h="16838"/>
      <w:pgMar w:top="1417" w:right="1417" w:bottom="1417" w:left="1417" w:header="708" w:footer="708" w:gutter="0"/>
      <w:bidi/>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jc w:val="center"/>
    </w:pPr>
    <w:r>
      <w:rPr>
        <w:sz w:val="20"/>
      </w:rP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settings.xml><?xml version="1.0" encoding="utf-8"?>
<w:settings xmlns:w="http://schemas.openxmlformats.org/wordprocessingml/2006/main">
  <w:zoom w:percent="100"/>
  <w:defaultTabStop w:val="720"/>
  <w:characterSpacingControl w:val="doNotCompress"/>
  <w:footnotePr>
    <w:footnote w:id="-1"/>
    <w:footnote w:id="0"/>
  </w:footnotePr>
  <w:themeFontLang w:val="en-US" w:bidi="fa-IR"/>
</w:settings>
</file>

<file path=word/styles.xml><?xml version="1.0" encoding="utf-8"?>
<w:styles xmlns:w="http://schemas.openxmlformats.org/wordprocessingml/2006/main">
  <w:docDefaults>
    <w:rPrDefault>
      <w:rPr>
        <w:rFonts w:ascii="Times New Roman" w:hAnsi="Times New Roman" w:cs="B Mitra"/>
        <w:sz w:val="24"/>
        <w:szCs w:val="24"/>
        <w:lang w:val="en-US" w:bidi="fa-IR"/>
      </w:rPr>
    </w:rPrDefault>
    <w:pPrDefault>
      <w:pPr>
        <w:bidi/>
      </w:pPr>
    </w:pPrDefault>
  </w:docDefaults>
  <w:style w:type="paragraph" w:default="1" w:styleId="Normal">
    <w:name w:val="Normal"/>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 Type="http://schemas.openxmlformats.org/officeDocument/2006/relationships/styles" Target="styles.xml"/><Relationship Id="rIdSe" Type="http://schemas.openxmlformats.org/officeDocument/2006/relationships/settings" Target="settings.xml"/><Relationship Id="rIdFn" Type="http://schemas.openxmlformats.org/officeDocument/2006/relationships/footnotes" Target="footnotes.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Article</dc:title>
  <dc:language>fa-IR</dc:language>
</cp:coreProperties>
</file>