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bidi/>
        <w:spacing w:before="0" w:after="200" w:line="240" w:lineRule="auto"/>
        <w:jc w:val="center"/>
      </w:pPr>
      <w:r>
        <w:rPr>
          <w:rFonts w:ascii="Times New Roman" w:hAnsi="Times New Roman" w:cs="B Titr" w:eastAsia="Times New Roman"/>
          <w:b/>
          <w:bCs/>
          <w:sz w:val="24"/>
          <w:szCs w:val="24"/>
          <w:lang w:val="en-US" w:bidi="fa-IR"/>
        </w:rPr>
        <w:t xml:space="preserve">پرسشنامهٔ پژوهش: فشارهای نهادی، اجرای ماهوی و انطباق نمادین، سودمندی اطلاعات و پاسخگویی مالی</w:t>
      </w:r>
    </w:p>
    <w:p>
      <w:pPr>
        <w:bidi/>
        <w:spacing w:before="0" w:after="50" w:line="240" w:lineRule="auto"/>
        <w:jc w:val="both"/>
      </w:pPr>
      <w:r>
        <w:rPr>
          <w:rFonts w:ascii="Times New Roman" w:hAnsi="Times New Roman" w:cs="B Nazanin" w:eastAsia="Times New Roman"/>
          <w:b/>
          <w:bCs/>
          <w:sz w:val="24"/>
          <w:szCs w:val="24"/>
          <w:lang w:val="en-US" w:bidi="fa-IR"/>
        </w:rPr>
        <w:t xml:space="preserve">راهنما:</w:t>
      </w:r>
      <w:r>
        <w:rPr>
          <w:rFonts w:ascii="Times New Roman" w:hAnsi="Times New Roman" w:cs="B Nazanin" w:eastAsia="Times New Roman"/>
          <w:sz w:val="24"/>
          <w:szCs w:val="24"/>
          <w:lang w:val="en-US" w:bidi="fa-IR"/>
        </w:rPr>
        <w:t xml:space="preserve"> لطفاً میزان موافقت خود را با هر عبارت دربارهٔ دستگاه محل خدمت خود مشخص کنید (۱ = کاملاً مخالف، ۲ = مخالف، ۳ = نظری ندارم، ۴ = موافق، ۵ = کاملاً موافق). پاسخ‌ها محرمانه است و صرفاً به‌صورت تجمیعی گزارش می‌شود.</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بخش الف) ویژگی‌های جمعیت‌شناختی</w:t>
      </w:r>
    </w:p>
    <w:p>
      <w:pPr>
        <w:keepNext/>
        <w:bidi/>
        <w:spacing w:before="120" w:after="60" w:line="240" w:lineRule="auto"/>
        <w:jc w:val="center"/>
      </w:pPr>
      <w:r>
        <w:rPr>
          <w:rFonts w:ascii="Times New Roman" w:hAnsi="Times New Roman" w:cs="B Titr" w:eastAsia="Times New Roman"/>
          <w:b/>
          <w:bCs/>
          <w:sz w:val="20"/>
          <w:szCs w:val="20"/>
          <w:lang w:val="en-US" w:bidi="fa-IR"/>
        </w:rPr>
        <w:t xml:space="preserve">جدول ۱. پرسش‌های جمعیت‌شناختی</w:t>
      </w:r>
    </w:p>
    <w:tbl>
      <w:tblPr>
        <w:bidiVisual/>
        <w:tblW w:w="9000" w:type="dxa"/>
        <w:jc w:val="center"/>
        <w:tblLayout w:type="fixed"/>
        <w:tblCellMar>
          <w:left w:w="60" w:type="dxa"/>
          <w:right w:w="60" w:type="dxa"/>
        </w:tblCellMar>
      </w:tblPr>
      <w:tblGrid>
        <w:gridCol w:w="900"/>
        <w:gridCol w:w="8100"/>
      </w:tblGrid>
      <w:tr>
        <w:trPr>
          <w:tblHeader/>
        </w:trPr>
        <w:tc>
          <w:tcPr>
            <w:tcW w:w="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کد</w:t>
            </w:r>
          </w:p>
        </w:tc>
        <w:tc>
          <w:tcPr>
            <w:tcW w:w="81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پرسش</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D۱</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نوع دستگاه: وزارتخانه/سازمان ملی؛ دانشگاه و مراکز بهداشتی‌درمانی؛ شهرداری و نهادهای محلی؛ ادارات کل استانی</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D۲</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سمت: مدیر مالی؛ ذی‌حساب؛ کارشناس بودجه؛ حسابدار/ حسابرس داخلی</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D۳</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سابقهٔ کار در بخش عمومی (سال)</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D۴</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سن (سال)</w:t>
            </w:r>
          </w:p>
        </w:tc>
      </w:tr>
      <w:tr>
        <w:trPr>
          <w:cantSplit/>
        </w:trPr>
        <w:tc>
          <w:tcPr>
            <w:tcW w:w="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D۵</w:t>
            </w:r>
          </w:p>
        </w:tc>
        <w:tc>
          <w:tcPr>
            <w:tcW w:w="81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تحصیلات: دیپلم و کمتر؛ کارشناسی؛ کارشناسی ارشد؛ دکتری</w:t>
            </w:r>
          </w:p>
        </w:tc>
      </w:tr>
    </w:tbl>
    <w:p>
      <w:pPr>
        <w:bidi/>
        <w:spacing w:before="0" w:after="100" w:line="240" w:lineRule="auto"/>
        <w:ind w:firstLine="360"/>
        <w:jc w:val="both"/>
      </w:pPr>
    </w:p>
    <w:p>
      <w:pPr>
        <w:keepNext/>
        <w:bidi/>
        <w:spacing w:before="110" w:after="50" w:line="240" w:lineRule="auto"/>
        <w:jc w:val="left"/>
      </w:pPr>
      <w:r>
        <w:rPr>
          <w:rFonts w:ascii="Times New Roman" w:hAnsi="Times New Roman" w:cs="B Nazanin" w:eastAsia="Times New Roman"/>
          <w:b/>
          <w:bCs/>
          <w:sz w:val="24"/>
          <w:szCs w:val="24"/>
          <w:lang w:val="en-US" w:bidi="fa-IR"/>
        </w:rPr>
        <w:t xml:space="preserve">بخش ب) گویه‌ها، منشأ مقیاس و منابع هر متغیر</w:t>
      </w:r>
    </w:p>
    <w:p>
      <w:pPr>
        <w:keepNext/>
        <w:bidi/>
        <w:spacing w:before="120" w:after="60" w:line="240" w:lineRule="auto"/>
        <w:jc w:val="center"/>
      </w:pPr>
      <w:r>
        <w:rPr>
          <w:rFonts w:ascii="Times New Roman" w:hAnsi="Times New Roman" w:cs="B Titr" w:eastAsia="Times New Roman"/>
          <w:b/>
          <w:bCs/>
          <w:sz w:val="20"/>
          <w:szCs w:val="20"/>
          <w:lang w:val="en-US" w:bidi="fa-IR"/>
        </w:rPr>
        <w:t xml:space="preserve">جدول ۲. خلاصهٔ منشأ هر سازه (محقق‌ساخته یا پژوهش‌محور) و منابع آن</w:t>
      </w:r>
    </w:p>
    <w:tbl>
      <w:tblPr>
        <w:bidiVisual/>
        <w:tblW w:w="9000" w:type="dxa"/>
        <w:jc w:val="center"/>
        <w:tblLayout w:type="fixed"/>
        <w:tblCellMar>
          <w:left w:w="60" w:type="dxa"/>
          <w:right w:w="60" w:type="dxa"/>
        </w:tblCellMar>
      </w:tblPr>
      <w:tblGrid>
        <w:gridCol w:w="700"/>
        <w:gridCol w:w="2000"/>
        <w:gridCol w:w="600"/>
        <w:gridCol w:w="2000"/>
        <w:gridCol w:w="3700"/>
      </w:tblGrid>
      <w:tr>
        <w:trPr>
          <w:tblHeader/>
        </w:trPr>
        <w:tc>
          <w:tcPr>
            <w:tcW w:w="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نماد</w:t>
            </w:r>
          </w:p>
        </w:tc>
        <w:tc>
          <w:tcPr>
            <w:tcW w:w="20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سازه</w:t>
            </w:r>
          </w:p>
        </w:tc>
        <w:tc>
          <w:tcPr>
            <w:tcW w:w="6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گویه</w:t>
            </w:r>
          </w:p>
        </w:tc>
        <w:tc>
          <w:tcPr>
            <w:tcW w:w="20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منشأ</w:t>
            </w:r>
          </w:p>
        </w:tc>
        <w:tc>
          <w:tcPr>
            <w:tcW w:w="3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منابع</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COE</w:t>
            </w:r>
          </w:p>
        </w:tc>
        <w:tc>
          <w:tcPr>
            <w:tcW w:w="2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فشار الزامی (قانونی و فرادستی)</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۴</w:t>
            </w:r>
          </w:p>
        </w:tc>
        <w:tc>
          <w:tcPr>
            <w:tcW w:w="2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پژوهش‌محور (اقتباس‌شده)</w:t>
            </w:r>
          </w:p>
        </w:tc>
        <w:tc>
          <w:tcPr>
            <w:tcW w:w="3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دی‌ماجیو و پاول (۱۹۸۳)؛ تئو، وی و بنباسات (۲۰۰۳)؛ اسکات (۲۰۱۴)</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NOR</w:t>
            </w:r>
          </w:p>
        </w:tc>
        <w:tc>
          <w:tcPr>
            <w:tcW w:w="2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فشار هنجاری (حرفه‌ای)</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۴</w:t>
            </w:r>
          </w:p>
        </w:tc>
        <w:tc>
          <w:tcPr>
            <w:tcW w:w="2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پژوهش‌محور (اقتباس‌شده)</w:t>
            </w:r>
          </w:p>
        </w:tc>
        <w:tc>
          <w:tcPr>
            <w:tcW w:w="3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دی‌ماجیو و پاول (۱۹۸۳)؛ تئو، وی و بنباسات (۲۰۰۳)؛ اسکات (۲۰۱۴)</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MIM</w:t>
            </w:r>
          </w:p>
        </w:tc>
        <w:tc>
          <w:tcPr>
            <w:tcW w:w="2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فشار تقلیدی (الگوبرداری)</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۴</w:t>
            </w:r>
          </w:p>
        </w:tc>
        <w:tc>
          <w:tcPr>
            <w:tcW w:w="2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پژوهش‌محور (اقتباس‌شده)</w:t>
            </w:r>
          </w:p>
        </w:tc>
        <w:tc>
          <w:tcPr>
            <w:tcW w:w="3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دی‌ماجیو و پاول (۱۹۸۳)؛ تئو، وی و بنباسات (۲۰۰۳)؛ الیور (۱۹۹۱)</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SUB</w:t>
            </w:r>
          </w:p>
        </w:tc>
        <w:tc>
          <w:tcPr>
            <w:tcW w:w="2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اجرای ماهوی اصلاحات</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۵</w:t>
            </w:r>
          </w:p>
        </w:tc>
        <w:tc>
          <w:tcPr>
            <w:tcW w:w="2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محقق‌ساخته (برگرفته از نظریه)</w:t>
            </w:r>
          </w:p>
        </w:tc>
        <w:tc>
          <w:tcPr>
            <w:tcW w:w="3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پولیت و بوکارت (۲۰۱۷)؛ موینیهان (۲۰۰۸)؛ کریستین‌س و همکاران (۲۰۱۵)؛ پینا، تورس و یتانو (۲۰۰۹)</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SYM</w:t>
            </w:r>
          </w:p>
        </w:tc>
        <w:tc>
          <w:tcPr>
            <w:tcW w:w="2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انطباق نمادین (تشریفاتی)</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۴</w:t>
            </w:r>
          </w:p>
        </w:tc>
        <w:tc>
          <w:tcPr>
            <w:tcW w:w="2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محقق‌ساخته (برگرفته از نظریه)</w:t>
            </w:r>
          </w:p>
        </w:tc>
        <w:tc>
          <w:tcPr>
            <w:tcW w:w="3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مایر و روان (۱۹۷۷)؛ برومیلی و پاول (۲۰۱۲)؛ الیور (۱۹۹۱)؛ مودل (۲۰۰۹)</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DIG</w:t>
            </w:r>
          </w:p>
        </w:tc>
        <w:tc>
          <w:tcPr>
            <w:tcW w:w="2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بلوغ نظام اطلاعاتی مالی</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۴</w:t>
            </w:r>
          </w:p>
        </w:tc>
        <w:tc>
          <w:tcPr>
            <w:tcW w:w="2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ترکیبی (بخشی اقتباس‌شده، بخشی محقق‌ساخته)</w:t>
            </w:r>
          </w:p>
        </w:tc>
        <w:tc>
          <w:tcPr>
            <w:tcW w:w="3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دلون و مک‌لین (۲۰۰۳)؛ دان‌لیوی و همکاران (۲۰۰۶)</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USE</w:t>
            </w:r>
          </w:p>
        </w:tc>
        <w:tc>
          <w:tcPr>
            <w:tcW w:w="2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سودمندی اطلاعات گزارش‌شده برای تصمیم</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۴</w:t>
            </w:r>
          </w:p>
        </w:tc>
        <w:tc>
          <w:tcPr>
            <w:tcW w:w="2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ترکیبی (بخشی اقتباس‌شده، بخشی محقق‌ساخته)</w:t>
            </w:r>
          </w:p>
        </w:tc>
        <w:tc>
          <w:tcPr>
            <w:tcW w:w="3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موینیهان و پاندی (۲۰۱۰)؛ کرول (۲۰۱۵)؛ دلون و مک‌لین (۲۰۰۳)</w:t>
            </w:r>
          </w:p>
        </w:tc>
      </w:tr>
      <w:tr>
        <w:trPr>
          <w:cantSplit/>
        </w:trPr>
        <w:tc>
          <w:tcPr>
            <w:tcW w:w="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ACC</w:t>
            </w:r>
          </w:p>
        </w:tc>
        <w:tc>
          <w:tcPr>
            <w:tcW w:w="20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پاسخگویی مالی</w:t>
            </w:r>
          </w:p>
        </w:tc>
        <w:tc>
          <w:tcPr>
            <w:tcW w:w="6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۵</w:t>
            </w:r>
          </w:p>
        </w:tc>
        <w:tc>
          <w:tcPr>
            <w:tcW w:w="20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محقق‌ساخته (برگرفته از نظریه)</w:t>
            </w:r>
          </w:p>
        </w:tc>
        <w:tc>
          <w:tcPr>
            <w:tcW w:w="3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بوونس (۲۰۰۷)؛ براچی، همفری، مول و استچولینی (۲۰۱۵)؛ مور (۱۹۹۵)</w:t>
            </w:r>
          </w:p>
        </w:tc>
      </w:tr>
    </w:tbl>
    <w:p>
      <w:pPr>
        <w:bidi/>
        <w:spacing w:before="0" w:after="100" w:line="240" w:lineRule="auto"/>
        <w:ind w:firstLine="360"/>
        <w:jc w:val="both"/>
      </w:pPr>
    </w:p>
    <w:p>
      <w:pPr>
        <w:keepNext/>
        <w:bidi/>
        <w:spacing w:before="110" w:after="50" w:line="240" w:lineRule="auto"/>
        <w:jc w:val="left"/>
      </w:pPr>
      <w:r>
        <w:rPr>
          <w:rFonts w:ascii="Times New Roman" w:hAnsi="Times New Roman" w:cs="B Nazanin" w:eastAsia="Times New Roman"/>
          <w:b/>
          <w:bCs/>
          <w:sz w:val="24"/>
          <w:szCs w:val="24"/>
          <w:lang w:val="en-US" w:bidi="fa-IR"/>
        </w:rPr>
        <w:t xml:space="preserve">فشار الزامی (قانونی و فرادستی) (COE)</w:t>
      </w:r>
    </w:p>
    <w:p>
      <w:pPr>
        <w:bidi/>
        <w:spacing w:before="0" w:after="50" w:line="240" w:lineRule="auto"/>
        <w:jc w:val="both"/>
      </w:pPr>
      <w:r>
        <w:rPr>
          <w:rFonts w:ascii="Times New Roman" w:hAnsi="Times New Roman" w:cs="B Nazanin" w:eastAsia="Times New Roman"/>
          <w:b/>
          <w:bCs/>
          <w:sz w:val="24"/>
          <w:szCs w:val="24"/>
          <w:lang w:val="en-US" w:bidi="fa-IR"/>
        </w:rPr>
        <w:t xml:space="preserve">منشأ:</w:t>
      </w:r>
      <w:r>
        <w:rPr>
          <w:rFonts w:ascii="Times New Roman" w:hAnsi="Times New Roman" w:cs="B Nazanin" w:eastAsia="Times New Roman"/>
          <w:sz w:val="24"/>
          <w:szCs w:val="24"/>
          <w:lang w:val="en-US" w:bidi="fa-IR"/>
        </w:rPr>
        <w:t xml:space="preserve"> پژوهش‌محور (اقتباس‌شده).  </w:t>
      </w:r>
      <w:r>
        <w:rPr>
          <w:rFonts w:ascii="Times New Roman" w:hAnsi="Times New Roman" w:cs="B Nazanin" w:eastAsia="Times New Roman"/>
          <w:b/>
          <w:bCs/>
          <w:sz w:val="24"/>
          <w:szCs w:val="24"/>
          <w:lang w:val="en-US" w:bidi="fa-IR"/>
        </w:rPr>
        <w:t xml:space="preserve">مقیاس پاسخ:</w:t>
      </w:r>
      <w:r>
        <w:rPr>
          <w:rFonts w:ascii="Times New Roman" w:hAnsi="Times New Roman" w:cs="B Nazanin" w:eastAsia="Times New Roman"/>
          <w:sz w:val="24"/>
          <w:szCs w:val="24"/>
          <w:lang w:val="en-US" w:bidi="fa-IR"/>
        </w:rPr>
        <w:t xml:space="preserve"> لیکرت ۵‌درجه‌ای: ۱ = کاملاً مخالف … ۵ = کاملاً موافق.</w:t>
      </w:r>
    </w:p>
    <w:p>
      <w:pPr>
        <w:bidi/>
        <w:spacing w:before="0" w:after="50" w:line="240" w:lineRule="auto"/>
        <w:jc w:val="both"/>
      </w:pPr>
      <w:r>
        <w:rPr>
          <w:rFonts w:ascii="Times New Roman" w:hAnsi="Times New Roman" w:cs="B Nazanin" w:eastAsia="Times New Roman"/>
          <w:b/>
          <w:bCs/>
          <w:sz w:val="24"/>
          <w:szCs w:val="24"/>
          <w:lang w:val="en-US" w:bidi="fa-IR"/>
        </w:rPr>
        <w:t xml:space="preserve">توضیح:</w:t>
      </w:r>
      <w:r>
        <w:rPr>
          <w:rFonts w:ascii="Times New Roman" w:hAnsi="Times New Roman" w:cs="B Nazanin" w:eastAsia="Times New Roman"/>
          <w:sz w:val="24"/>
          <w:szCs w:val="24"/>
          <w:lang w:val="en-US" w:bidi="fa-IR"/>
        </w:rPr>
        <w:t xml:space="preserve"> سازه و منطق گویه‌ها از طبقه‌بندی دی‌ماجیو و پاول (۱۹۸۳) و مقیاس‌های نهادی تئو و همکاران (۲۰۰۳) اقتباس و به بافت بودجه‌ریزی عملیاتی و گزارشگری تعهدی بازنویسی شده است.</w:t>
      </w:r>
    </w:p>
    <w:p>
      <w:pPr>
        <w:keepNext/>
        <w:bidi/>
        <w:spacing w:before="120" w:after="60" w:line="240" w:lineRule="auto"/>
        <w:jc w:val="center"/>
      </w:pPr>
      <w:r>
        <w:rPr>
          <w:rFonts w:ascii="Times New Roman" w:hAnsi="Times New Roman" w:cs="B Titr" w:eastAsia="Times New Roman"/>
          <w:b/>
          <w:bCs/>
          <w:sz w:val="20"/>
          <w:szCs w:val="20"/>
          <w:lang w:val="en-US" w:bidi="fa-IR"/>
        </w:rPr>
        <w:t xml:space="preserve">جدول ۳. گویه‌های COE</w:t>
      </w:r>
    </w:p>
    <w:tbl>
      <w:tblPr>
        <w:bidiVisual/>
        <w:tblW w:w="8950" w:type="dxa"/>
        <w:jc w:val="center"/>
        <w:tblLayout w:type="fixed"/>
        <w:tblCellMar>
          <w:left w:w="60" w:type="dxa"/>
          <w:right w:w="60" w:type="dxa"/>
        </w:tblCellMar>
      </w:tblPr>
      <w:tblGrid>
        <w:gridCol w:w="700"/>
        <w:gridCol w:w="6000"/>
        <w:gridCol w:w="450"/>
        <w:gridCol w:w="450"/>
        <w:gridCol w:w="450"/>
        <w:gridCol w:w="450"/>
        <w:gridCol w:w="450"/>
      </w:tblGrid>
      <w:tr>
        <w:trPr>
          <w:tblHeader/>
        </w:trPr>
        <w:tc>
          <w:tcPr>
            <w:tcW w:w="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کد</w:t>
            </w:r>
          </w:p>
        </w:tc>
        <w:tc>
          <w:tcPr>
            <w:tcW w:w="60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گویه</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۱</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۲</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۳</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۴</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۵</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COE۱</w:t>
            </w:r>
          </w:p>
        </w:tc>
        <w:tc>
          <w:tcPr>
            <w:tcW w:w="6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قوانین و مقررات بالادستی، دستگاه ما را به اجرای مبنای تعهدی و بودجه‌ریزی عملیاتی ملزم کرده‌اند.</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COE۲</w:t>
            </w:r>
          </w:p>
        </w:tc>
        <w:tc>
          <w:tcPr>
            <w:tcW w:w="6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نهادهای نظارتی و دستگاه‌های فرادست بر اجرای این اصلاحات نظارت جدی دارند.</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COE۳</w:t>
            </w:r>
          </w:p>
        </w:tc>
        <w:tc>
          <w:tcPr>
            <w:tcW w:w="6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اجرا‌نکردن این اصلاحات پیامدهای قانونی یا اداری برای دستگاه دارد.</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r>
        <w:trPr>
          <w:cantSplit/>
        </w:trPr>
        <w:tc>
          <w:tcPr>
            <w:tcW w:w="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COE۴</w:t>
            </w:r>
          </w:p>
        </w:tc>
        <w:tc>
          <w:tcPr>
            <w:tcW w:w="60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دستورالعمل‌ها و بخشنامه‌های ابلاغی شیوهٔ اجرای اصلاحات را به‌دقت تعیین می‌کنند.</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bl>
    <w:p>
      <w:pPr>
        <w:bidi/>
        <w:spacing w:before="0" w:after="100" w:line="240" w:lineRule="auto"/>
        <w:ind w:firstLine="360"/>
        <w:jc w:val="both"/>
      </w:pPr>
    </w:p>
    <w:p>
      <w:pPr>
        <w:bidi/>
        <w:spacing w:before="0" w:after="30" w:line="240" w:lineRule="auto"/>
        <w:jc w:val="both"/>
      </w:pPr>
      <w:r>
        <w:rPr>
          <w:rFonts w:ascii="Times New Roman" w:hAnsi="Times New Roman" w:cs="B Nazanin" w:eastAsia="Times New Roman"/>
          <w:b/>
          <w:bCs/>
          <w:sz w:val="24"/>
          <w:szCs w:val="24"/>
          <w:lang w:val="en-US" w:bidi="fa-IR"/>
        </w:rPr>
        <w:t xml:space="preserve">منابع این متغیر</w:t>
      </w:r>
    </w:p>
    <w:p>
      <w:pPr>
        <w:spacing w:before="0" w:after="30" w:line="240" w:lineRule="auto"/>
        <w:jc w:val="left"/>
      </w:pPr>
      <w:r>
        <w:rPr>
          <w:rFonts w:ascii="Times New Roman" w:hAnsi="Times New Roman" w:cs="Times New Roman" w:eastAsia="Times New Roman"/>
          <w:sz w:val="24"/>
          <w:szCs w:val="24"/>
          <w:lang w:val="en-US" w:bidi="fa-IR"/>
        </w:rPr>
        <w:t xml:space="preserve">DiMaggio, P. J., &amp; Powell, W. W. (1983). The iron cage revisited: Institutional isomorphism and collective rationality in organizational fields. American Sociological Review, 48(2), 147–160. https:doi.org/10.2307/2095101</w:t>
      </w:r>
    </w:p>
    <w:p>
      <w:pPr>
        <w:spacing w:before="0" w:after="30" w:line="240" w:lineRule="auto"/>
        <w:jc w:val="left"/>
      </w:pPr>
      <w:r>
        <w:rPr>
          <w:rFonts w:ascii="Times New Roman" w:hAnsi="Times New Roman" w:cs="Times New Roman" w:eastAsia="Times New Roman"/>
          <w:sz w:val="24"/>
          <w:szCs w:val="24"/>
          <w:lang w:val="en-US" w:bidi="fa-IR"/>
        </w:rPr>
        <w:t xml:space="preserve">Teo, H. H., Wei, K. K., &amp; Benbasat, I. (2003). Predicting intention to adopt interorganizational linkages: An institutional perspective. MIS Quarterly, 27(1), 19–49. https:doi.org/10.2307/30036518</w:t>
      </w:r>
    </w:p>
    <w:p>
      <w:pPr>
        <w:spacing w:before="0" w:after="30" w:line="240" w:lineRule="auto"/>
        <w:jc w:val="left"/>
      </w:pPr>
      <w:r>
        <w:rPr>
          <w:rFonts w:ascii="Times New Roman" w:hAnsi="Times New Roman" w:cs="Times New Roman" w:eastAsia="Times New Roman"/>
          <w:sz w:val="24"/>
          <w:szCs w:val="24"/>
          <w:lang w:val="en-US" w:bidi="fa-IR"/>
        </w:rPr>
        <w:t xml:space="preserve">Scott, W. R. (2014). Institutions and organizations: Ideas, interests, and identities (4th ed.). Thousand Oaks, CA: Sage.</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فشار هنجاری (حرفه‌ای) (NOR)</w:t>
      </w:r>
    </w:p>
    <w:p>
      <w:pPr>
        <w:bidi/>
        <w:spacing w:before="0" w:after="50" w:line="240" w:lineRule="auto"/>
        <w:jc w:val="both"/>
      </w:pPr>
      <w:r>
        <w:rPr>
          <w:rFonts w:ascii="Times New Roman" w:hAnsi="Times New Roman" w:cs="B Nazanin" w:eastAsia="Times New Roman"/>
          <w:b/>
          <w:bCs/>
          <w:sz w:val="24"/>
          <w:szCs w:val="24"/>
          <w:lang w:val="en-US" w:bidi="fa-IR"/>
        </w:rPr>
        <w:t xml:space="preserve">منشأ:</w:t>
      </w:r>
      <w:r>
        <w:rPr>
          <w:rFonts w:ascii="Times New Roman" w:hAnsi="Times New Roman" w:cs="B Nazanin" w:eastAsia="Times New Roman"/>
          <w:sz w:val="24"/>
          <w:szCs w:val="24"/>
          <w:lang w:val="en-US" w:bidi="fa-IR"/>
        </w:rPr>
        <w:t xml:space="preserve"> پژوهش‌محور (اقتباس‌شده).  </w:t>
      </w:r>
      <w:r>
        <w:rPr>
          <w:rFonts w:ascii="Times New Roman" w:hAnsi="Times New Roman" w:cs="B Nazanin" w:eastAsia="Times New Roman"/>
          <w:b/>
          <w:bCs/>
          <w:sz w:val="24"/>
          <w:szCs w:val="24"/>
          <w:lang w:val="en-US" w:bidi="fa-IR"/>
        </w:rPr>
        <w:t xml:space="preserve">مقیاس پاسخ:</w:t>
      </w:r>
      <w:r>
        <w:rPr>
          <w:rFonts w:ascii="Times New Roman" w:hAnsi="Times New Roman" w:cs="B Nazanin" w:eastAsia="Times New Roman"/>
          <w:sz w:val="24"/>
          <w:szCs w:val="24"/>
          <w:lang w:val="en-US" w:bidi="fa-IR"/>
        </w:rPr>
        <w:t xml:space="preserve"> لیکرت ۵‌درجه‌ای: ۱ = کاملاً مخالف … ۵ = کاملاً موافق.</w:t>
      </w:r>
    </w:p>
    <w:p>
      <w:pPr>
        <w:bidi/>
        <w:spacing w:before="0" w:after="50" w:line="240" w:lineRule="auto"/>
        <w:jc w:val="both"/>
      </w:pPr>
      <w:r>
        <w:rPr>
          <w:rFonts w:ascii="Times New Roman" w:hAnsi="Times New Roman" w:cs="B Nazanin" w:eastAsia="Times New Roman"/>
          <w:b/>
          <w:bCs/>
          <w:sz w:val="24"/>
          <w:szCs w:val="24"/>
          <w:lang w:val="en-US" w:bidi="fa-IR"/>
        </w:rPr>
        <w:t xml:space="preserve">توضیح:</w:t>
      </w:r>
      <w:r>
        <w:rPr>
          <w:rFonts w:ascii="Times New Roman" w:hAnsi="Times New Roman" w:cs="B Nazanin" w:eastAsia="Times New Roman"/>
          <w:sz w:val="24"/>
          <w:szCs w:val="24"/>
          <w:lang w:val="en-US" w:bidi="fa-IR"/>
        </w:rPr>
        <w:t xml:space="preserve"> اقتباس از همان منابع؛ گویه‌ها بر جامعهٔ حرفه‌ای، آموزش و هنجارهای همکاران تمرکز دارند.</w:t>
      </w:r>
    </w:p>
    <w:p>
      <w:pPr>
        <w:keepNext/>
        <w:bidi/>
        <w:spacing w:before="120" w:after="60" w:line="240" w:lineRule="auto"/>
        <w:jc w:val="center"/>
      </w:pPr>
      <w:r>
        <w:rPr>
          <w:rFonts w:ascii="Times New Roman" w:hAnsi="Times New Roman" w:cs="B Titr" w:eastAsia="Times New Roman"/>
          <w:b/>
          <w:bCs/>
          <w:sz w:val="20"/>
          <w:szCs w:val="20"/>
          <w:lang w:val="en-US" w:bidi="fa-IR"/>
        </w:rPr>
        <w:t xml:space="preserve">جدول ۴. گویه‌های NOR</w:t>
      </w:r>
    </w:p>
    <w:tbl>
      <w:tblPr>
        <w:bidiVisual/>
        <w:tblW w:w="8950" w:type="dxa"/>
        <w:jc w:val="center"/>
        <w:tblLayout w:type="fixed"/>
        <w:tblCellMar>
          <w:left w:w="60" w:type="dxa"/>
          <w:right w:w="60" w:type="dxa"/>
        </w:tblCellMar>
      </w:tblPr>
      <w:tblGrid>
        <w:gridCol w:w="700"/>
        <w:gridCol w:w="6000"/>
        <w:gridCol w:w="450"/>
        <w:gridCol w:w="450"/>
        <w:gridCol w:w="450"/>
        <w:gridCol w:w="450"/>
        <w:gridCol w:w="450"/>
      </w:tblGrid>
      <w:tr>
        <w:trPr>
          <w:tblHeader/>
        </w:trPr>
        <w:tc>
          <w:tcPr>
            <w:tcW w:w="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کد</w:t>
            </w:r>
          </w:p>
        </w:tc>
        <w:tc>
          <w:tcPr>
            <w:tcW w:w="60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گویه</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۱</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۲</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۳</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۴</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۵</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NOR۱</w:t>
            </w:r>
          </w:p>
        </w:tc>
        <w:tc>
          <w:tcPr>
            <w:tcW w:w="6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جامعهٔ حرفه‌ای حسابداری و حسابرسی دولتی، اجرای مبنای تعهدی را یک هنجار حرفه‌ای می‌داند.</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NOR۲</w:t>
            </w:r>
          </w:p>
        </w:tc>
        <w:tc>
          <w:tcPr>
            <w:tcW w:w="6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دوره‌های آموزشی و گردهمایی‌های حرفه‌ای، اجرای این اصلاحات را ترویج می‌کنند.</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NOR۳</w:t>
            </w:r>
          </w:p>
        </w:tc>
        <w:tc>
          <w:tcPr>
            <w:tcW w:w="6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همکاران و ذی‌حسابان باتجربه، اجرای دقیق این اصلاحات را یک ارزش حرفه‌ای می‌دانند.</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r>
        <w:trPr>
          <w:cantSplit/>
        </w:trPr>
        <w:tc>
          <w:tcPr>
            <w:tcW w:w="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NOR۴</w:t>
            </w:r>
          </w:p>
        </w:tc>
        <w:tc>
          <w:tcPr>
            <w:tcW w:w="60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در مجامع علمی و حرفه‌ای، پیروی از استانداردهای حسابداری بخش عمومی امری مطلوب شمرده می‌شود.</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bl>
    <w:p>
      <w:pPr>
        <w:bidi/>
        <w:spacing w:before="0" w:after="100" w:line="240" w:lineRule="auto"/>
        <w:ind w:firstLine="360"/>
        <w:jc w:val="both"/>
      </w:pPr>
    </w:p>
    <w:p>
      <w:pPr>
        <w:bidi/>
        <w:spacing w:before="0" w:after="30" w:line="240" w:lineRule="auto"/>
        <w:jc w:val="both"/>
      </w:pPr>
      <w:r>
        <w:rPr>
          <w:rFonts w:ascii="Times New Roman" w:hAnsi="Times New Roman" w:cs="B Nazanin" w:eastAsia="Times New Roman"/>
          <w:b/>
          <w:bCs/>
          <w:sz w:val="24"/>
          <w:szCs w:val="24"/>
          <w:lang w:val="en-US" w:bidi="fa-IR"/>
        </w:rPr>
        <w:t xml:space="preserve">منابع این متغیر</w:t>
      </w:r>
    </w:p>
    <w:p>
      <w:pPr>
        <w:spacing w:before="0" w:after="30" w:line="240" w:lineRule="auto"/>
        <w:jc w:val="left"/>
      </w:pPr>
      <w:r>
        <w:rPr>
          <w:rFonts w:ascii="Times New Roman" w:hAnsi="Times New Roman" w:cs="Times New Roman" w:eastAsia="Times New Roman"/>
          <w:sz w:val="24"/>
          <w:szCs w:val="24"/>
          <w:lang w:val="en-US" w:bidi="fa-IR"/>
        </w:rPr>
        <w:t xml:space="preserve">DiMaggio, P. J., &amp; Powell, W. W. (1983). The iron cage revisited: Institutional isomorphism and collective rationality in organizational fields. American Sociological Review, 48(2), 147–160. https:doi.org/10.2307/2095101</w:t>
      </w:r>
    </w:p>
    <w:p>
      <w:pPr>
        <w:spacing w:before="0" w:after="30" w:line="240" w:lineRule="auto"/>
        <w:jc w:val="left"/>
      </w:pPr>
      <w:r>
        <w:rPr>
          <w:rFonts w:ascii="Times New Roman" w:hAnsi="Times New Roman" w:cs="Times New Roman" w:eastAsia="Times New Roman"/>
          <w:sz w:val="24"/>
          <w:szCs w:val="24"/>
          <w:lang w:val="en-US" w:bidi="fa-IR"/>
        </w:rPr>
        <w:t xml:space="preserve">Teo, H. H., Wei, K. K., &amp; Benbasat, I. (2003). Predicting intention to adopt interorganizational linkages: An institutional perspective. MIS Quarterly, 27(1), 19–49. https:doi.org/10.2307/30036518</w:t>
      </w:r>
    </w:p>
    <w:p>
      <w:pPr>
        <w:spacing w:before="0" w:after="30" w:line="240" w:lineRule="auto"/>
        <w:jc w:val="left"/>
      </w:pPr>
      <w:r>
        <w:rPr>
          <w:rFonts w:ascii="Times New Roman" w:hAnsi="Times New Roman" w:cs="Times New Roman" w:eastAsia="Times New Roman"/>
          <w:sz w:val="24"/>
          <w:szCs w:val="24"/>
          <w:lang w:val="en-US" w:bidi="fa-IR"/>
        </w:rPr>
        <w:t xml:space="preserve">Scott, W. R. (2014). Institutions and organizations: Ideas, interests, and identities (4th ed.). Thousand Oaks, CA: Sage.</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فشار تقلیدی (الگوبرداری) (MIM)</w:t>
      </w:r>
    </w:p>
    <w:p>
      <w:pPr>
        <w:bidi/>
        <w:spacing w:before="0" w:after="50" w:line="240" w:lineRule="auto"/>
        <w:jc w:val="both"/>
      </w:pPr>
      <w:r>
        <w:rPr>
          <w:rFonts w:ascii="Times New Roman" w:hAnsi="Times New Roman" w:cs="B Nazanin" w:eastAsia="Times New Roman"/>
          <w:b/>
          <w:bCs/>
          <w:sz w:val="24"/>
          <w:szCs w:val="24"/>
          <w:lang w:val="en-US" w:bidi="fa-IR"/>
        </w:rPr>
        <w:t xml:space="preserve">منشأ:</w:t>
      </w:r>
      <w:r>
        <w:rPr>
          <w:rFonts w:ascii="Times New Roman" w:hAnsi="Times New Roman" w:cs="B Nazanin" w:eastAsia="Times New Roman"/>
          <w:sz w:val="24"/>
          <w:szCs w:val="24"/>
          <w:lang w:val="en-US" w:bidi="fa-IR"/>
        </w:rPr>
        <w:t xml:space="preserve"> پژوهش‌محور (اقتباس‌شده).  </w:t>
      </w:r>
      <w:r>
        <w:rPr>
          <w:rFonts w:ascii="Times New Roman" w:hAnsi="Times New Roman" w:cs="B Nazanin" w:eastAsia="Times New Roman"/>
          <w:b/>
          <w:bCs/>
          <w:sz w:val="24"/>
          <w:szCs w:val="24"/>
          <w:lang w:val="en-US" w:bidi="fa-IR"/>
        </w:rPr>
        <w:t xml:space="preserve">مقیاس پاسخ:</w:t>
      </w:r>
      <w:r>
        <w:rPr>
          <w:rFonts w:ascii="Times New Roman" w:hAnsi="Times New Roman" w:cs="B Nazanin" w:eastAsia="Times New Roman"/>
          <w:sz w:val="24"/>
          <w:szCs w:val="24"/>
          <w:lang w:val="en-US" w:bidi="fa-IR"/>
        </w:rPr>
        <w:t xml:space="preserve"> لیکرت ۵‌درجه‌ای: ۱ = کاملاً مخالف … ۵ = کاملاً موافق.</w:t>
      </w:r>
    </w:p>
    <w:p>
      <w:pPr>
        <w:bidi/>
        <w:spacing w:before="0" w:after="50" w:line="240" w:lineRule="auto"/>
        <w:jc w:val="both"/>
      </w:pPr>
      <w:r>
        <w:rPr>
          <w:rFonts w:ascii="Times New Roman" w:hAnsi="Times New Roman" w:cs="B Nazanin" w:eastAsia="Times New Roman"/>
          <w:b/>
          <w:bCs/>
          <w:sz w:val="24"/>
          <w:szCs w:val="24"/>
          <w:lang w:val="en-US" w:bidi="fa-IR"/>
        </w:rPr>
        <w:t xml:space="preserve">توضیح:</w:t>
      </w:r>
      <w:r>
        <w:rPr>
          <w:rFonts w:ascii="Times New Roman" w:hAnsi="Times New Roman" w:cs="B Nazanin" w:eastAsia="Times New Roman"/>
          <w:sz w:val="24"/>
          <w:szCs w:val="24"/>
          <w:lang w:val="en-US" w:bidi="fa-IR"/>
        </w:rPr>
        <w:t xml:space="preserve"> اقتباس از همان منابع با بازنویسی برای الگوبرداری از دستگاه‌های همتا و قالب‌های آمادهٔ مشاوران/نرم‌افزارها.</w:t>
      </w:r>
    </w:p>
    <w:p>
      <w:pPr>
        <w:keepNext/>
        <w:bidi/>
        <w:spacing w:before="120" w:after="60" w:line="240" w:lineRule="auto"/>
        <w:jc w:val="center"/>
      </w:pPr>
      <w:r>
        <w:rPr>
          <w:rFonts w:ascii="Times New Roman" w:hAnsi="Times New Roman" w:cs="B Titr" w:eastAsia="Times New Roman"/>
          <w:b/>
          <w:bCs/>
          <w:sz w:val="20"/>
          <w:szCs w:val="20"/>
          <w:lang w:val="en-US" w:bidi="fa-IR"/>
        </w:rPr>
        <w:t xml:space="preserve">جدول ۵. گویه‌های MIM</w:t>
      </w:r>
    </w:p>
    <w:tbl>
      <w:tblPr>
        <w:bidiVisual/>
        <w:tblW w:w="8950" w:type="dxa"/>
        <w:jc w:val="center"/>
        <w:tblLayout w:type="fixed"/>
        <w:tblCellMar>
          <w:left w:w="60" w:type="dxa"/>
          <w:right w:w="60" w:type="dxa"/>
        </w:tblCellMar>
      </w:tblPr>
      <w:tblGrid>
        <w:gridCol w:w="700"/>
        <w:gridCol w:w="6000"/>
        <w:gridCol w:w="450"/>
        <w:gridCol w:w="450"/>
        <w:gridCol w:w="450"/>
        <w:gridCol w:w="450"/>
        <w:gridCol w:w="450"/>
      </w:tblGrid>
      <w:tr>
        <w:trPr>
          <w:tblHeader/>
        </w:trPr>
        <w:tc>
          <w:tcPr>
            <w:tcW w:w="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کد</w:t>
            </w:r>
          </w:p>
        </w:tc>
        <w:tc>
          <w:tcPr>
            <w:tcW w:w="60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گویه</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۱</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۲</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۳</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۴</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۵</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MIM۱</w:t>
            </w:r>
          </w:p>
        </w:tc>
        <w:tc>
          <w:tcPr>
            <w:tcW w:w="6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دستگاه‌های مشابهِ موفق این اصلاحات را اجرا کرده‌اند و ما از الگوی آنان پیروی می‌کنیم.</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MIM۲</w:t>
            </w:r>
          </w:p>
        </w:tc>
        <w:tc>
          <w:tcPr>
            <w:tcW w:w="6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هرگاه دربارهٔ شیوهٔ اجرا ابهام داشته باشیم، روش دستگاه‌های همتا را الگو قرار می‌دهیم.</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MIM۳</w:t>
            </w:r>
          </w:p>
        </w:tc>
        <w:tc>
          <w:tcPr>
            <w:tcW w:w="6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بیشتر از قالب‌ها و گزارش‌های آمادهٔ مشاوران یا نرم‌افزارهای رایج استفاده می‌کنیم.</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r>
        <w:trPr>
          <w:cantSplit/>
        </w:trPr>
        <w:tc>
          <w:tcPr>
            <w:tcW w:w="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MIM۴</w:t>
            </w:r>
          </w:p>
        </w:tc>
        <w:tc>
          <w:tcPr>
            <w:tcW w:w="60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نگرانیم اگر مانند سایر دستگاه‌ها عمل نکنیم، عقب‌مانده تلقی شویم.</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bl>
    <w:p>
      <w:pPr>
        <w:bidi/>
        <w:spacing w:before="0" w:after="100" w:line="240" w:lineRule="auto"/>
        <w:ind w:firstLine="360"/>
        <w:jc w:val="both"/>
      </w:pPr>
    </w:p>
    <w:p>
      <w:pPr>
        <w:bidi/>
        <w:spacing w:before="0" w:after="30" w:line="240" w:lineRule="auto"/>
        <w:jc w:val="both"/>
      </w:pPr>
      <w:r>
        <w:rPr>
          <w:rFonts w:ascii="Times New Roman" w:hAnsi="Times New Roman" w:cs="B Nazanin" w:eastAsia="Times New Roman"/>
          <w:b/>
          <w:bCs/>
          <w:sz w:val="24"/>
          <w:szCs w:val="24"/>
          <w:lang w:val="en-US" w:bidi="fa-IR"/>
        </w:rPr>
        <w:t xml:space="preserve">منابع این متغیر</w:t>
      </w:r>
    </w:p>
    <w:p>
      <w:pPr>
        <w:spacing w:before="0" w:after="30" w:line="240" w:lineRule="auto"/>
        <w:jc w:val="left"/>
      </w:pPr>
      <w:r>
        <w:rPr>
          <w:rFonts w:ascii="Times New Roman" w:hAnsi="Times New Roman" w:cs="Times New Roman" w:eastAsia="Times New Roman"/>
          <w:sz w:val="24"/>
          <w:szCs w:val="24"/>
          <w:lang w:val="en-US" w:bidi="fa-IR"/>
        </w:rPr>
        <w:t xml:space="preserve">DiMaggio, P. J., &amp; Powell, W. W. (1983). The iron cage revisited: Institutional isomorphism and collective rationality in organizational fields. American Sociological Review, 48(2), 147–160. https:doi.org/10.2307/2095101</w:t>
      </w:r>
    </w:p>
    <w:p>
      <w:pPr>
        <w:spacing w:before="0" w:after="30" w:line="240" w:lineRule="auto"/>
        <w:jc w:val="left"/>
      </w:pPr>
      <w:r>
        <w:rPr>
          <w:rFonts w:ascii="Times New Roman" w:hAnsi="Times New Roman" w:cs="Times New Roman" w:eastAsia="Times New Roman"/>
          <w:sz w:val="24"/>
          <w:szCs w:val="24"/>
          <w:lang w:val="en-US" w:bidi="fa-IR"/>
        </w:rPr>
        <w:t xml:space="preserve">Teo, H. H., Wei, K. K., &amp; Benbasat, I. (2003). Predicting intention to adopt interorganizational linkages: An institutional perspective. MIS Quarterly, 27(1), 19–49. https:doi.org/10.2307/30036518</w:t>
      </w:r>
    </w:p>
    <w:p>
      <w:pPr>
        <w:spacing w:before="0" w:after="30" w:line="240" w:lineRule="auto"/>
        <w:jc w:val="left"/>
      </w:pPr>
      <w:r>
        <w:rPr>
          <w:rFonts w:ascii="Times New Roman" w:hAnsi="Times New Roman" w:cs="Times New Roman" w:eastAsia="Times New Roman"/>
          <w:sz w:val="24"/>
          <w:szCs w:val="24"/>
          <w:lang w:val="en-US" w:bidi="fa-IR"/>
        </w:rPr>
        <w:t xml:space="preserve">Oliver, C. (1991). Strategic responses to institutional processes. Academy of Management Review, 16(1), 145–179. https:doi.org/10.5465/amr.1991.4279002</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اجرای ماهوی اصلاحات (SUB)</w:t>
      </w:r>
    </w:p>
    <w:p>
      <w:pPr>
        <w:bidi/>
        <w:spacing w:before="0" w:after="50" w:line="240" w:lineRule="auto"/>
        <w:jc w:val="both"/>
      </w:pPr>
      <w:r>
        <w:rPr>
          <w:rFonts w:ascii="Times New Roman" w:hAnsi="Times New Roman" w:cs="B Nazanin" w:eastAsia="Times New Roman"/>
          <w:b/>
          <w:bCs/>
          <w:sz w:val="24"/>
          <w:szCs w:val="24"/>
          <w:lang w:val="en-US" w:bidi="fa-IR"/>
        </w:rPr>
        <w:t xml:space="preserve">منشأ:</w:t>
      </w:r>
      <w:r>
        <w:rPr>
          <w:rFonts w:ascii="Times New Roman" w:hAnsi="Times New Roman" w:cs="B Nazanin" w:eastAsia="Times New Roman"/>
          <w:sz w:val="24"/>
          <w:szCs w:val="24"/>
          <w:lang w:val="en-US" w:bidi="fa-IR"/>
        </w:rPr>
        <w:t xml:space="preserve"> محقق‌ساخته (برگرفته از نظریه).  </w:t>
      </w:r>
      <w:r>
        <w:rPr>
          <w:rFonts w:ascii="Times New Roman" w:hAnsi="Times New Roman" w:cs="B Nazanin" w:eastAsia="Times New Roman"/>
          <w:b/>
          <w:bCs/>
          <w:sz w:val="24"/>
          <w:szCs w:val="24"/>
          <w:lang w:val="en-US" w:bidi="fa-IR"/>
        </w:rPr>
        <w:t xml:space="preserve">مقیاس پاسخ:</w:t>
      </w:r>
      <w:r>
        <w:rPr>
          <w:rFonts w:ascii="Times New Roman" w:hAnsi="Times New Roman" w:cs="B Nazanin" w:eastAsia="Times New Roman"/>
          <w:sz w:val="24"/>
          <w:szCs w:val="24"/>
          <w:lang w:val="en-US" w:bidi="fa-IR"/>
        </w:rPr>
        <w:t xml:space="preserve"> لیکرت ۵‌درجه‌ای: ۱ = کاملاً مخالف … ۵ = کاملاً موافق.</w:t>
      </w:r>
    </w:p>
    <w:p>
      <w:pPr>
        <w:bidi/>
        <w:spacing w:before="0" w:after="50" w:line="240" w:lineRule="auto"/>
        <w:jc w:val="both"/>
      </w:pPr>
      <w:r>
        <w:rPr>
          <w:rFonts w:ascii="Times New Roman" w:hAnsi="Times New Roman" w:cs="B Nazanin" w:eastAsia="Times New Roman"/>
          <w:b/>
          <w:bCs/>
          <w:sz w:val="24"/>
          <w:szCs w:val="24"/>
          <w:lang w:val="en-US" w:bidi="fa-IR"/>
        </w:rPr>
        <w:t xml:space="preserve">توضیح:</w:t>
      </w:r>
      <w:r>
        <w:rPr>
          <w:rFonts w:ascii="Times New Roman" w:hAnsi="Times New Roman" w:cs="B Nazanin" w:eastAsia="Times New Roman"/>
          <w:sz w:val="24"/>
          <w:szCs w:val="24"/>
          <w:lang w:val="en-US" w:bidi="fa-IR"/>
        </w:rPr>
        <w:t xml:space="preserve"> مقیاس پیش‌تر منتشرشده‌ای که هم بودجه‌ریزی عملیاتی و هم گزارشگری تعهدی را به‌صورت «به‌کارگیری در تصمیم‌گیری» بسنجد یافت نشد؛ گویه‌ها بر پایهٔ ادبیات اصلاحات بخش عمومی نوشته شده‌اند.</w:t>
      </w:r>
    </w:p>
    <w:p>
      <w:pPr>
        <w:keepNext/>
        <w:bidi/>
        <w:spacing w:before="120" w:after="60" w:line="240" w:lineRule="auto"/>
        <w:jc w:val="center"/>
      </w:pPr>
      <w:r>
        <w:rPr>
          <w:rFonts w:ascii="Times New Roman" w:hAnsi="Times New Roman" w:cs="B Titr" w:eastAsia="Times New Roman"/>
          <w:b/>
          <w:bCs/>
          <w:sz w:val="20"/>
          <w:szCs w:val="20"/>
          <w:lang w:val="en-US" w:bidi="fa-IR"/>
        </w:rPr>
        <w:t xml:space="preserve">جدول ۶. گویه‌های SUB</w:t>
      </w:r>
    </w:p>
    <w:tbl>
      <w:tblPr>
        <w:bidiVisual/>
        <w:tblW w:w="8950" w:type="dxa"/>
        <w:jc w:val="center"/>
        <w:tblLayout w:type="fixed"/>
        <w:tblCellMar>
          <w:left w:w="60" w:type="dxa"/>
          <w:right w:w="60" w:type="dxa"/>
        </w:tblCellMar>
      </w:tblPr>
      <w:tblGrid>
        <w:gridCol w:w="700"/>
        <w:gridCol w:w="6000"/>
        <w:gridCol w:w="450"/>
        <w:gridCol w:w="450"/>
        <w:gridCol w:w="450"/>
        <w:gridCol w:w="450"/>
        <w:gridCol w:w="450"/>
      </w:tblGrid>
      <w:tr>
        <w:trPr>
          <w:tblHeader/>
        </w:trPr>
        <w:tc>
          <w:tcPr>
            <w:tcW w:w="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کد</w:t>
            </w:r>
          </w:p>
        </w:tc>
        <w:tc>
          <w:tcPr>
            <w:tcW w:w="60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گویه</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۱</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۲</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۳</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۴</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۵</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SUB۱</w:t>
            </w:r>
          </w:p>
        </w:tc>
        <w:tc>
          <w:tcPr>
            <w:tcW w:w="6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ارقام بودجه‌ای دستگاه بر پایهٔ برنامه‌ها و شاخص‌های عملکردی تدوین می‌شود.</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SUB۲</w:t>
            </w:r>
          </w:p>
        </w:tc>
        <w:tc>
          <w:tcPr>
            <w:tcW w:w="6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دستگاه بهای تمام‌شدهٔ فعالیت‌ها و خدمات را محاسبه می‌کند.</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SUB۳</w:t>
            </w:r>
          </w:p>
        </w:tc>
        <w:tc>
          <w:tcPr>
            <w:tcW w:w="6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صورت‌های مالی تعهدی به‌طور منظم و با فرایند کنترلی مشخص تهیه می‌شود.</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SUB۴</w:t>
            </w:r>
          </w:p>
        </w:tc>
        <w:tc>
          <w:tcPr>
            <w:tcW w:w="6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گزارش‌های مالی و عملکردی در جلسات مدیریتی بررسی می‌شود و اقدام اصلاحی بر پایهٔ آن‌ها انجام می‌گیرد.</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r>
        <w:trPr>
          <w:cantSplit/>
        </w:trPr>
        <w:tc>
          <w:tcPr>
            <w:tcW w:w="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SUB۵</w:t>
            </w:r>
          </w:p>
        </w:tc>
        <w:tc>
          <w:tcPr>
            <w:tcW w:w="60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کارکنان مالی و مدیران برنامه مفاهیم این اصلاحات را درک می‌کنند و در کار روزمره به‌کار می‌گیرند.</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bl>
    <w:p>
      <w:pPr>
        <w:bidi/>
        <w:spacing w:before="0" w:after="100" w:line="240" w:lineRule="auto"/>
        <w:ind w:firstLine="360"/>
        <w:jc w:val="both"/>
      </w:pPr>
    </w:p>
    <w:p>
      <w:pPr>
        <w:bidi/>
        <w:spacing w:before="0" w:after="30" w:line="240" w:lineRule="auto"/>
        <w:jc w:val="both"/>
      </w:pPr>
      <w:r>
        <w:rPr>
          <w:rFonts w:ascii="Times New Roman" w:hAnsi="Times New Roman" w:cs="B Nazanin" w:eastAsia="Times New Roman"/>
          <w:b/>
          <w:bCs/>
          <w:sz w:val="24"/>
          <w:szCs w:val="24"/>
          <w:lang w:val="en-US" w:bidi="fa-IR"/>
        </w:rPr>
        <w:t xml:space="preserve">منابع این متغیر</w:t>
      </w:r>
    </w:p>
    <w:p>
      <w:pPr>
        <w:spacing w:before="0" w:after="30" w:line="240" w:lineRule="auto"/>
        <w:jc w:val="left"/>
      </w:pPr>
      <w:r>
        <w:rPr>
          <w:rFonts w:ascii="Times New Roman" w:hAnsi="Times New Roman" w:cs="Times New Roman" w:eastAsia="Times New Roman"/>
          <w:sz w:val="24"/>
          <w:szCs w:val="24"/>
          <w:lang w:val="en-US" w:bidi="fa-IR"/>
        </w:rPr>
        <w:t xml:space="preserve">Pollitt, C., &amp; Bouckaert, G. (2017). Public management reform: A comparative analysis – into the age of austerity (4th ed.). Oxford, UK: Oxford University Press.</w:t>
      </w:r>
    </w:p>
    <w:p>
      <w:pPr>
        <w:spacing w:before="0" w:after="30" w:line="240" w:lineRule="auto"/>
        <w:jc w:val="left"/>
      </w:pPr>
      <w:r>
        <w:rPr>
          <w:rFonts w:ascii="Times New Roman" w:hAnsi="Times New Roman" w:cs="Times New Roman" w:eastAsia="Times New Roman"/>
          <w:sz w:val="24"/>
          <w:szCs w:val="24"/>
          <w:lang w:val="en-US" w:bidi="fa-IR"/>
        </w:rPr>
        <w:t xml:space="preserve">Moynihan, D. P. (2008). The dynamics of performance management: Constructing information and reform. Washington, DC: Georgetown University Press.</w:t>
      </w:r>
    </w:p>
    <w:p>
      <w:pPr>
        <w:spacing w:before="0" w:after="30" w:line="240" w:lineRule="auto"/>
        <w:jc w:val="left"/>
      </w:pPr>
      <w:r>
        <w:rPr>
          <w:rFonts w:ascii="Times New Roman" w:hAnsi="Times New Roman" w:cs="Times New Roman" w:eastAsia="Times New Roman"/>
          <w:sz w:val="24"/>
          <w:szCs w:val="24"/>
          <w:lang w:val="en-US" w:bidi="fa-IR"/>
        </w:rPr>
        <w:t xml:space="preserve">Christiaens, J., Vanhee, C., Manes-Rossi, F., Aversano, N., &amp; Van Cauwenberge, P. (2015). The effect of IPSAS on reforming governmental financial reporting: An international comparison. International Review of Administrative Sciences, 81(1), 158–177. https:doi.org/10.1177/0020852314546580</w:t>
      </w:r>
    </w:p>
    <w:p>
      <w:pPr>
        <w:spacing w:before="0" w:after="30" w:line="240" w:lineRule="auto"/>
        <w:jc w:val="left"/>
      </w:pPr>
      <w:r>
        <w:rPr>
          <w:rFonts w:ascii="Times New Roman" w:hAnsi="Times New Roman" w:cs="Times New Roman" w:eastAsia="Times New Roman"/>
          <w:sz w:val="24"/>
          <w:szCs w:val="24"/>
          <w:lang w:val="en-US" w:bidi="fa-IR"/>
        </w:rPr>
        <w:t xml:space="preserve">Pina, V., Torres, L., &amp; Yetano, A. (2009). Accrual accounting in EU local governments: One method, several approaches. European Accounting Review, 18(4), 765–807. https:doi.org/10.1080/09638180902863792</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انطباق نمادین (تشریفاتی) (SYM)</w:t>
      </w:r>
    </w:p>
    <w:p>
      <w:pPr>
        <w:bidi/>
        <w:spacing w:before="0" w:after="50" w:line="240" w:lineRule="auto"/>
        <w:jc w:val="both"/>
      </w:pPr>
      <w:r>
        <w:rPr>
          <w:rFonts w:ascii="Times New Roman" w:hAnsi="Times New Roman" w:cs="B Nazanin" w:eastAsia="Times New Roman"/>
          <w:b/>
          <w:bCs/>
          <w:sz w:val="24"/>
          <w:szCs w:val="24"/>
          <w:lang w:val="en-US" w:bidi="fa-IR"/>
        </w:rPr>
        <w:t xml:space="preserve">منشأ:</w:t>
      </w:r>
      <w:r>
        <w:rPr>
          <w:rFonts w:ascii="Times New Roman" w:hAnsi="Times New Roman" w:cs="B Nazanin" w:eastAsia="Times New Roman"/>
          <w:sz w:val="24"/>
          <w:szCs w:val="24"/>
          <w:lang w:val="en-US" w:bidi="fa-IR"/>
        </w:rPr>
        <w:t xml:space="preserve"> محقق‌ساخته (برگرفته از نظریه).  </w:t>
      </w:r>
      <w:r>
        <w:rPr>
          <w:rFonts w:ascii="Times New Roman" w:hAnsi="Times New Roman" w:cs="B Nazanin" w:eastAsia="Times New Roman"/>
          <w:b/>
          <w:bCs/>
          <w:sz w:val="24"/>
          <w:szCs w:val="24"/>
          <w:lang w:val="en-US" w:bidi="fa-IR"/>
        </w:rPr>
        <w:t xml:space="preserve">مقیاس پاسخ:</w:t>
      </w:r>
      <w:r>
        <w:rPr>
          <w:rFonts w:ascii="Times New Roman" w:hAnsi="Times New Roman" w:cs="B Nazanin" w:eastAsia="Times New Roman"/>
          <w:sz w:val="24"/>
          <w:szCs w:val="24"/>
          <w:lang w:val="en-US" w:bidi="fa-IR"/>
        </w:rPr>
        <w:t xml:space="preserve"> لیکرت ۵‌درجه‌ای: ۱ = کاملاً مخالف … ۵ = کاملاً موافق.</w:t>
      </w:r>
    </w:p>
    <w:p>
      <w:pPr>
        <w:bidi/>
        <w:spacing w:before="0" w:after="50" w:line="240" w:lineRule="auto"/>
        <w:jc w:val="both"/>
      </w:pPr>
      <w:r>
        <w:rPr>
          <w:rFonts w:ascii="Times New Roman" w:hAnsi="Times New Roman" w:cs="B Nazanin" w:eastAsia="Times New Roman"/>
          <w:b/>
          <w:bCs/>
          <w:sz w:val="24"/>
          <w:szCs w:val="24"/>
          <w:lang w:val="en-US" w:bidi="fa-IR"/>
        </w:rPr>
        <w:t xml:space="preserve">توضیح:</w:t>
      </w:r>
      <w:r>
        <w:rPr>
          <w:rFonts w:ascii="Times New Roman" w:hAnsi="Times New Roman" w:cs="B Nazanin" w:eastAsia="Times New Roman"/>
          <w:sz w:val="24"/>
          <w:szCs w:val="24"/>
          <w:lang w:val="en-US" w:bidi="fa-IR"/>
        </w:rPr>
        <w:t xml:space="preserve"> سازه از نظریهٔ جدایی (decoupling) و پذیرش تشریفاتی برگرفته است؛ گویه‌ها توسط پژوهشگر نوشته شده و نیازمند اعتبارسنجی‌اند.</w:t>
      </w:r>
    </w:p>
    <w:p>
      <w:pPr>
        <w:keepNext/>
        <w:bidi/>
        <w:spacing w:before="120" w:after="60" w:line="240" w:lineRule="auto"/>
        <w:jc w:val="center"/>
      </w:pPr>
      <w:r>
        <w:rPr>
          <w:rFonts w:ascii="Times New Roman" w:hAnsi="Times New Roman" w:cs="B Titr" w:eastAsia="Times New Roman"/>
          <w:b/>
          <w:bCs/>
          <w:sz w:val="20"/>
          <w:szCs w:val="20"/>
          <w:lang w:val="en-US" w:bidi="fa-IR"/>
        </w:rPr>
        <w:t xml:space="preserve">جدول ۷. گویه‌های SYM</w:t>
      </w:r>
    </w:p>
    <w:tbl>
      <w:tblPr>
        <w:bidiVisual/>
        <w:tblW w:w="8950" w:type="dxa"/>
        <w:jc w:val="center"/>
        <w:tblLayout w:type="fixed"/>
        <w:tblCellMar>
          <w:left w:w="60" w:type="dxa"/>
          <w:right w:w="60" w:type="dxa"/>
        </w:tblCellMar>
      </w:tblPr>
      <w:tblGrid>
        <w:gridCol w:w="700"/>
        <w:gridCol w:w="6000"/>
        <w:gridCol w:w="450"/>
        <w:gridCol w:w="450"/>
        <w:gridCol w:w="450"/>
        <w:gridCol w:w="450"/>
        <w:gridCol w:w="450"/>
      </w:tblGrid>
      <w:tr>
        <w:trPr>
          <w:tblHeader/>
        </w:trPr>
        <w:tc>
          <w:tcPr>
            <w:tcW w:w="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کد</w:t>
            </w:r>
          </w:p>
        </w:tc>
        <w:tc>
          <w:tcPr>
            <w:tcW w:w="60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گویه</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۱</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۲</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۳</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۴</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۵</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SYM۱</w:t>
            </w:r>
          </w:p>
        </w:tc>
        <w:tc>
          <w:tcPr>
            <w:tcW w:w="6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بیشتر گزارش‌های بودجهٔ عملیاتی صرفاً برای ارسال به مراجع فرادست تهیه می‌شود.</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SYM۲</w:t>
            </w:r>
          </w:p>
        </w:tc>
        <w:tc>
          <w:tcPr>
            <w:tcW w:w="6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شاخص‌های عملکردی به‌گونه‌ای تعیین می‌شوند که به‌آسانی محقق شوند.</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SYM۳</w:t>
            </w:r>
          </w:p>
        </w:tc>
        <w:tc>
          <w:tcPr>
            <w:tcW w:w="6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اجرای رسمی این اصلاحات در عمل بر نحوهٔ تخصیص و مصرف منابع تأثیری ندارد.</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r>
        <w:trPr>
          <w:cantSplit/>
        </w:trPr>
        <w:tc>
          <w:tcPr>
            <w:tcW w:w="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SYM۴</w:t>
            </w:r>
          </w:p>
        </w:tc>
        <w:tc>
          <w:tcPr>
            <w:tcW w:w="60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اطلاعات تعهدی بیشتر برای تکمیل فرم‌ها و رعایت الزامات تنظیم می‌شود تا برای مدیریت.</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bl>
    <w:p>
      <w:pPr>
        <w:bidi/>
        <w:spacing w:before="0" w:after="100" w:line="240" w:lineRule="auto"/>
        <w:ind w:firstLine="360"/>
        <w:jc w:val="both"/>
      </w:pPr>
    </w:p>
    <w:p>
      <w:pPr>
        <w:bidi/>
        <w:spacing w:before="0" w:after="30" w:line="240" w:lineRule="auto"/>
        <w:jc w:val="both"/>
      </w:pPr>
      <w:r>
        <w:rPr>
          <w:rFonts w:ascii="Times New Roman" w:hAnsi="Times New Roman" w:cs="B Nazanin" w:eastAsia="Times New Roman"/>
          <w:b/>
          <w:bCs/>
          <w:sz w:val="24"/>
          <w:szCs w:val="24"/>
          <w:lang w:val="en-US" w:bidi="fa-IR"/>
        </w:rPr>
        <w:t xml:space="preserve">منابع این متغیر</w:t>
      </w:r>
    </w:p>
    <w:p>
      <w:pPr>
        <w:spacing w:before="0" w:after="30" w:line="240" w:lineRule="auto"/>
        <w:jc w:val="left"/>
      </w:pPr>
      <w:r>
        <w:rPr>
          <w:rFonts w:ascii="Times New Roman" w:hAnsi="Times New Roman" w:cs="Times New Roman" w:eastAsia="Times New Roman"/>
          <w:sz w:val="24"/>
          <w:szCs w:val="24"/>
          <w:lang w:val="en-US" w:bidi="fa-IR"/>
        </w:rPr>
        <w:t xml:space="preserve">Meyer, J. W., &amp; Rowan, B. (1977). Institutionalized organizations: Formal structure as myth and ceremony. American Journal of Sociology, 83(2), 340–363. https:doi.org/10.1086/226550</w:t>
      </w:r>
    </w:p>
    <w:p>
      <w:pPr>
        <w:spacing w:before="0" w:after="30" w:line="240" w:lineRule="auto"/>
        <w:jc w:val="left"/>
      </w:pPr>
      <w:r>
        <w:rPr>
          <w:rFonts w:ascii="Times New Roman" w:hAnsi="Times New Roman" w:cs="Times New Roman" w:eastAsia="Times New Roman"/>
          <w:sz w:val="24"/>
          <w:szCs w:val="24"/>
          <w:lang w:val="en-US" w:bidi="fa-IR"/>
        </w:rPr>
        <w:t xml:space="preserve">Bromley, P., &amp; Powell, W. W. (2012). From smoke and mirrors to walking the talk: Decoupling in the contemporary world. Academy of Management Annals, 6(1), 483–530. https:doi.org/10.5465/19416520.2012.684462</w:t>
      </w:r>
    </w:p>
    <w:p>
      <w:pPr>
        <w:spacing w:before="0" w:after="30" w:line="240" w:lineRule="auto"/>
        <w:jc w:val="left"/>
      </w:pPr>
      <w:r>
        <w:rPr>
          <w:rFonts w:ascii="Times New Roman" w:hAnsi="Times New Roman" w:cs="Times New Roman" w:eastAsia="Times New Roman"/>
          <w:sz w:val="24"/>
          <w:szCs w:val="24"/>
          <w:lang w:val="en-US" w:bidi="fa-IR"/>
        </w:rPr>
        <w:t xml:space="preserve">Oliver, C. (1991). Strategic responses to institutional processes. Academy of Management Review, 16(1), 145–179. https:doi.org/10.5465/amr.1991.4279002</w:t>
      </w:r>
    </w:p>
    <w:p>
      <w:pPr>
        <w:spacing w:before="0" w:after="30" w:line="240" w:lineRule="auto"/>
        <w:jc w:val="left"/>
      </w:pPr>
      <w:r>
        <w:rPr>
          <w:rFonts w:ascii="Times New Roman" w:hAnsi="Times New Roman" w:cs="Times New Roman" w:eastAsia="Times New Roman"/>
          <w:sz w:val="24"/>
          <w:szCs w:val="24"/>
          <w:lang w:val="en-US" w:bidi="fa-IR"/>
        </w:rPr>
        <w:t xml:space="preserve">Modell, S. (2009). Institutional research on performance measurement and management in the public sector accounting literature: A review and assessment. Financial Accountability &amp; Management, 25(3), 277–303. https:doi.org/10.1111/j.1468-0408.2009.00478.x</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بلوغ نظام اطلاعاتی مالی (DIG)</w:t>
      </w:r>
    </w:p>
    <w:p>
      <w:pPr>
        <w:bidi/>
        <w:spacing w:before="0" w:after="50" w:line="240" w:lineRule="auto"/>
        <w:jc w:val="both"/>
      </w:pPr>
      <w:r>
        <w:rPr>
          <w:rFonts w:ascii="Times New Roman" w:hAnsi="Times New Roman" w:cs="B Nazanin" w:eastAsia="Times New Roman"/>
          <w:b/>
          <w:bCs/>
          <w:sz w:val="24"/>
          <w:szCs w:val="24"/>
          <w:lang w:val="en-US" w:bidi="fa-IR"/>
        </w:rPr>
        <w:t xml:space="preserve">منشأ:</w:t>
      </w:r>
      <w:r>
        <w:rPr>
          <w:rFonts w:ascii="Times New Roman" w:hAnsi="Times New Roman" w:cs="B Nazanin" w:eastAsia="Times New Roman"/>
          <w:sz w:val="24"/>
          <w:szCs w:val="24"/>
          <w:lang w:val="en-US" w:bidi="fa-IR"/>
        </w:rPr>
        <w:t xml:space="preserve"> ترکیبی (بخشی اقتباس‌شده، بخشی محقق‌ساخته).  </w:t>
      </w:r>
      <w:r>
        <w:rPr>
          <w:rFonts w:ascii="Times New Roman" w:hAnsi="Times New Roman" w:cs="B Nazanin" w:eastAsia="Times New Roman"/>
          <w:b/>
          <w:bCs/>
          <w:sz w:val="24"/>
          <w:szCs w:val="24"/>
          <w:lang w:val="en-US" w:bidi="fa-IR"/>
        </w:rPr>
        <w:t xml:space="preserve">مقیاس پاسخ:</w:t>
      </w:r>
      <w:r>
        <w:rPr>
          <w:rFonts w:ascii="Times New Roman" w:hAnsi="Times New Roman" w:cs="B Nazanin" w:eastAsia="Times New Roman"/>
          <w:sz w:val="24"/>
          <w:szCs w:val="24"/>
          <w:lang w:val="en-US" w:bidi="fa-IR"/>
        </w:rPr>
        <w:t xml:space="preserve"> لیکرت ۵‌درجه‌ای: ۱ = کاملاً مخالف … ۵ = کاملاً موافق.</w:t>
      </w:r>
    </w:p>
    <w:p>
      <w:pPr>
        <w:bidi/>
        <w:spacing w:before="0" w:after="50" w:line="240" w:lineRule="auto"/>
        <w:jc w:val="both"/>
      </w:pPr>
      <w:r>
        <w:rPr>
          <w:rFonts w:ascii="Times New Roman" w:hAnsi="Times New Roman" w:cs="B Nazanin" w:eastAsia="Times New Roman"/>
          <w:b/>
          <w:bCs/>
          <w:sz w:val="24"/>
          <w:szCs w:val="24"/>
          <w:lang w:val="en-US" w:bidi="fa-IR"/>
        </w:rPr>
        <w:t xml:space="preserve">توضیح:</w:t>
      </w:r>
      <w:r>
        <w:rPr>
          <w:rFonts w:ascii="Times New Roman" w:hAnsi="Times New Roman" w:cs="B Nazanin" w:eastAsia="Times New Roman"/>
          <w:sz w:val="24"/>
          <w:szCs w:val="24"/>
          <w:lang w:val="en-US" w:bidi="fa-IR"/>
        </w:rPr>
        <w:t xml:space="preserve"> ابعاد کیفیت سیستم و اطلاعات از مدل دلون و مک‌لین (۲۰۰۳) اقتباس و گویه‌های یکپارچگی، برخط‌بودن و ردپای حسابرسی را پژوهشگر افزوده است.</w:t>
      </w:r>
    </w:p>
    <w:p>
      <w:pPr>
        <w:keepNext/>
        <w:bidi/>
        <w:spacing w:before="120" w:after="60" w:line="240" w:lineRule="auto"/>
        <w:jc w:val="center"/>
      </w:pPr>
      <w:r>
        <w:rPr>
          <w:rFonts w:ascii="Times New Roman" w:hAnsi="Times New Roman" w:cs="B Titr" w:eastAsia="Times New Roman"/>
          <w:b/>
          <w:bCs/>
          <w:sz w:val="20"/>
          <w:szCs w:val="20"/>
          <w:lang w:val="en-US" w:bidi="fa-IR"/>
        </w:rPr>
        <w:t xml:space="preserve">جدول ۸. گویه‌های DIG</w:t>
      </w:r>
    </w:p>
    <w:tbl>
      <w:tblPr>
        <w:bidiVisual/>
        <w:tblW w:w="8950" w:type="dxa"/>
        <w:jc w:val="center"/>
        <w:tblLayout w:type="fixed"/>
        <w:tblCellMar>
          <w:left w:w="60" w:type="dxa"/>
          <w:right w:w="60" w:type="dxa"/>
        </w:tblCellMar>
      </w:tblPr>
      <w:tblGrid>
        <w:gridCol w:w="700"/>
        <w:gridCol w:w="6000"/>
        <w:gridCol w:w="450"/>
        <w:gridCol w:w="450"/>
        <w:gridCol w:w="450"/>
        <w:gridCol w:w="450"/>
        <w:gridCol w:w="450"/>
      </w:tblGrid>
      <w:tr>
        <w:trPr>
          <w:tblHeader/>
        </w:trPr>
        <w:tc>
          <w:tcPr>
            <w:tcW w:w="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کد</w:t>
            </w:r>
          </w:p>
        </w:tc>
        <w:tc>
          <w:tcPr>
            <w:tcW w:w="60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گویه</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۱</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۲</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۳</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۴</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۵</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DIG۱</w:t>
            </w:r>
          </w:p>
        </w:tc>
        <w:tc>
          <w:tcPr>
            <w:tcW w:w="6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سامانه‌های مالی دستگاه یکپارچه‌اند و داده‌ها بدون ورود مجدد منتقل می‌شوند.</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DIG۲</w:t>
            </w:r>
          </w:p>
        </w:tc>
        <w:tc>
          <w:tcPr>
            <w:tcW w:w="6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اطلاعات مالی و عملکردی به‌صورت برخط در دسترس مدیران است.</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DIG۳</w:t>
            </w:r>
          </w:p>
        </w:tc>
        <w:tc>
          <w:tcPr>
            <w:tcW w:w="6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سامانه‌ها ردپای ثبت و تغییرات (حسابرسی‌پذیری) را حفظ می‌کنند.</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r>
        <w:trPr>
          <w:cantSplit/>
        </w:trPr>
        <w:tc>
          <w:tcPr>
            <w:tcW w:w="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DIG۴</w:t>
            </w:r>
          </w:p>
        </w:tc>
        <w:tc>
          <w:tcPr>
            <w:tcW w:w="60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کارکنان آموزش لازم برای استفادهٔ بهینه از سامانه‌ها را دیده‌اند.</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bl>
    <w:p>
      <w:pPr>
        <w:bidi/>
        <w:spacing w:before="0" w:after="100" w:line="240" w:lineRule="auto"/>
        <w:ind w:firstLine="360"/>
        <w:jc w:val="both"/>
      </w:pPr>
    </w:p>
    <w:p>
      <w:pPr>
        <w:bidi/>
        <w:spacing w:before="0" w:after="30" w:line="240" w:lineRule="auto"/>
        <w:jc w:val="both"/>
      </w:pPr>
      <w:r>
        <w:rPr>
          <w:rFonts w:ascii="Times New Roman" w:hAnsi="Times New Roman" w:cs="B Nazanin" w:eastAsia="Times New Roman"/>
          <w:b/>
          <w:bCs/>
          <w:sz w:val="24"/>
          <w:szCs w:val="24"/>
          <w:lang w:val="en-US" w:bidi="fa-IR"/>
        </w:rPr>
        <w:t xml:space="preserve">منابع این متغیر</w:t>
      </w:r>
    </w:p>
    <w:p>
      <w:pPr>
        <w:spacing w:before="0" w:after="30" w:line="240" w:lineRule="auto"/>
        <w:jc w:val="left"/>
      </w:pPr>
      <w:r>
        <w:rPr>
          <w:rFonts w:ascii="Times New Roman" w:hAnsi="Times New Roman" w:cs="Times New Roman" w:eastAsia="Times New Roman"/>
          <w:sz w:val="24"/>
          <w:szCs w:val="24"/>
          <w:lang w:val="en-US" w:bidi="fa-IR"/>
        </w:rPr>
        <w:t xml:space="preserve">DeLone, W. H., &amp; McLean, E. R. (2003). The DeLone and McLean model of information systems success: A ten-year update. Journal of Management Information Systems, 19(4), 9–30. https:doi.org/10.1080/07421222.2003.11045748</w:t>
      </w:r>
    </w:p>
    <w:p>
      <w:pPr>
        <w:spacing w:before="0" w:after="30" w:line="240" w:lineRule="auto"/>
        <w:jc w:val="left"/>
      </w:pPr>
      <w:r>
        <w:rPr>
          <w:rFonts w:ascii="Times New Roman" w:hAnsi="Times New Roman" w:cs="Times New Roman" w:eastAsia="Times New Roman"/>
          <w:sz w:val="24"/>
          <w:szCs w:val="24"/>
          <w:lang w:val="en-US" w:bidi="fa-IR"/>
        </w:rPr>
        <w:t xml:space="preserve">Dunleavy, P., Margetts, H., Bastow, S., &amp; Tinkler, J. (2006). New public management is dead—long live digital-era governance. Journal of Public Administration Research and Theory, 16(3), 467–494. https:doi.org/10.1093/jopart/mui057</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سودمندی اطلاعات گزارش‌شده برای تصمیم (USE)</w:t>
      </w:r>
    </w:p>
    <w:p>
      <w:pPr>
        <w:bidi/>
        <w:spacing w:before="0" w:after="50" w:line="240" w:lineRule="auto"/>
        <w:jc w:val="both"/>
      </w:pPr>
      <w:r>
        <w:rPr>
          <w:rFonts w:ascii="Times New Roman" w:hAnsi="Times New Roman" w:cs="B Nazanin" w:eastAsia="Times New Roman"/>
          <w:b/>
          <w:bCs/>
          <w:sz w:val="24"/>
          <w:szCs w:val="24"/>
          <w:lang w:val="en-US" w:bidi="fa-IR"/>
        </w:rPr>
        <w:t xml:space="preserve">منشأ:</w:t>
      </w:r>
      <w:r>
        <w:rPr>
          <w:rFonts w:ascii="Times New Roman" w:hAnsi="Times New Roman" w:cs="B Nazanin" w:eastAsia="Times New Roman"/>
          <w:sz w:val="24"/>
          <w:szCs w:val="24"/>
          <w:lang w:val="en-US" w:bidi="fa-IR"/>
        </w:rPr>
        <w:t xml:space="preserve"> ترکیبی (بخشی اقتباس‌شده، بخشی محقق‌ساخته).  </w:t>
      </w:r>
      <w:r>
        <w:rPr>
          <w:rFonts w:ascii="Times New Roman" w:hAnsi="Times New Roman" w:cs="B Nazanin" w:eastAsia="Times New Roman"/>
          <w:b/>
          <w:bCs/>
          <w:sz w:val="24"/>
          <w:szCs w:val="24"/>
          <w:lang w:val="en-US" w:bidi="fa-IR"/>
        </w:rPr>
        <w:t xml:space="preserve">مقیاس پاسخ:</w:t>
      </w:r>
      <w:r>
        <w:rPr>
          <w:rFonts w:ascii="Times New Roman" w:hAnsi="Times New Roman" w:cs="B Nazanin" w:eastAsia="Times New Roman"/>
          <w:sz w:val="24"/>
          <w:szCs w:val="24"/>
          <w:lang w:val="en-US" w:bidi="fa-IR"/>
        </w:rPr>
        <w:t xml:space="preserve"> لیکرت ۵‌درجه‌ای: ۱ = کاملاً مخالف … ۵ = کاملاً موافق.</w:t>
      </w:r>
    </w:p>
    <w:p>
      <w:pPr>
        <w:bidi/>
        <w:spacing w:before="0" w:after="50" w:line="240" w:lineRule="auto"/>
        <w:jc w:val="both"/>
      </w:pPr>
      <w:r>
        <w:rPr>
          <w:rFonts w:ascii="Times New Roman" w:hAnsi="Times New Roman" w:cs="B Nazanin" w:eastAsia="Times New Roman"/>
          <w:b/>
          <w:bCs/>
          <w:sz w:val="24"/>
          <w:szCs w:val="24"/>
          <w:lang w:val="en-US" w:bidi="fa-IR"/>
        </w:rPr>
        <w:t xml:space="preserve">توضیح:</w:t>
      </w:r>
      <w:r>
        <w:rPr>
          <w:rFonts w:ascii="Times New Roman" w:hAnsi="Times New Roman" w:cs="B Nazanin" w:eastAsia="Times New Roman"/>
          <w:sz w:val="24"/>
          <w:szCs w:val="24"/>
          <w:lang w:val="en-US" w:bidi="fa-IR"/>
        </w:rPr>
        <w:t xml:space="preserve"> مفهوم «استفاده از اطلاعات عملکرد» از موینیهان و پاندی (۲۰۱۰) و کرول (۲۰۱۵) اقتباس و برای اطلاعات مالی تعهدی بازنویسی شده است؛ گویه‌های USE۳ و USE۴ محقق‌ساخته‌اند.</w:t>
      </w:r>
    </w:p>
    <w:p>
      <w:pPr>
        <w:keepNext/>
        <w:bidi/>
        <w:spacing w:before="120" w:after="60" w:line="240" w:lineRule="auto"/>
        <w:jc w:val="center"/>
      </w:pPr>
      <w:r>
        <w:rPr>
          <w:rFonts w:ascii="Times New Roman" w:hAnsi="Times New Roman" w:cs="B Titr" w:eastAsia="Times New Roman"/>
          <w:b/>
          <w:bCs/>
          <w:sz w:val="20"/>
          <w:szCs w:val="20"/>
          <w:lang w:val="en-US" w:bidi="fa-IR"/>
        </w:rPr>
        <w:t xml:space="preserve">جدول ۹. گویه‌های USE</w:t>
      </w:r>
    </w:p>
    <w:tbl>
      <w:tblPr>
        <w:bidiVisual/>
        <w:tblW w:w="8950" w:type="dxa"/>
        <w:jc w:val="center"/>
        <w:tblLayout w:type="fixed"/>
        <w:tblCellMar>
          <w:left w:w="60" w:type="dxa"/>
          <w:right w:w="60" w:type="dxa"/>
        </w:tblCellMar>
      </w:tblPr>
      <w:tblGrid>
        <w:gridCol w:w="700"/>
        <w:gridCol w:w="6000"/>
        <w:gridCol w:w="450"/>
        <w:gridCol w:w="450"/>
        <w:gridCol w:w="450"/>
        <w:gridCol w:w="450"/>
        <w:gridCol w:w="450"/>
      </w:tblGrid>
      <w:tr>
        <w:trPr>
          <w:tblHeader/>
        </w:trPr>
        <w:tc>
          <w:tcPr>
            <w:tcW w:w="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کد</w:t>
            </w:r>
          </w:p>
        </w:tc>
        <w:tc>
          <w:tcPr>
            <w:tcW w:w="60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گویه</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۱</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۲</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۳</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۴</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۵</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USE۱</w:t>
            </w:r>
          </w:p>
        </w:tc>
        <w:tc>
          <w:tcPr>
            <w:tcW w:w="6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اطلاعات گزارش‌شده مبنای تصمیم‌های مدیریتی (تخصیص و اولویت‌بندی) در دستگاه است.</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USE۲</w:t>
            </w:r>
          </w:p>
        </w:tc>
        <w:tc>
          <w:tcPr>
            <w:tcW w:w="6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گزارش‌ها به‌موقع و قابل‌فهم‌اند.</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USE۳</w:t>
            </w:r>
          </w:p>
        </w:tc>
        <w:tc>
          <w:tcPr>
            <w:tcW w:w="6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اطلاعات تعهدی نسبت به مبنای نقدی تصویر کامل‌تری از وضعیت مالی دستگاه ارائه می‌دهد.</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r>
        <w:trPr>
          <w:cantSplit/>
        </w:trPr>
        <w:tc>
          <w:tcPr>
            <w:tcW w:w="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USE۴</w:t>
            </w:r>
          </w:p>
        </w:tc>
        <w:tc>
          <w:tcPr>
            <w:tcW w:w="60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اطلاعات گزارش‌شده برای ارزیابی کارایی و اثربخشی برنامه‌ها قابل‌اتکاست.</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bl>
    <w:p>
      <w:pPr>
        <w:bidi/>
        <w:spacing w:before="0" w:after="100" w:line="240" w:lineRule="auto"/>
        <w:ind w:firstLine="360"/>
        <w:jc w:val="both"/>
      </w:pPr>
    </w:p>
    <w:p>
      <w:pPr>
        <w:bidi/>
        <w:spacing w:before="0" w:after="30" w:line="240" w:lineRule="auto"/>
        <w:jc w:val="both"/>
      </w:pPr>
      <w:r>
        <w:rPr>
          <w:rFonts w:ascii="Times New Roman" w:hAnsi="Times New Roman" w:cs="B Nazanin" w:eastAsia="Times New Roman"/>
          <w:b/>
          <w:bCs/>
          <w:sz w:val="24"/>
          <w:szCs w:val="24"/>
          <w:lang w:val="en-US" w:bidi="fa-IR"/>
        </w:rPr>
        <w:t xml:space="preserve">منابع این متغیر</w:t>
      </w:r>
    </w:p>
    <w:p>
      <w:pPr>
        <w:spacing w:before="0" w:after="30" w:line="240" w:lineRule="auto"/>
        <w:jc w:val="left"/>
      </w:pPr>
      <w:r>
        <w:rPr>
          <w:rFonts w:ascii="Times New Roman" w:hAnsi="Times New Roman" w:cs="Times New Roman" w:eastAsia="Times New Roman"/>
          <w:sz w:val="24"/>
          <w:szCs w:val="24"/>
          <w:lang w:val="en-US" w:bidi="fa-IR"/>
        </w:rPr>
        <w:t xml:space="preserve">Moynihan, D. P., &amp; Pandey, S. K. (2010). The big question for performance management: Why do managers use performance information? Journal of Public Administration Research and Theory, 20(4), 849–866. https:doi.org/10.1093/jopart/muq004</w:t>
      </w:r>
    </w:p>
    <w:p>
      <w:pPr>
        <w:spacing w:before="0" w:after="30" w:line="240" w:lineRule="auto"/>
        <w:jc w:val="left"/>
      </w:pPr>
      <w:r>
        <w:rPr>
          <w:rFonts w:ascii="Times New Roman" w:hAnsi="Times New Roman" w:cs="Times New Roman" w:eastAsia="Times New Roman"/>
          <w:sz w:val="24"/>
          <w:szCs w:val="24"/>
          <w:lang w:val="en-US" w:bidi="fa-IR"/>
        </w:rPr>
        <w:t xml:space="preserve">Kroll, A. (2015). Drivers of performance information use: Systematic literature review and directions for future research. Public Performance &amp; Management Review, 38(3), 459–486. https:doi.org/10.1080/15309576.2015.1006469</w:t>
      </w:r>
    </w:p>
    <w:p>
      <w:pPr>
        <w:spacing w:before="0" w:after="30" w:line="240" w:lineRule="auto"/>
        <w:jc w:val="left"/>
      </w:pPr>
      <w:r>
        <w:rPr>
          <w:rFonts w:ascii="Times New Roman" w:hAnsi="Times New Roman" w:cs="Times New Roman" w:eastAsia="Times New Roman"/>
          <w:sz w:val="24"/>
          <w:szCs w:val="24"/>
          <w:lang w:val="en-US" w:bidi="fa-IR"/>
        </w:rPr>
        <w:t xml:space="preserve">DeLone, W. H., &amp; McLean, E. R. (2003). The DeLone and McLean model of information systems success: A ten-year update. Journal of Management Information Systems, 19(4), 9–30. https:doi.org/10.1080/07421222.2003.11045748</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پاسخگویی مالی (ACC)</w:t>
      </w:r>
    </w:p>
    <w:p>
      <w:pPr>
        <w:bidi/>
        <w:spacing w:before="0" w:after="50" w:line="240" w:lineRule="auto"/>
        <w:jc w:val="both"/>
      </w:pPr>
      <w:r>
        <w:rPr>
          <w:rFonts w:ascii="Times New Roman" w:hAnsi="Times New Roman" w:cs="B Nazanin" w:eastAsia="Times New Roman"/>
          <w:b/>
          <w:bCs/>
          <w:sz w:val="24"/>
          <w:szCs w:val="24"/>
          <w:lang w:val="en-US" w:bidi="fa-IR"/>
        </w:rPr>
        <w:t xml:space="preserve">منشأ:</w:t>
      </w:r>
      <w:r>
        <w:rPr>
          <w:rFonts w:ascii="Times New Roman" w:hAnsi="Times New Roman" w:cs="B Nazanin" w:eastAsia="Times New Roman"/>
          <w:sz w:val="24"/>
          <w:szCs w:val="24"/>
          <w:lang w:val="en-US" w:bidi="fa-IR"/>
        </w:rPr>
        <w:t xml:space="preserve"> محقق‌ساخته (برگرفته از نظریه).  </w:t>
      </w:r>
      <w:r>
        <w:rPr>
          <w:rFonts w:ascii="Times New Roman" w:hAnsi="Times New Roman" w:cs="B Nazanin" w:eastAsia="Times New Roman"/>
          <w:b/>
          <w:bCs/>
          <w:sz w:val="24"/>
          <w:szCs w:val="24"/>
          <w:lang w:val="en-US" w:bidi="fa-IR"/>
        </w:rPr>
        <w:t xml:space="preserve">مقیاس پاسخ:</w:t>
      </w:r>
      <w:r>
        <w:rPr>
          <w:rFonts w:ascii="Times New Roman" w:hAnsi="Times New Roman" w:cs="B Nazanin" w:eastAsia="Times New Roman"/>
          <w:sz w:val="24"/>
          <w:szCs w:val="24"/>
          <w:lang w:val="en-US" w:bidi="fa-IR"/>
        </w:rPr>
        <w:t xml:space="preserve"> لیکرت ۵‌درجه‌ای: ۱ = کاملاً مخالف … ۵ = کاملاً موافق.</w:t>
      </w:r>
    </w:p>
    <w:p>
      <w:pPr>
        <w:bidi/>
        <w:spacing w:before="0" w:after="50" w:line="240" w:lineRule="auto"/>
        <w:jc w:val="both"/>
      </w:pPr>
      <w:r>
        <w:rPr>
          <w:rFonts w:ascii="Times New Roman" w:hAnsi="Times New Roman" w:cs="B Nazanin" w:eastAsia="Times New Roman"/>
          <w:b/>
          <w:bCs/>
          <w:sz w:val="24"/>
          <w:szCs w:val="24"/>
          <w:lang w:val="en-US" w:bidi="fa-IR"/>
        </w:rPr>
        <w:t xml:space="preserve">توضیح:</w:t>
      </w:r>
      <w:r>
        <w:rPr>
          <w:rFonts w:ascii="Times New Roman" w:hAnsi="Times New Roman" w:cs="B Nazanin" w:eastAsia="Times New Roman"/>
          <w:sz w:val="24"/>
          <w:szCs w:val="24"/>
          <w:lang w:val="en-US" w:bidi="fa-IR"/>
        </w:rPr>
        <w:t xml:space="preserve"> ابعاد اطلاع‌رسانی، توجیه، و پیامد از چارچوب پاسخگویی بوونس (۲۰۰۷) استخراج شده و گویه‌ها محقق‌ساخته‌اند.</w:t>
      </w:r>
    </w:p>
    <w:p>
      <w:pPr>
        <w:keepNext/>
        <w:bidi/>
        <w:spacing w:before="120" w:after="60" w:line="240" w:lineRule="auto"/>
        <w:jc w:val="center"/>
      </w:pPr>
      <w:r>
        <w:rPr>
          <w:rFonts w:ascii="Times New Roman" w:hAnsi="Times New Roman" w:cs="B Titr" w:eastAsia="Times New Roman"/>
          <w:b/>
          <w:bCs/>
          <w:sz w:val="20"/>
          <w:szCs w:val="20"/>
          <w:lang w:val="en-US" w:bidi="fa-IR"/>
        </w:rPr>
        <w:t xml:space="preserve">جدول ۱۰. گویه‌های ACC</w:t>
      </w:r>
    </w:p>
    <w:tbl>
      <w:tblPr>
        <w:bidiVisual/>
        <w:tblW w:w="8950" w:type="dxa"/>
        <w:jc w:val="center"/>
        <w:tblLayout w:type="fixed"/>
        <w:tblCellMar>
          <w:left w:w="60" w:type="dxa"/>
          <w:right w:w="60" w:type="dxa"/>
        </w:tblCellMar>
      </w:tblPr>
      <w:tblGrid>
        <w:gridCol w:w="700"/>
        <w:gridCol w:w="6000"/>
        <w:gridCol w:w="450"/>
        <w:gridCol w:w="450"/>
        <w:gridCol w:w="450"/>
        <w:gridCol w:w="450"/>
        <w:gridCol w:w="450"/>
      </w:tblGrid>
      <w:tr>
        <w:trPr>
          <w:tblHeader/>
        </w:trPr>
        <w:tc>
          <w:tcPr>
            <w:tcW w:w="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کد</w:t>
            </w:r>
          </w:p>
        </w:tc>
        <w:tc>
          <w:tcPr>
            <w:tcW w:w="60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گویه</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۱</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۲</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۳</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۴</w:t>
            </w:r>
          </w:p>
        </w:tc>
        <w:tc>
          <w:tcPr>
            <w:tcW w:w="4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۵</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ACC۱</w:t>
            </w:r>
          </w:p>
        </w:tc>
        <w:tc>
          <w:tcPr>
            <w:tcW w:w="6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دستگاه اطلاعات مالی و عملکردی را برای ذی‌نفعان (قوهٔ مقننه، نهادهای نظارتی و شهروندان) ارائه یا منتشر می‌کند.</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ACC۲</w:t>
            </w:r>
          </w:p>
        </w:tc>
        <w:tc>
          <w:tcPr>
            <w:tcW w:w="6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مدیران نتایج و انحرافات را به نهادهای نظارتی توضیح می‌دهند.</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ACC۳</w:t>
            </w:r>
          </w:p>
        </w:tc>
        <w:tc>
          <w:tcPr>
            <w:tcW w:w="6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در صورت انحراف از بودجه، مسئولیت مشخص و اقدام اصلاحی پیگیری می‌شود.</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ACC۴</w:t>
            </w:r>
          </w:p>
        </w:tc>
        <w:tc>
          <w:tcPr>
            <w:tcW w:w="6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یافته‌های حسابرسی و بازرسی در زمان معقول پیگیری و رفع می‌شود.</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r>
        <w:trPr>
          <w:cantSplit/>
        </w:trPr>
        <w:tc>
          <w:tcPr>
            <w:tcW w:w="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ACC۵</w:t>
            </w:r>
          </w:p>
        </w:tc>
        <w:tc>
          <w:tcPr>
            <w:tcW w:w="60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اطلاعات ارائه‌شده از سوی دستگاه قابل راستی‌آزمایی است.</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4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bl>
    <w:p>
      <w:pPr>
        <w:bidi/>
        <w:spacing w:before="0" w:after="100" w:line="240" w:lineRule="auto"/>
        <w:ind w:firstLine="360"/>
        <w:jc w:val="both"/>
      </w:pPr>
    </w:p>
    <w:p>
      <w:pPr>
        <w:bidi/>
        <w:spacing w:before="0" w:after="30" w:line="240" w:lineRule="auto"/>
        <w:jc w:val="both"/>
      </w:pPr>
      <w:r>
        <w:rPr>
          <w:rFonts w:ascii="Times New Roman" w:hAnsi="Times New Roman" w:cs="B Nazanin" w:eastAsia="Times New Roman"/>
          <w:b/>
          <w:bCs/>
          <w:sz w:val="24"/>
          <w:szCs w:val="24"/>
          <w:lang w:val="en-US" w:bidi="fa-IR"/>
        </w:rPr>
        <w:t xml:space="preserve">منابع این متغیر</w:t>
      </w:r>
    </w:p>
    <w:p>
      <w:pPr>
        <w:spacing w:before="0" w:after="30" w:line="240" w:lineRule="auto"/>
        <w:jc w:val="left"/>
      </w:pPr>
      <w:r>
        <w:rPr>
          <w:rFonts w:ascii="Times New Roman" w:hAnsi="Times New Roman" w:cs="Times New Roman" w:eastAsia="Times New Roman"/>
          <w:sz w:val="24"/>
          <w:szCs w:val="24"/>
          <w:lang w:val="en-US" w:bidi="fa-IR"/>
        </w:rPr>
        <w:t xml:space="preserve">Bovens, M. (2007). Analysing and assessing accountability: A conceptual framework. European Law Journal, 13(4), 447–468. https:doi.org/10.1111/j.1468-0386.2007.00378.x</w:t>
      </w:r>
    </w:p>
    <w:p>
      <w:pPr>
        <w:spacing w:before="0" w:after="30" w:line="240" w:lineRule="auto"/>
        <w:jc w:val="left"/>
      </w:pPr>
      <w:r>
        <w:rPr>
          <w:rFonts w:ascii="Times New Roman" w:hAnsi="Times New Roman" w:cs="Times New Roman" w:eastAsia="Times New Roman"/>
          <w:sz w:val="24"/>
          <w:szCs w:val="24"/>
          <w:lang w:val="en-US" w:bidi="fa-IR"/>
        </w:rPr>
        <w:t xml:space="preserve">Bracci, E., Humphrey, C., Moll, J., &amp; Steccolini, I. (2015). Public sector accounting, accountability and austerity: More than balancing the books? Accounting, Auditing &amp; Accountability Journal, 28(6), 878–908. https:doi.org/10.1108/AAAJ-06-2015-2089</w:t>
      </w:r>
    </w:p>
    <w:p>
      <w:pPr>
        <w:spacing w:before="0" w:after="30" w:line="240" w:lineRule="auto"/>
        <w:jc w:val="left"/>
      </w:pPr>
      <w:r>
        <w:rPr>
          <w:rFonts w:ascii="Times New Roman" w:hAnsi="Times New Roman" w:cs="Times New Roman" w:eastAsia="Times New Roman"/>
          <w:sz w:val="24"/>
          <w:szCs w:val="24"/>
          <w:lang w:val="en-US" w:bidi="fa-IR"/>
        </w:rPr>
        <w:t xml:space="preserve">Moore, M. H. (1995). Creating public value: Strategic management in government. Cambridge, MA: Harvard University Press.</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بخش پ) روایی، پایایی و نمره‌گذاری</w:t>
      </w:r>
    </w:p>
    <w:p>
      <w:pPr>
        <w:bidi/>
        <w:spacing w:before="0" w:after="50" w:line="240" w:lineRule="auto"/>
        <w:jc w:val="both"/>
      </w:pPr>
      <w:r>
        <w:rPr>
          <w:rFonts w:ascii="Times New Roman" w:hAnsi="Times New Roman" w:cs="B Nazanin" w:eastAsia="Times New Roman"/>
          <w:b/>
          <w:bCs/>
          <w:sz w:val="24"/>
          <w:szCs w:val="24"/>
          <w:lang w:val="en-US" w:bidi="fa-IR"/>
        </w:rPr>
        <w:t xml:space="preserve">روایی محتوا:</w:t>
      </w:r>
      <w:r>
        <w:rPr>
          <w:rFonts w:ascii="Times New Roman" w:hAnsi="Times New Roman" w:cs="B Nazanin" w:eastAsia="Times New Roman"/>
          <w:sz w:val="24"/>
          <w:szCs w:val="24"/>
          <w:lang w:val="en-US" w:bidi="fa-IR"/>
        </w:rPr>
        <w:t xml:space="preserve"> پنل ۱۰ تا ۱۲ خبره (حسابداری دولتی، بودجه‌ریزی، سیستم‌های اطلاعاتی)؛ ضریب CVR لاوشه (حداقل ۰٫۶۲ برای ۱۰ خبره) و CVI سطح گویه (≥ ۰٫۷۸) و سطح مقیاس (≥ ۰٫۹۰) (Lawshe, ۱۹۷۵; Polit &amp; Beck, ۲۰۰۶). گویه‌های محقق‌ساخته پیش از اجرای اصلی باید این مرحله و یک مطالعهٔ مقدماتی (۶۰ تا ۱۰۰ نفر) را بگذرانند.</w:t>
      </w:r>
    </w:p>
    <w:p>
      <w:pPr>
        <w:bidi/>
        <w:spacing w:before="0" w:after="50" w:line="240" w:lineRule="auto"/>
        <w:jc w:val="both"/>
      </w:pPr>
      <w:r>
        <w:rPr>
          <w:rFonts w:ascii="Times New Roman" w:hAnsi="Times New Roman" w:cs="B Nazanin" w:eastAsia="Times New Roman"/>
          <w:b/>
          <w:bCs/>
          <w:sz w:val="24"/>
          <w:szCs w:val="24"/>
          <w:lang w:val="en-US" w:bidi="fa-IR"/>
        </w:rPr>
        <w:t xml:space="preserve">روایی و پایایی سازه:</w:t>
      </w:r>
      <w:r>
        <w:rPr>
          <w:rFonts w:ascii="Times New Roman" w:hAnsi="Times New Roman" w:cs="B Nazanin" w:eastAsia="Times New Roman"/>
          <w:sz w:val="24"/>
          <w:szCs w:val="24"/>
          <w:lang w:val="en-US" w:bidi="fa-IR"/>
        </w:rPr>
        <w:t xml:space="preserve"> تحلیل عاملی تأییدی کل مدل اندازه‌گیری، پایایی ترکیبی (≥ ۰٫۷)، میانگین واریانس استخراج‌شده (≥ ۰٫۵)، HTMT (&lt; ۰٫۸۵) و بررسی سوگیری روش مشترک (Podsakoff et al., ۲۰۰۳).</w:t>
      </w:r>
    </w:p>
    <w:p>
      <w:pPr>
        <w:bidi/>
        <w:spacing w:before="0" w:after="50" w:line="240" w:lineRule="auto"/>
        <w:jc w:val="both"/>
      </w:pPr>
      <w:r>
        <w:rPr>
          <w:rFonts w:ascii="Times New Roman" w:hAnsi="Times New Roman" w:cs="B Nazanin" w:eastAsia="Times New Roman"/>
          <w:b/>
          <w:bCs/>
          <w:sz w:val="24"/>
          <w:szCs w:val="24"/>
          <w:lang w:val="en-US" w:bidi="fa-IR"/>
        </w:rPr>
        <w:t xml:space="preserve">نمره‌گذاری:</w:t>
      </w:r>
      <w:r>
        <w:rPr>
          <w:rFonts w:ascii="Times New Roman" w:hAnsi="Times New Roman" w:cs="B Nazanin" w:eastAsia="Times New Roman"/>
          <w:sz w:val="24"/>
          <w:szCs w:val="24"/>
          <w:lang w:val="en-US" w:bidi="fa-IR"/>
        </w:rPr>
        <w:t xml:space="preserve"> هیچ نمرهٔ ترکیبی یا میانگین گویه‌ها ساخته نمی‌شود؛ هر گویه نشانگر متغیر پنهان خود در مدل معادلات ساختاری است. گویه‌های هر سازه به‌گونه‌ای جهت‌دهی شده‌اند که نمرهٔ بالاتر یعنی بیشتر از آن سازه (در SYM نمرهٔ بالاتر یعنی انطباق نمادین بیشتر).</w:t>
      </w:r>
    </w:p>
    <w:p>
      <w:pPr>
        <w:bidi/>
        <w:spacing w:before="0" w:after="50" w:line="240" w:lineRule="auto"/>
        <w:jc w:val="both"/>
      </w:pPr>
      <w:r>
        <w:rPr>
          <w:rFonts w:ascii="Times New Roman" w:hAnsi="Times New Roman" w:cs="B Nazanin" w:eastAsia="Times New Roman"/>
          <w:b/>
          <w:bCs/>
          <w:sz w:val="24"/>
          <w:szCs w:val="24"/>
          <w:lang w:val="en-US" w:bidi="fa-IR"/>
        </w:rPr>
        <w:t xml:space="preserve">ترتیب ارائه:</w:t>
      </w:r>
      <w:r>
        <w:rPr>
          <w:rFonts w:ascii="Times New Roman" w:hAnsi="Times New Roman" w:cs="B Nazanin" w:eastAsia="Times New Roman"/>
          <w:sz w:val="24"/>
          <w:szCs w:val="24"/>
          <w:lang w:val="en-US" w:bidi="fa-IR"/>
        </w:rPr>
        <w:t xml:space="preserve"> گویه‌های سازه‌های مختلف به‌صورت تصادفی درهم ارائه شود؛ سؤال توجه و ثبت زمان تکمیل توصیه می‌شود.</w:t>
      </w:r>
    </w:p>
    <w:sectPr>
      <w:footerReference w:type="default" r:id="rIdFooter"/>
      <w:pgSz w:w="11906" w:h="16838"/>
      <w:pgMar w:top="1417" w:right="1417" w:bottom="1417" w:left="1417" w:header="708" w:footer="708" w:gutter="0"/>
      <w:bidi/>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w:p>
    <w:pPr>
      <w:jc w:val="center"/>
    </w:pPr>
    <w:r>
      <w:rPr>
        <w:sz w:val="20"/>
      </w:rPr>
      <w:fldChar w:fldCharType="begin"/>
    </w:r>
    <w:r>
      <w:instrText xml:space="preserve"> PAGE </w:instrText>
    </w:r>
    <w: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settings.xml><?xml version="1.0" encoding="utf-8"?>
<w:settings xmlns:w="http://schemas.openxmlformats.org/wordprocessingml/2006/main">
  <w:zoom w:percent="100"/>
  <w:defaultTabStop w:val="720"/>
  <w:characterSpacingControl w:val="doNotCompress"/>
  <w:footnotePr>
    <w:footnote w:id="-1"/>
    <w:footnote w:id="0"/>
  </w:footnotePr>
  <w:themeFontLang w:val="en-US" w:bidi="fa-IR"/>
</w:settings>
</file>

<file path=word/styles.xml><?xml version="1.0" encoding="utf-8"?>
<w:styles xmlns:w="http://schemas.openxmlformats.org/wordprocessingml/2006/main">
  <w:docDefaults>
    <w:rPrDefault>
      <w:rPr>
        <w:rFonts w:ascii="Times New Roman" w:hAnsi="Times New Roman" w:cs="B Nazanin"/>
        <w:sz w:val="24"/>
        <w:szCs w:val="24"/>
        <w:lang w:val="en-US" w:bidi="fa-IR"/>
      </w:rPr>
    </w:rPrDefault>
    <w:pPrDefault>
      <w:pPr>
        <w:bidi/>
      </w:pPr>
    </w:pPrDefault>
  </w:docDefaults>
  <w:style w:type="paragraph" w:default="1" w:styleId="Normal">
    <w:name w:val="Normal"/>
  </w:style>
  <w:style w:type="character" w:styleId="FootnoteReference">
    <w:name w:val="footnote reference"/>
    <w:rPr>
      <w:vertAlign w:val="superscript"/>
    </w:rPr>
  </w:style>
</w:styles>
</file>

<file path=word/_rels/document.xml.rels><?xml version="1.0" encoding="UTF-8" standalone="yes"?><Relationships xmlns="http://schemas.openxmlformats.org/package/2006/relationships"><Relationship Id="rIdSt" Type="http://schemas.openxmlformats.org/officeDocument/2006/relationships/styles" Target="styles.xml"/><Relationship Id="rIdSe" Type="http://schemas.openxmlformats.org/officeDocument/2006/relationships/settings" Target="settings.xml"/><Relationship Id="rIdFn" Type="http://schemas.openxmlformats.org/officeDocument/2006/relationships/footnotes" Target="footnotes.xml"/><Relationship Id="rIdFooter"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Article</dc:title>
  <dc:language>fa-IR</dc:language>
</cp:coreProperties>
</file>