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اول</w:t>
      </w:r>
      <w:r>
        <w:rPr>
          <w:rFonts w:ascii="Times New Roman" w:hAnsi="Times New Roman" w:cs="B Nazanin" w:eastAsia="Times New Roman"/>
          <w:b/>
          <w:bCs/>
          <w:sz w:val="24"/>
          <w:szCs w:val="24"/>
          <w:lang w:val="en-US" w:bidi="fa-IR"/>
        </w:rPr>
        <w:t xml:space="preserve">∗</w:t>
      </w:r>
    </w:p>
    <w:p>
      <w:pPr>
        <w:bidi/>
        <w:spacing w:before="0" w:after="60" w:line="240" w:lineRule="auto"/>
        <w:jc w:val="center"/>
      </w:pPr>
      <w:r>
        <w:rPr>
          <w:rFonts w:ascii="Times New Roman" w:hAnsi="Times New Roman" w:cs="B Nazanin" w:eastAsia="Times New Roman"/>
          <w:sz w:val="24"/>
          <w:szCs w:val="24"/>
          <w:highlight w:val="yellow"/>
          <w:lang w:val="en-US" w:bidi="fa-IR"/>
        </w:rPr>
        <w:t xml:space="preserve">دانشجوی دکتری، رشتهٔ حسابداری، نام دانشگاه، شهر، ایران</w:t>
      </w:r>
      <w:r>
        <w:rPr>
          <w:rFonts w:ascii="Times New Roman" w:hAnsi="Times New Roman" w:cs="B Nazanin" w:eastAsia="Times New Roman"/>
          <w:sz w:val="24"/>
          <w:szCs w:val="24"/>
          <w:lang w:val="en-US" w:bidi="fa-IR"/>
        </w:rPr>
        <w:t xml:space="preserve"> — پست الکترونیکی: </w:t>
      </w:r>
      <w:r>
        <w:rPr>
          <w:rFonts w:ascii="Times New Roman" w:hAnsi="Times New Roman" w:cs="B Nazanin" w:eastAsia="Times New Roman"/>
          <w:sz w:val="24"/>
          <w:szCs w:val="24"/>
          <w:highlight w:val="yellow"/>
          <w:lang w:val="en-US" w:bidi="fa-IR"/>
        </w:rPr>
        <w:t xml:space="preserve">ایمیل سازمانی نویسنده مسئول</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دوم (در صورت وجود)</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رتبهٔ علمی، گروه، دانشگاه، شهر، ایران</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(فومو) و رفتار توده‌وار، و با تعدیل‌گری استفاده از اطلاعات حسابداری بررسی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روش‌شناسی:</w:t>
      </w:r>
      <w:r>
        <w:rPr>
          <w:rFonts w:ascii="Times New Roman" w:hAnsi="Times New Roman" w:cs="B Nazanin" w:eastAsia="Times New Roman"/>
          <w:sz w:val="24"/>
          <w:szCs w:val="24"/>
          <w:lang w:val="en-US" w:bidi="fa-IR"/>
        </w:rPr>
        <w:t xml:space="preserve"> پژوهش کمّی و مبتنی بر پرسشنامه و مدل‌سازی معادلات ساختاری مبتنی بر کوواریانس است. داده‌های ۳۸۶ سرمایه‌گذار حقیقی با ابزار ۲۶ گویه‌ای لیکرت پنج‌درجه‌ای و به‌شیوهٔ شبیه‌سازی واقع‌نما با پارامترهای از پیش تعیین‌شده تولید شد؛ از این‌رو یافته‌ها جنبهٔ نمایشی و روش‌شناختی دارند. مدل اندازه‌گیری و ساختاری با بیشینهٔ درست‌نمایی، تعامل مکنون با شاخص‌های حاصل‌ضرب جفت‌شده، و اثرهای غیرمستقیم با خودگردان‌سازی ۲۰۰۰ تکراری آزمون شد.</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مدل اندازه‌گیری برازش مطلوب داشت (⁦CFI = ۰٫۹۸⁩؛ ⁦RMSEA = ۰٫۰۳۰⁩). مواجهه با محتوا فومو را افزایش داد (⁦β = ۰٫۴۹⁩)، فومو رفتار توده‌وار را تقویت کرد (⁦β = ۰٫۴۱⁩) و رفتار توده‌وار کیفیت تصمیم را کاهش داد (⁦β = −۰٫۳۵⁩). اثر غیرمستقیم متوالی معنادار بود و استفاده از اطلاعات حسابداری اثر فومو بر رفتار توده‌وار را تضعیف کرد (⁦β = −۰٫۱۸⁩).</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دانش‌افزایی:</w:t>
      </w:r>
      <w:r>
        <w:rPr>
          <w:rFonts w:ascii="Times New Roman" w:hAnsi="Times New Roman" w:cs="B Nazanin" w:eastAsia="Times New Roman"/>
          <w:sz w:val="24"/>
          <w:szCs w:val="24"/>
          <w:lang w:val="en-US" w:bidi="fa-IR"/>
        </w:rPr>
        <w:t xml:space="preserve"> پژوهش با پیوند دادن شبکه‌های اجتماعی، فومو و توده‌واری در یک مدل متوالی و افزودن نقش تعدیل‌گر اطلاعات حسابداری، و نیز با ارائهٔ پرسشنامه و کد بازتولیدپذیر، چارچوبی قابل‌آزمون برای پژوهش‌های بعدی با داده‌های واقعی فراهم می‌کند.</w:t>
      </w:r>
    </w:p>
    <w:p>
      <w:pPr>
        <w:bidi/>
        <w:spacing w:before="120" w:after="8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بازار سرمایهٔ ایران در سال‌های ۱۳۹۹ و ۱۴۰۰ یکی از شدیدترین چرخه‌های رونق و رکود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 شواهد بین‌المللی نشان می‌دهد شبکه‌های اجتماعی هم می‌توانند حامل اطلاعات سودمند باشند (چن و همکاران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۲۰۱۴؛ بولن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و هم تصمیم‌ها را به‌سوی هم‌جهتی و اتاق‌های پژواک سوق دهند (کوکسون و نیسنر</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۲۰۲۰؛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۲۰۲۳).</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چارچوب نظری پشتیبان این پژوهش دو ستون دارد. نخست، نظریهٔ آبشارهای اطلاعاتی که توضیح می‌دهد چرا سرمایه‌گذاران عاقل نیز ممکن است سیگنال‌های خصوصی خود را کنار بگذارند و از رفتار دیگران پیروی کنند (بیکچندانی و همکاران</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۱۹۹۲؛ بنرجی</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۱۹۹۲). دوم، ادبیات ترس از دست دادن فرصت که آن را اضطرابی فراگیر دربارهٔ تجربه‌های پاداش‌آور دیگران می‌داند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۲۰۱۳) و بر پایهٔ نظریهٔ مقایسهٔ اجتماعی (فستینگر</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۱۹۵۴) در محیط‌های شبکه‌ای تشدید می‌شود. ترکیب این دو، مسیر زیر را پیشنهاد می‌کند: مواجهه با محتوا ← فومو ← رفتار توده‌وار ← افت کیفیت تصمیم.</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با وجود فراوانی پژوهش دربارهٔ رفتار توده‌وار در بورس تهران، بخش عمدهٔ آن‌ها بر شناسایی توده‌واری با داده‌های قیمتی و بازدهی متمرکز بوده است. در بخش پیمایشی نیز تمرکز بیشتر بر اثر مستقیم شبکه‌های اجتماعی است؛ برای نمونه حیدری هراتمه و همکاران (۱۴۰۲) اثر رسانه‌ها و شبکه‌های اجتماعی را بر تصمیم‌های سرمایه‌گذاران بررسی کرده‌اند. آنچه کمتر آزموده شده این است که (الف) فومو چگونه واسط میان مواجهه با محتوا و توده‌واری قرار می‌گیرد، و (ب) آیا اطلاعات حسابداری که پشتوانهٔ بنیادی تصمیم است می‌تواند این زنجیره را قطع کند. این پژوهش با نگاه حسابداری رفتاری به همین دو شکاف می‌پردازد.</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عبارت‌اند از: (۱) آیا مواجهه با محتوای سرمایه‌گذاری در شبکه‌های اجتماعی از طریق فومو و رفتار توده‌وار بر کیفیت تصمیم اثر می‌گذارد؟ (۲) آیا استفاده از اطلاعات حسابداری این مسیر را تعدیل می‌کند؟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به‌طور خلاصه، نتایج مدل‌سازی معادلات ساختاری نشان داد اثر غیرمستقیم متوالی مواجهه بر کیفیت تصمیم از طریق فومو و رفتار توده‌وار منفی و معنادار است (⁦−۰٫۰۷۱⁩) و استفاده از اطلاعات حسابداری شیب فومو ← توده‌واری را کاهش می‌دهد. اهمیت موضوع از دو جنبه است: از نظر نظری، پیوند شبکه‌های اجتماعی و حسابداری رفتاری؛ از نظر عملی، ارائهٔ شواهدی برای سیاست‌گذاران، کارگزاری‌ها و مدیران شرکت‌ها دربارهٔ نحوهٔ افشا و آموزش. دادهٔ این نسخه شبیه‌سازی‌شده است و پیام آن، پیش از هر چیز، «بازتولیدپذیری روش و ساختار مدل» است؛ بنابراین نباید به‌منزلهٔ شواهد تجربی دربارهٔ بازار واقعی تعبیر شود. ساختار مقاله چنین است: ابتدا مبانی نظری و فرضیه‌ها، سپس روش‌شناسی، یافته‌ها، و در پایان بحث و نتیجه‌گیری ارائه می‌شود.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 مبانی نظری و توسعهٔ فرضیه‌ها</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۲-۱. کیفیت تصمیم سرمایه‌گذاری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کیفیت تصمیم را می‌توان مجموعه‌ای از ویژگی‌های فرایندی و پیامدی دانست: اتکا به اطلاعات مرتبط، سازگاری با اهداف بلندمدت، و رضایت و پشیمانی کمتر از نتایج.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(۲۰۰۵) و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(۲۰۰۷) شایستگی تصمیم‌گیری را ویژگی قابل‌سنجش و متفاوت میان افراد می‌دانند. در بازار سهام، سرمایه‌گذارانی که بیش‌ازحد و تحت‌تأثیر عوامل غیربنیادی معامله می‌کنند بازده خالص کمتری کسب می‌کنند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۲۰۰۰؛ باربر و اودین، ۲۰۰۱) و تمایل به نگه‌داشتن زیان‌ها و فروش زودهنگام سودها از الگوهای شناخته‌شدهٔ کاهندهٔ کیفیت تصمیم است (اودین</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۱۹۹۸). مرور کومار و گویال</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(۲۰۱۵) نیز نشان می‌دهد سوگیری‌های رفتاری مهم‌ترین عوامل تبیین‌کنندهٔ انحراف تصمیم از فرایند عقلانی‌اند.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۲-۲. شبکه‌های اجتماعی، فومو و مواجهه با محتوای سرمایه‌گذاری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مرتبط است و بولن و همکاران (۲۰۱۱) رابطهٔ خلق‌وخوی عمومی در توییتر با بازار را گزارش کردند. با این حال، همین کانال‌ها تحت شرایطی توجه سرمایه‌گذار را به‌سمت سهم‌های پرمحتوا هدایت می‌کنند؛ باربر و اودین (۲۰۰۸) نشان دادند خرید سرمایه‌گذاران حقیقی بر سهام مورد توجه، تحت‌تأثیر شدید توجه است. کوکسون و همکاران (۲۰۲۳) نیز با شواهدی دربارهٔ اتاق‌های پژواک، تمایل کاربران به تعامل با همفکران را نشان داده‌اند و هیرشلایفر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(۲۰۲۰) سوگیری انتقال اجتماعی را عاملی ساختاری در شکل‌گیری رفتارهای مالی می‌داند؛ همچنین شیلر</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(۲۰۱۷) نقش روایت‌های همه‌گیر را در نوسان‌های اقتصادی برجسته کرده است.</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فومو</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۲۰۱۶) و در بستر سرمایه‌گذاری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نظریهٔ پشیمانی نیز نشان می‌دهد پیش‌بینی پشیمانی از دست‌دادن فرصت می‌تواند انتخاب را تحریف کند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۱۹۸۲؛ بل</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۱۹۸۲). از این‌رو:</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مواجهه با محتوای سرمایه‌گذاری در شبکه‌های اجتماعی بر فومو اثر مثبت دارد.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۲-۳. فومو و رفتار توده‌وار</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رفتار توده‌وار</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شارفشتاین و استاین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۱۹۹۰؛ دونو و ولش</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۱۹۹۶).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(۲۰۰۳) و بیکچندانی و شارما</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(۲۰۰۱) مرور جامعی از شواهد ارائه کرده‌اند.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شواهد دربارهٔ تأثیر تعاملات اجتماعی بر تصمیم‌های بازار نیز این منطق را تأیید می‌کنند (هونگ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۲۰۰۴؛ کائوستیا و کنوپفر</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۲۰۱۲). بنابراین:</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فومو بر رفتار توده‌وار اثر مثبت دارد.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از سوی دیگر، مواجهه با محتوا می‌تواند مستقل از هیجان، با ارائهٔ «سیگنال اجتماعی» (مانند حجم صف‌های خرید یا اجماع ظاهری کانال‌ها) به رفتار هم‌جهت منجر شود (کوکسون و نیسنر، ۲۰۲۰؛ کوکسون و همکاران، ۲۰۲۳):</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مواجهه با محتوای سرمایه‌گذاری در شبکه‌های اجتماعی بر رفتار توده‌وار اثر مستقیم مثبت دارد.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۲-۴. رفتار توده‌وار و کیفیت تصمیم</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توده‌واری می‌تواند به بروز حباب و بازگشت‌های شدید قیمت بینجامد (هیرشلایفر،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 بنابراین:</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رفتار توده‌وار بر کیفیت تصمیم سرمایه‌گذاری اثر منفی دارد.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با ترکیب فرضیه‌های بالا، مسیر میانجی متوالی پیش‌بینی می‌شود که در آن مواجهه با محتوا، ابتدا فومو را برمی‌انگیزد، فومو رفتار توده‌وار را تقویت می‌کند و در نهایت کیفیت تصمیم کاهش می‌یابد. روش‌های متعارف برای آزمون چنین زنجیره‌ای، خودگردان‌سازی اثرهای حاصل‌ضرب است (پریچر و هیز، ۲۰۰۸؛ تیلور و همکاران، ۲۰۰۸).</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و رفتار توده‌وار اثر مواجهه با محتوا بر کیفیت تصمیم را به‌صورت متوالی میانجی‌گری می‌کنند (اثر غیرمستقیم منفی).</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۲-۵. نقش تعدیل‌گر استفاده از اطلاعات حسابداری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۱۹۶۸). لارنس</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(۲۰۱۳) نشان داد سرمایه‌گذاران حقیقی با افشای شفاف‌تر و ساده‌تر عملکرد بهتری دارند، و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(۲۰۱۵) چشم‌انداز تحول افشا را در عصر رسانه‌های دیجیتال بررسی کرده‌اند.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(۲۰۱۴) و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و در نتیجه اثر غیرمستقیم متوالی را نیز مشروط می‌سازد (میانجی‌گری تعدیل‌شده؛ پریچر و همکاران، ۲۰۰۷).</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اثر مثبت فومو بر رفتار توده‌وار را تضعیف می‌کند (تعامل منفی).</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استفاده از اطلاعات حسابداری بر کیفیت تصمیم سرمایه‌گذاری اثر مثبت دارد.</w:t>
      </w:r>
    </w:p>
    <w:p>
      <w:pPr>
        <w:keepNext/>
        <w:jc w:val="center"/>
      </w:pPr>
      <w:r>
        <w:drawing>
          <wp:inline distT="0" distB="0" distL="0" distR="0">
            <wp:extent cx="5220000" cy="2633944"/>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220000" cy="263394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(یافتهٔ پژوهشگر)</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۳-۱. طرح پژوهش، جامعه و داده</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این پژوهش از نظر هدف کاربردی و از نظر شیوهٔ گردآوری داده، پیمایشی ـ مقطعی است و تحلیل آن با مدل‌سازی معادلات ساختاری مبتنی بر کوواریانس انجام می‌شود. جامعهٔ هدف، سرمایه‌گذاران حقیقی فعال در بورس و فرابورس تهران با حداقل یک سال سابقهٔ معاملهٔ مستقل است. اندازهٔ نمونه ۳۸۶ نفر بود که نسبت مشاهده به پارامتر را در مدل ساختاری بالاتر از آستانهٔ توصیه‌شده (حداقل ۱۰) و از آستانهٔ ۲۰۰ مشاهده برای مدل‌های با پیچیدگی متوسط بزرگ‌تر نگه می‌دارد (کلاین</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۲۰۲۳؛ هیر و همکاران</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۲۰۱۹).</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منشأ داده و محدودیت آن.</w:t>
      </w:r>
      <w:r>
        <w:rPr>
          <w:rFonts w:ascii="Times New Roman" w:hAnsi="Times New Roman" w:cs="B Nazanin" w:eastAsia="Times New Roman"/>
          <w:sz w:val="26"/>
          <w:szCs w:val="26"/>
          <w:lang w:val="en-US" w:bidi="fa-IR"/>
        </w:rPr>
        <w:t xml:space="preserve"> داده‌های این پژوهش با فرایند شبیه‌سازی واقع‌نما تولید شده‌اند. ابتدا متغیرهای مکنون از توزیع نرمال چندمتغیره با ضرایب ساختاری مفروض تولید شد (ضرایب استاندارد جمعیت در جدول ۱ آمده است)؛ سپس هر گویه با بار عاملی ۰٫۶۰ تا ۰٫۸۰، بارگذاری‌های متقاطع کوچک، همبستگی خطای میان گویه‌های هم‌محتوا، یک عامل روش مشترک ضعیف و آستانه‌های نامتقارن لیکرت به مقیاس ۱ تا ۵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نشانی کد و داده در بخش پایانی آمده است و جایگزینی داده‌های واقعی بدون تغییر در کد ممکن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ضرایب ساختاری استاندارد مفروض در شبیه‌سازی</w:t>
      </w:r>
    </w:p>
    <w:tbl>
      <w:tblPr>
        <w:bidiVisual/>
        <w:tblW w:w="8900" w:type="dxa"/>
        <w:jc w:val="center"/>
        <w:tblLayout w:type="fixed"/>
        <w:tblCellMar>
          <w:left w:w="60" w:type="dxa"/>
          <w:right w:w="60" w:type="dxa"/>
        </w:tblCellMar>
      </w:tblPr>
      <w:tblGrid>
        <w:gridCol w:w="2900"/>
        <w:gridCol w:w="1500"/>
        <w:gridCol w:w="3000"/>
        <w:gridCol w:w="15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۰٫۴۷</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۰٫۳۰</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در جدول ۷ به‌دلیل این عوامل متفاوت‌اند.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۳-۲. ابزار اندازه‌گیری و تعریف عملیاتی متغیرها</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ابزار گردآوری، پرسشنامه‌ای شامل پنج سازه و ۲۶ گویه در مقیاس لیکرت پنج‌درجه‌ای (۱ = کاملاً مخالفم تا ۵ = کاملاً موافقم) و سؤال‌های جمعیت‌شناختی است. گویه‌ها از مقیاس‌های معتبر بین‌المللی بازنویسی و برای بستر سرمایه‌گذاری بومی‌سازی شده‌اند (جدول ۲). متن کامل پرسشنامه به‌همراه راهنمای اعتبارسنجی (روایی محتوا با نسبت و شاخص روایی محتوا، (لاوشه</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۱۹۷۵)؛ ترجمه و ترجمهٔ معکوس، (بریسلین</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۱۹۷۰)) در فایل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سازه‌ها، تعداد گویه‌ها و مبنای نظری گویه‌ها</w:t>
      </w:r>
    </w:p>
    <w:tbl>
      <w:tblPr>
        <w:bidiVisual/>
        <w:tblW w:w="8900" w:type="dxa"/>
        <w:jc w:val="center"/>
        <w:tblLayout w:type="fixed"/>
        <w:tblCellMar>
          <w:left w:w="60" w:type="dxa"/>
          <w:right w:w="60" w:type="dxa"/>
        </w:tblCellMar>
      </w:tblPr>
      <w:tblGrid>
        <w:gridCol w:w="2300"/>
        <w:gridCol w:w="900"/>
        <w:gridCol w:w="3000"/>
        <w:gridCol w:w="270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تعداد گویه</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تعریف عملیاتی</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مبنای ابزار</w:t>
            </w:r>
          </w:p>
        </w:tc>
      </w:tr>
      <w:tr>
        <w:trPr>
          <w:cantSplit/>
        </w:trPr>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سرمایه‌گذاری در شبکه‌های اجتماعی</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دفعات و شدت دنبال‌کردن و اتکا به محتوای بورس در شبکه‌ها</w:t>
            </w:r>
          </w:p>
        </w:tc>
        <w:tc>
          <w:tcPr>
            <w:tcW w:w="2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الیسون و همکاران (۲۰۰۷)؛ بازنویسی پژوهشگر</w:t>
            </w:r>
          </w:p>
        </w:tc>
      </w:tr>
      <w:tr>
        <w:trPr>
          <w:cantSplit/>
        </w:trPr>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نگرانی از دست‌دادن فرصت سودآوری که دیگران دارند</w:t>
            </w:r>
          </w:p>
        </w:tc>
        <w:tc>
          <w:tcPr>
            <w:tcW w:w="2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پرزیبیلسکی و همکاران (۲۰۱۳)؛ آبل و همکاران (۲۰۱۶)</w:t>
            </w:r>
          </w:p>
        </w:tc>
      </w:tr>
      <w:tr>
        <w:trPr>
          <w:cantSplit/>
        </w:trPr>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پیروی تصمیم از رفتار جمع به‌جای تحلیل شخصی</w:t>
            </w:r>
          </w:p>
        </w:tc>
        <w:tc>
          <w:tcPr>
            <w:tcW w:w="2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باکار و یی (۲۰۱۶)؛ کومار و گویال (۲۰۱۵)</w:t>
            </w:r>
          </w:p>
        </w:tc>
      </w:tr>
      <w:tr>
        <w:trPr>
          <w:cantSplit/>
        </w:trPr>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به‌کارگیری صورت‌های مالی، کدال و نسبت‌ها در تصمیم</w:t>
            </w:r>
          </w:p>
        </w:tc>
        <w:tc>
          <w:tcPr>
            <w:tcW w:w="2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توسعه‌یافته بر پایهٔ لارنس (۲۰۱۳)</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سرمایه‌گذاری</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تحلیل‌محوری، رضایت، همسویی با اهداف و پشیمانی کم</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پارکر و فیشهاف (۲۰۰۵)؛ برویِن دو برویِن و همکاران (۲۰۰۷)</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هیچ‌یک از گویه‌ها نسخهٔ استانداردشدهٔ فارسی نیست و پیش از جمع‌آوری داده‌ٔ واقعی باید اعتبارسنجی شود.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۳-۳. روش تحلیل</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تحلیل در محیط پایتون و با بستهٔ semopy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۲۰۲۰) انجام شد. نخست توصیفی و آزمون نرمال‌بودن چندمتغیره (کشیدگی ماردیا؛ (ماردیا</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۱۹۷۰)) بررسی شد. سپس مدل اندازه‌گیری پنج‌عاملی با تحلیل عاملی تأییدی و برآورد بیشینهٔ درست‌نمایی آزموده و پایایی (آلفای کرونباخ، پایایی ترکیبی)، روایی همگرا (میانگین واریانس استخراج‌شده، AVE) و واگرا (معیار فورنل ـ لارکر و نسبت HTMT) سنجیده شد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۲۰۱۵). سوگیری روش مشترک با آزمون تک‌عاملی هارمن، مدل تک‌عاملی و مدل عامل روش مشترک بررسی شد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۲۰۰۳؛ پوداساف و همکاران، ۲۰۱۲). معیارهای برازش شامل χ² به نسبت درجهٔ آزادی، CFI، TLI، RMSEA و SRMR بود که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(۱۹۹۹) مقایسه شدند.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مدل ساختاری مکنون، شامل مسیرهای پیشنهادی و متغیرهای کنترل (سن، جنسیت و سابقه)، با ML برآورد شد. تعامل مکنون فومو و استفاده از اطلاعات حسابداری با شاخص‌های حاصل‌ضرب جفت‌شدهٔ میانگین‌مرکزشده مدل شد (مارش و همکاران</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۲۰۰۴). اثرهای غیرمستقیم و مشروط با ۲۰۰۰ نمونهٔ خودگردان و فاصلهٔ اطمینان صدکی ۹۵٪ آزمون شد. استحکام نتایج با مقایسهٔ مدل‌های رقیب، برآوردگر DWLS، حذف مشاهدات پرت چندمتغیره و رگرسیون با خطای معیار مقاوم بررسی شد. کد و داده در پوشهٔ پیوست قرار دارد.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 یافته‌های پژوهش</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۴-۱. مشخصات جمعیت‌شناختی و آمار توصیفی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مشخصات جمعیت‌شناختی نمونه (شبیه‌سازی‌شده)</w:t>
      </w:r>
    </w:p>
    <w:tbl>
      <w:tblPr>
        <w:bidiVisual/>
        <w:tblW w:w="8000" w:type="dxa"/>
        <w:jc w:val="center"/>
        <w:tblLayout w:type="fixed"/>
        <w:tblCellMar>
          <w:left w:w="60" w:type="dxa"/>
          <w:right w:w="60" w:type="dxa"/>
        </w:tblCellMar>
      </w:tblPr>
      <w:tblGrid>
        <w:gridCol w:w="2600"/>
        <w:gridCol w:w="3200"/>
        <w:gridCol w:w="22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متغیر</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طبقه / شاخص</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مقدار</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جنسیت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مرد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۷۱٫۵٪</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زن</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۲۸٫۵٪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سن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 (۸٫۹)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سابقهٔ معامله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۷٫۰ (۴٫۴)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تحصیلات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دیپلم و کمتر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۱۰٫۴٪</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۴۳٫۰٪</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 ارشد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۳۹٫۱٪</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دکتری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ارزش سبد (میلیون تومان)</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میانه (دامنهٔ میان‌چارکی)</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۱۸۴ (۱۰۰–۳۵۸)</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میانگین نمرهٔ ترکیبی سازه‌ها بین ۲٫۶۴ و ۳٫۲۱ از ۵ و انحراف معیار آن‌ها بین ۰٫۸۵ و ۰٫۸۶ بود. چولگی گویه‌ها در بازهٔ ⁦−۰٫۲۳⁩ تا ۰٫۵۵ و کشیدگی آن‌ها بین ⁦−۰٫۷۶⁩ و ⁦−۰٫۳۴⁩ قرار داشت که از آستانه‌های رایج (قدر مطلق ۲ برای چولگی و ۷ برای کشیدگی) فاصله دارد. شاخص کشیدگی چندمتغیرهٔ ماردیا برابر ۷۱۷٫۱ در برابر مقدار مورد انتظار ۷۲۸ (⁦z = −۲٫۸۲⁩) بود؛ یعنی توزیع چندمتغیره دقیقاً نرمال نیست و به همین دلیل برآوردگر مقاوم (DWLS) نیز به‌عنوان آزمون استحکام به‌کار رفت.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میانگین، انحراف معیار و همبستگی مکنون سازه‌ها (برآورد CFA)</w:t>
      </w:r>
    </w:p>
    <w:tbl>
      <w:tblPr>
        <w:bidiVisual/>
        <w:tblW w:w="8000" w:type="dxa"/>
        <w:jc w:val="center"/>
        <w:tblLayout w:type="fixed"/>
        <w:tblCellMar>
          <w:left w:w="60" w:type="dxa"/>
          <w:right w:w="60" w:type="dxa"/>
        </w:tblCellMar>
      </w:tblPr>
      <w:tblGrid>
        <w:gridCol w:w="2200"/>
        <w:gridCol w:w="900"/>
        <w:gridCol w:w="1100"/>
        <w:gridCol w:w="760"/>
        <w:gridCol w:w="760"/>
        <w:gridCol w:w="760"/>
        <w:gridCol w:w="760"/>
        <w:gridCol w:w="760"/>
      </w:tblGrid>
      <w:tr>
        <w:trPr>
          <w:tblHeader/>
        </w:trPr>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میانگین</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انحراف معیار</w:t>
            </w:r>
          </w:p>
        </w:tc>
        <w:tc>
          <w:tcPr>
            <w:tcW w:w="76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۱</w:t>
            </w:r>
          </w:p>
        </w:tc>
        <w:tc>
          <w:tcPr>
            <w:tcW w:w="76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۲</w:t>
            </w:r>
          </w:p>
        </w:tc>
        <w:tc>
          <w:tcPr>
            <w:tcW w:w="76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۳</w:t>
            </w:r>
          </w:p>
        </w:tc>
        <w:tc>
          <w:tcPr>
            <w:tcW w:w="76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۴</w:t>
            </w:r>
          </w:p>
        </w:tc>
        <w:tc>
          <w:tcPr>
            <w:tcW w:w="76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۵</w:t>
            </w:r>
          </w:p>
        </w:tc>
      </w:tr>
      <w:tr>
        <w:trPr>
          <w:cantSplit/>
        </w:trPr>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۳٫۲۱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۰٫۸۶</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r>
      <w:tr>
        <w:trPr>
          <w:cantSplit/>
        </w:trPr>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۲٫۹۵</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۰٫۸۶</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r>
      <w:tr>
        <w:trPr>
          <w:cantSplit/>
        </w:trPr>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۲٫۷۴</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760" w:type="dxa"/>
            <w:vAlign w:val="center"/>
          </w:tcPr>
          <w:p>
            <w:pPr>
              <w:bidi/>
              <w:spacing w:before="40" w:after="40" w:line="240" w:lineRule="auto"/>
              <w:jc w:val="center"/>
            </w:pPr>
          </w:p>
        </w:tc>
        <w:tc>
          <w:tcPr>
            <w:tcW w:w="760" w:type="dxa"/>
            <w:vAlign w:val="center"/>
          </w:tcPr>
          <w:p>
            <w:pPr>
              <w:bidi/>
              <w:spacing w:before="40" w:after="40" w:line="240" w:lineRule="auto"/>
              <w:jc w:val="center"/>
            </w:pPr>
          </w:p>
        </w:tc>
      </w:tr>
      <w:tr>
        <w:trPr>
          <w:cantSplit/>
        </w:trPr>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۲٫۹۹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۰٫۸۶</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⁦−۰٫۱۸⁩</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w:t>
            </w:r>
          </w:p>
        </w:tc>
        <w:tc>
          <w:tcPr>
            <w:tcW w:w="76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760" w:type="dxa"/>
            <w:vAlign w:val="center"/>
          </w:tcPr>
          <w:p>
            <w:pPr>
              <w:bidi/>
              <w:spacing w:before="40" w:after="40" w:line="240" w:lineRule="auto"/>
              <w:jc w:val="center"/>
            </w:pPr>
          </w:p>
        </w:tc>
      </w:tr>
      <w:tr>
        <w:trPr>
          <w:cantSplit/>
        </w:trPr>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۲٫۶۴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w:t>
            </w:r>
          </w:p>
        </w:tc>
        <w:tc>
          <w:tcPr>
            <w:tcW w:w="76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⁦−۰٫۲۷⁩</w:t>
            </w:r>
          </w:p>
        </w:tc>
        <w:tc>
          <w:tcPr>
            <w:tcW w:w="76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c>
          <w:tcPr>
            <w:tcW w:w="76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w:t>
            </w:r>
          </w:p>
        </w:tc>
        <w:tc>
          <w:tcPr>
            <w:tcW w:w="76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w:t>
            </w:r>
          </w:p>
        </w:tc>
        <w:tc>
          <w:tcPr>
            <w:tcW w:w="76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میانگین و انحراف معیار بر پایهٔ نمرهٔ ترکیبی (میانگین گویه‌ها) و همبستگی‌ها از مدل CFA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۴-۲. مدل اندازه‌گیری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نشان داد (جدول ۵). نسبت χ² به درجهٔ آزادی برابر ۱٫۳۴ بود و شاخص‌های CFI، TLI، RMSEA و SRMR همگی در بازهٔ مطلوب (هو و بنتلر، ۱۹۹۹) قرار گرفتند. بارهای عاملی استاندارد بین ۰٫۵۸ و ۰٫۸۲ و همگی معنادار بودند.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شاخص‌های برازش مدل اندازه‌گیری، مدل ساختاری و مدل تک‌عاملی</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آستانهٔ مطلوب</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 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پنج‌عاملی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۳۸۸٫۰</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 (با تعامل مکنون)</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۶۱۷٫۷</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۲۳۶۳٫۸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۷٫۹۱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۰٫۱۲۹</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همان‌طور که در جدول ۶ دیده می‌شود، آلفای کرونباخ و پایایی ترکیبی همهٔ سازه‌ها بالاتر از ۰٫۷۰ و میانگین واریانس استخراج‌شده نزدیک یا بالاتر از ۰٫۵۰ است؛ پس پایایی و روایی همگرا پذیرفتنی است. در مورد روایی واگرا، جذر AVE هر سازه از همبستگی آن با سازه‌های دیگر بزرگ‌تر بود و بیشینهٔ HTMT برابر ۰٫۵۹ و کمتر از آستانهٔ ۰٫۸۵ به‌دست آمد.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پایایی، روایی همگرا و واگرا</w:t>
      </w:r>
    </w:p>
    <w:tbl>
      <w:tblPr>
        <w:bidiVisual/>
        <w:tblW w:w="8500" w:type="dxa"/>
        <w:jc w:val="center"/>
        <w:tblLayout w:type="fixed"/>
        <w:tblCellMar>
          <w:left w:w="60" w:type="dxa"/>
          <w:right w:w="60" w:type="dxa"/>
        </w:tblCellMar>
      </w:tblPr>
      <w:tblGrid>
        <w:gridCol w:w="2400"/>
        <w:gridCol w:w="800"/>
        <w:gridCol w:w="1700"/>
        <w:gridCol w:w="900"/>
        <w:gridCol w:w="900"/>
        <w:gridCol w:w="900"/>
        <w:gridCol w:w="900"/>
      </w:tblGrid>
      <w:tr>
        <w:trPr>
          <w:tblHeader/>
        </w:trPr>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دامنهٔ بار عاملی</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۰٫۵۸–۰٫۸۰</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۰٫۵۰۰</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۰٫۷۰۷</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۰٫۶۷–۰٫۸۲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۰٫۵۴۰</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۰٫۷۳۵</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۰٫۶۶–۰٫۷۷</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۰٫۷۲۴</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۰٫۵۹–۰٫۸۰</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r>
        <w:trPr>
          <w:cantSplit/>
        </w:trPr>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۰٫۶۴–۰٫۸۱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آزمون تک‌عاملی هارمن نشان داد عامل نخست ۲۹٫۴٪ از واریانس را تبیین می‌کند (کمتر از ۵۰٪) و مدل تک‌عاملی برازش بسیار ضعیفی داشت (⁦CFI = ۰٫۵۲⁩). در مدل عامل روش مشترک، سهم میانگین واریانس مشترک روش ۱۴٫۷٪ بود که از معیار ۲۵٪ پایین‌تر است. شاخص تورم واریانس نمرات ترکیبی نیز بین ۱٫۰۶ و ۱٫۴۹ قرار داشت و مشکل هم‌خطی وجود نداشت. بنابراین سوگیری روش مشترک تهدید جدی برای نتایج نیست.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۴-۳. مدل ساختاری و آزمون فرضیه‌ها</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مدل ساختاری برازش مطلوبی داشت (⁦χ²/df = ۱٫۲۰⁩؛ ⁦CFI = ۰٫۹۷۷⁩؛ ⁦RMSEA = ۰٫۰۲۳⁩؛ ⁦SRMR = ۰٫۰۴۲⁩). ضرایب مسیر در جدول ۷ و شکل ۲ آمده است. مواجهه با محتوا اثر مثبت و نیرومندی بر فومو داشت (⁦β = ۰٫۴۹⁩، ⁦z = ۸٫۲۳⁩، ⁦p &lt; ۰٫۰۰۱⁩). فومو بر رفتار توده‌وار اثر مثبت داشت (⁦β = ۰٫۴۱⁩، ⁦z = ۶٫۶۲⁩، ⁦p &lt; ۰٫۰۰۱⁩) و رفتار توده‌وار کیفیت تصمیم را کاهش داد (⁦β = −۰٫۳۵⁩، ⁦z = −۴٫۷۳⁩، ⁦p &lt; ۰٫۰۰۱⁩). اثر مستقیم مواجهه بر رفتار توده‌وار نیز مثبت و معنادار بود (⁦β = ۰٫۲۹⁩، ⁦z = ۴٫۷۵⁩، ⁦p &lt; ۰٫۰۰۱⁩) و استفاده از اطلاعات حسابداری اثر مثبتی بر کیفیت تصمیم داشت (⁦β = ۰٫۴۳⁩، ⁦z = ۷٫۵۴⁩، ⁦p &lt; ۰٫۰۰۱⁩). اثر مستقیم فومو بر کیفیت تصمیم (⁦β = −۰٫۰۶⁩؛ ⁦p = ۰٫۳۸۰⁩) و اثر مستقیم مواجهه بر کیفیت تصمیم (⁦β = ۰٫۰۱⁩؛ ⁦p = ۰٫۸۵۲⁩) معنادار نبود؛ یعنی اثر این دو متغیر عمدتاً از مسیر رفتار توده‌وار منتقل می‌شود.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برآورد ضرایب مسیر ساختاری</w:t>
      </w:r>
    </w:p>
    <w:tbl>
      <w:tblPr>
        <w:bidiVisual/>
        <w:tblW w:w="8700" w:type="dxa"/>
        <w:jc w:val="center"/>
        <w:tblLayout w:type="fixed"/>
        <w:tblCellMar>
          <w:left w:w="60" w:type="dxa"/>
          <w:right w:w="60" w:type="dxa"/>
        </w:tblCellMar>
      </w:tblPr>
      <w:tblGrid>
        <w:gridCol w:w="3000"/>
        <w:gridCol w:w="700"/>
        <w:gridCol w:w="800"/>
        <w:gridCol w:w="800"/>
        <w:gridCol w:w="900"/>
        <w:gridCol w:w="800"/>
        <w:gridCol w:w="800"/>
        <w:gridCol w:w="9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معناداری</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 فومو</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۰٫۳۵۹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۰٫۴۱۰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۶٫۶۲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⁦−۰٫۳۶۰⁩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⁦−۰٫۳۵۴⁩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۰٫۲۶۰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 اطلاعات حسابداری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⁦−۳٫۳۲⁩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۰٫۴۲۸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۷٫۵۴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⁦−۰٫۰۵۹⁩</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⁦−۲٫۱۳⁩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 رفتار توده‌وار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b ضریب ناستاندارد و β ضریب استاندارد است؛ متغیرهای کنترل (سن، جنسیت، سابقه) در مدل وارد شدند. معناداری: ∗∗∗ ‏p&lt;۰٫۰۰۱، ∗∗ ‏p&lt;۰٫۰۱، ∗ ‏p&lt;۰٫۰۵</w:t>
      </w:r>
    </w:p>
    <w:p>
      <w:pPr>
        <w:keepNext/>
        <w:jc w:val="center"/>
      </w:pPr>
      <w:r>
        <w:drawing>
          <wp:inline distT="0" distB="0" distL="0" distR="0">
            <wp:extent cx="5220000" cy="2793157"/>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220000" cy="279315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با ضرایب مسیر استاندارد (یافتهٔ پژوهشگر)</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بر پایهٔ نمرات ترکیبی، مدل ۲۲٪ از واریانس فومو (⁦R² = ۰٫۲۲⁩)، ۳۸٪ از واریانس رفتار توده‌وار (⁦R² = ۰٫۳۸⁩) و ۳۴٪ از واریانس کیفیت تصمیم (⁦R² = ۰٫۳۴⁩) را تبیین کرد. اندازهٔ اثر تعامل (⁦f² = ۰٫۰۳۸⁩) در قلمرو اثرهای تعاملی کوچک اما معنادار قرار می‌گیرد، که برای تعامل‌های پیمایشی انتظار می‌رود.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۴-۴. میانجی‌گری متوالی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اثر غیرمستقیم متوالی مواجهه ← فومو ← رفتار توده‌وار ← کیفیت تصمیم، در سطح استاندارد برابر ⁦−۰٫۰۷۱⁩ با فاصلهٔ اطمینان [⁦−۰٫۱۱۱⁩، ⁦−۰٫۰۳۸⁩] بود که شامل صفر نیست (فرضیهٔ ۵ تأیید می‌شود). مسیر غیرمستقیم مواجهه ← رفتار توده‌وار ← کیفیت تصمیم نیز معنادار بود (⁦−۰٫۱۰۲⁩؛ [⁦−۰٫۱۶۳⁩، ⁦−۰٫۰۵۰⁩]) در حالی‌که مسیر مواجهه ← فومو ← کیفیت تصمیم، به‌دلیل نبود اثر مستقیم فومو، معنادار نبود (⁦−۰٫۰۲۹⁩؛ [⁦−۰٫۱۰۹⁩، ۰٫۰۴۱]). اثر غیرمستقیم کل ⁦−۰٫۲۰۱⁩ و اثر کل ⁦−۰٫۱۹۰⁩ (هر دو معنادار) برآورد شد؛ در نتیجه اثر مستقیم مواجهه بر کیفیت تصمیم نزدیک صفر و تقریباً همهٔ اثر آن غیرمستقیم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اثرهای غیرمستقیم و کل (خودگردان‌سازی، فاصلهٔ اطمینان ۹۵٪، ضرایب استاندارد)</w:t>
      </w:r>
    </w:p>
    <w:tbl>
      <w:tblPr>
        <w:bidiVisual/>
        <w:tblW w:w="8700" w:type="dxa"/>
        <w:jc w:val="center"/>
        <w:tblLayout w:type="fixed"/>
        <w:tblCellMar>
          <w:left w:w="60" w:type="dxa"/>
          <w:right w:w="60" w:type="dxa"/>
        </w:tblCellMar>
      </w:tblPr>
      <w:tblGrid>
        <w:gridCol w:w="4200"/>
        <w:gridCol w:w="1200"/>
        <w:gridCol w:w="2300"/>
        <w:gridCol w:w="1000"/>
      </w:tblGrid>
      <w:tr>
        <w:trPr>
          <w:tblHeader/>
        </w:trPr>
        <w:tc>
          <w:tcPr>
            <w:tcW w:w="4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[⁦−۰٫۱۶۳⁩، ⁦−۰٫۰۵۰⁩]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[⁦−۰٫۱۰۹⁩، ۰٫۰۴۱]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خیر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کل</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[⁦−۰٫۲۸۳⁩، ⁦−۰٫۱۲۵⁩]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(مستقیم + غیرمستقیم)</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⁦−۰٫۱۹۰⁩</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[⁦−۰٫۲۹۰⁩، ⁦−۰٫۰۸۷⁩]</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۴-۵. تعدیل‌گری استفاده از اطلاعات حسابداری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ضریب تعامل فومو × استفاده از اطلاعات حسابداری بر رفتار توده‌وار منفی و معنادار بود (⁦β = −۰٫۱۸⁩، ⁦z = −۳٫۳۲⁩، ⁦p &lt; ۰٫۰۰۱⁩)، بنابراین فرضیهٔ ۶ تأیید می‌شود. تحلیل شیب‌های ساده نشان می‌دهد اثر فومو بر رفتار توده‌وار در سطح پایین (یک انحراف معیار کمتر از میانگین) استفاده از اطلاعات حسابداری برابر ۰٫۵۳، در سطح میانگین ۰٫۳۶ و در سطح بالا ۰٫۱۹ است؛ یعنی شیب با افزایش اطلاعات حسابداری تضعیف می‌شود ولی هیچ‌گاه صفر نمی‌شود (شکل ۳). اثر غیرمستقیم متوالی (ناستاندارد) نیز در سطح پایین ⁦−۰٫۰۹۵⁩ [⁦−۰٫۱۵۱⁩، ⁦−۰٫۰۵۰⁩]، در سطح میانگین ⁦−۰٫۰۶۵⁩ [⁦−۰٫۱۰۵⁩، ⁦−۰٫۰۳۴⁩] و در سطح بالا ⁦−۰٫۰۳۴⁩ [⁦−۰٫۰۷۰⁩، ⁦−۰٫۰۰۸⁩] بود. شاخص میانجی‌گری تعدیل‌شده ۰٫۰۳۴ با فاصلهٔ اطمینان [۰٫۰۱۳، ۰٫۰۶۵] برآورد شد که شامل صفر نیست و فرضیهٔ ۷ را تأیید می‌کند.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شیب‌های ساده و اثرهای غیرمستقیم مشروط</w:t>
      </w:r>
    </w:p>
    <w:tbl>
      <w:tblPr>
        <w:bidiVisual/>
        <w:tblW w:w="8300" w:type="dxa"/>
        <w:jc w:val="center"/>
        <w:tblLayout w:type="fixed"/>
        <w:tblCellMar>
          <w:left w:w="60" w:type="dxa"/>
          <w:right w:w="60" w:type="dxa"/>
        </w:tblCellMar>
      </w:tblPr>
      <w:tblGrid>
        <w:gridCol w:w="3200"/>
        <w:gridCol w:w="1700"/>
        <w:gridCol w:w="1700"/>
        <w:gridCol w:w="1700"/>
      </w:tblGrid>
      <w:tr>
        <w:trPr>
          <w:tblHeader/>
        </w:trPr>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سطح استفاده از اطلاعات حسابداری</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شیب فومو ← توده‌واری</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غیرمستقیم متوالی</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 ۹۵٪</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پایین (−۱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۰٫۵۲۷</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⁦−۰٫۰۹۵⁩</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[⁦−۰٫۱۵۱⁩، ⁦−۰٫۰۵۰⁩]</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۰٫۳۵۹</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⁦−۰٫۰۶۵⁩</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⁦−۰٫۰۳۴⁩]</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بالا (+۱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۰٫۱۹۱</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1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[⁦−۰٫۰۷۰⁩، ⁦−۰٫۰۰۸⁩]</w:t>
            </w:r>
          </w:p>
        </w:tc>
      </w:tr>
      <w:tr>
        <w:trPr>
          <w:cantSplit/>
        </w:trPr>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شاخص میانجی‌گری تعدیل‌شده</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ناستاندارد در متریک عامل‌های مکنون (گویهٔ نشانگر)؛ معناداری از فاصلهٔ اطمینان خودگردان.</w:t>
      </w:r>
    </w:p>
    <w:p>
      <w:pPr>
        <w:keepNext/>
        <w:jc w:val="center"/>
      </w:pPr>
      <w:r>
        <w:drawing>
          <wp:inline distT="0" distB="0" distL="0" distR="0">
            <wp:extent cx="3960000" cy="27225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60000" cy="2722500"/>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 تعاملی فومو و استفاده از اطلاعات حسابداری بر رفتار توده‌وار (شیب‌های ساده، نمرات ترکیبی)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خلاصهٔ آزمون فرضیه‌ها</w:t>
      </w:r>
    </w:p>
    <w:tbl>
      <w:tblPr>
        <w:bidiVisual/>
        <w:tblW w:w="8500" w:type="dxa"/>
        <w:jc w:val="center"/>
        <w:tblLayout w:type="fixed"/>
        <w:tblCellMar>
          <w:left w:w="60" w:type="dxa"/>
          <w:right w:w="60" w:type="dxa"/>
        </w:tblCellMar>
      </w:tblPr>
      <w:tblGrid>
        <w:gridCol w:w="800"/>
        <w:gridCol w:w="3500"/>
        <w:gridCol w:w="1100"/>
        <w:gridCol w:w="22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فرضیه</w:t>
            </w:r>
          </w:p>
        </w:tc>
        <w:tc>
          <w:tcPr>
            <w:tcW w:w="3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p یا فاصلهٔ اطمینان</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۰٫۴۸۶</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۰٫۴۱۰</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⁦−۰٫۳۵۴⁩</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۰٫۲۸۸</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متوالی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⁦−۰٫۱۸۵⁩</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w:t>
            </w:r>
          </w:p>
        </w:tc>
        <w:tc>
          <w:tcPr>
            <w:tcW w:w="3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میانجی‌گری تعدیل‌شده (+)</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۸</w:t>
            </w:r>
          </w:p>
        </w:tc>
        <w:tc>
          <w:tcPr>
            <w:tcW w:w="3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 (+)</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۰٫۴۲۸</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⁦p &lt; 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تأیید</w:t>
            </w:r>
          </w:p>
        </w:tc>
      </w:tr>
    </w:tbl>
    <w:p>
      <w:pPr>
        <w:bidi/>
        <w:spacing w:before="0" w:after="100" w:line="240" w:lineRule="auto"/>
        <w:ind w:firstLine="360"/>
        <w:jc w:val="both"/>
      </w:pP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۴-۶. آزمون‌های تکمیلی و استحکام</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نخست، چهار مدل رقیب مقایسه شد (جدول ۱۱). مدل پیشنهادی (میانجی جزئی) از مدل میانجی کامل زنجیره‌ای بهتر برازش داشت (⁦Δχ² = ۲۵٫۲⁩؛ ⁦Δdf = ۳⁩)، و مدل بدون میانجی (اثر مستقیم) برازش ضعیف‌تری داشت.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مقایسهٔ مدل‌های رقیب</w:t>
      </w:r>
    </w:p>
    <w:tbl>
      <w:tblPr>
        <w:bidiVisual/>
        <w:tblW w:w="8300" w:type="dxa"/>
        <w:jc w:val="center"/>
        <w:tblLayout w:type="fixed"/>
        <w:tblCellMar>
          <w:left w:w="60" w:type="dxa"/>
          <w:right w:w="60" w:type="dxa"/>
        </w:tblCellMar>
      </w:tblPr>
      <w:tblGrid>
        <w:gridCol w:w="3700"/>
        <w:gridCol w:w="1000"/>
        <w:gridCol w:w="700"/>
        <w:gridCol w:w="900"/>
        <w:gridCol w:w="900"/>
        <w:gridCol w:w="1100"/>
      </w:tblGrid>
      <w:tr>
        <w:trPr>
          <w:tblHeader/>
        </w:trPr>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BIC</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پیشنهادی (میانجی جزئی)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۴۸۱٫۸</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۰٫۰۲۸</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 کامل زنجیره‌ای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۵۰۷٫۰</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ترتیب معکوس (توده‌واری←FOMO)</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۴۸۵٫۷</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مستقیم بدون میانجی</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۵۷۸٫۷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۰٫۹۵۳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۰٫۰۳۸</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۳۷۲٫۲</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دوم، با برآوردگر DWLS که برای دادهٔ رتبه‌ای مناسب‌تر است، مسیرهای اصلی همچنان معنادار ماندند (⁦β(فومو←توده‌واری) = ۰٫۴۳⁩؛ ⁦β(توده‌واری←کیفیت) = −۰٫۳۴⁩). سوم، پس از حذف ۵٪ دورترین مشاهدات از مرکز توزیع چندمتغیره بر پایهٔ فاصلهٔ ماهالانوبیس (۲۰ مشاهده)، جهت و معناداری تعامل حفظ شد (⁦β = −۰٫۱۹⁩؛ ⁦p &lt; ۰٫۰۰۱⁩). چهارم، رگرسیون نمرات ترکیبی با خطای معیار مقاوم HC۳ ضریب تعامل را ⁦−۰٫۱۶۵⁩ (⁦p &lt; ۰٫۰۰۱⁩) برآورد کرد و شیب ساده فومو در سطح بالای اطلاعات حسابداری همچنان معنادار (⁦b = ۰٫۲۰⁩) و از سطح پایین (⁦b = ۰٫۵۳⁩) کوچک‌تر بود. این نتایج نشان می‌دهد یافته‌ها به روش برآورد وابسته نیستند.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لازم است تأکید شود که چون داده‌ها از مدل مفروض تولید شده‌اند، هم‌خوانی ضرایب برآوردشده با مقادیر مفروض (جدول ۱) نشانهٔ بازیابی صحیح ساختار توسط روش است و نه تأیید تجربی فرضیه‌ها.</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مفروض، هر هشت فرضیه تأیید شد. نخست، مواجهه با محتوا از نیرومندترین پیش‌بینی‌کننده‌های فومو بود (⁦β = ۰٫۴۹⁩)، که با نظریهٔ مقایسهٔ اجتماعی (فستینگر، ۱۹۵۴) و یافته‌های مرتبط با استفادهٔ شبکه‌ای از فومو (آبل و همکاران، ۲۰۱۶) هم‌سو است. دوم، فومو رفتار توده‌وار را برانگیخت (⁦β = ۰٫۴۱⁩)؛ این امر منطق آبشارهای اطلاعاتی (بیکچندانی و همکاران، ۱۹۹۲) را با سازوکاری هیجانی تکمیل می‌کند: ترس از جاماندن بهای روانی پیروی نکردن از جمع را بالا می‌برد. سوم، رفتار توده‌وار کیفیت تصمیم را کاهش داد (⁦β = −۰٫۳۵⁩)، همسو با شواهد دربارهٔ هزینهٔ معاملات تحت‌تأثیر عوامل غیربنیادی (باربر و اودین، ۲۰۰۰؛ باربر و اودین، ۲۰۰۱).</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از نظر تعدیل‌گری، استفاده از اطلاعات حسابداری شیب فومو ← توده‌واری را به‌طور معنادار کاهش داد؛ شیب در سطح بالای اطلاعات حسابداری حدود ۶۴٪ کمتر از سطح پایین آن بود.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شاخص میانجی‌گری تعدیل‌شده نیز نشان داد اثر غیرمستقیم منفی در سطوح بالای استفاده از اطلاعات حسابداری کوچک‌تر است، اگرچه هرگز کاملاً حذف نمی‌شود.</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دانش‌افزایی نظری:</w:t>
      </w:r>
      <w:r>
        <w:rPr>
          <w:rFonts w:ascii="Times New Roman" w:hAnsi="Times New Roman" w:cs="B Nazanin" w:eastAsia="Times New Roman"/>
          <w:sz w:val="26"/>
          <w:szCs w:val="26"/>
          <w:lang w:val="en-US" w:bidi="fa-IR"/>
        </w:rPr>
        <w:t xml:space="preserve"> (۱) پیوند میان ادبیات شبکه‌های اجتماعی در مالی و ادبیات توده‌واری از طریق سازهٔ فومو؛ (۲) معرفی استفاده از اطلاعات حسابداری به‌عنوان تعدیل‌گر رفتاری، که حسابداری را از نقش صرفاً «محتوایی» به نقش «ضدسوگیری» می‌برد؛ (۳) ارائهٔ ابزار و کد بازتولیدپذیر برای آزمون مدل در بازارهای دیگر.</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پیشنهادهای کاربردی و سیاستی:</w:t>
      </w:r>
      <w:r>
        <w:rPr>
          <w:rFonts w:ascii="Times New Roman" w:hAnsi="Times New Roman" w:cs="B Nazanin" w:eastAsia="Times New Roman"/>
          <w:sz w:val="26"/>
          <w:szCs w:val="26"/>
          <w:lang w:val="en-US" w:bidi="fa-IR"/>
        </w:rPr>
        <w:t xml:space="preserve"> (۱) برای نهاد ناظر بازار سرمایه: الزام یا تشویق به افشای شفاف تعارض منافع و پشتوانهٔ مالی در تحلیل‌های منتشرشده در شبکه‌ها؛ (۲) برای ناشران: انتشار خلاصه‌های ساده و قابل‌فهم از گزارش‌های مالی در همان کانال‌هایی که سرمایه‌گذاران خرد دنبال می‌کنند، تا اطلاعات حسابداری در رقابت توجه از دست نرود؛ (۳) برای کارگزاری‌ها: ادغام شاخص‌های بنیادی (مانند سود هر سهم و نسبت‌های مالی) در پلتفرم‌های معاملاتی و هشدارهای رفتاری هنگام معاملات پرشتاب؛ (۴) برای نهادهای آموزشی و انجمن‌های حرفه‌ای: آموزش خواندن صورت‌های مالی با تمرکز بر مدیریت فومو؛ (۵) برای سرمایه‌گذاران: قاعدهٔ «بررسی صورت‌های مالی پیش از معاملهٔ برخاسته از یک محتوای شبکه‌ای».</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محدودیت‌ها و پیشنهاد پژوهش‌های آینده:</w:t>
      </w:r>
      <w:r>
        <w:rPr>
          <w:rFonts w:ascii="Times New Roman" w:hAnsi="Times New Roman" w:cs="B Nazanin" w:eastAsia="Times New Roman"/>
          <w:sz w:val="26"/>
          <w:szCs w:val="26"/>
          <w:lang w:val="en-US" w:bidi="fa-IR"/>
        </w:rPr>
        <w:t xml:space="preserve"> مهم‌ترین محدودیت شبیه‌سازی‌بودن داده است؛ بنابراین نخستین گام آینده اجرای پرسشنامهٔ پیوست روی نمونهٔ واقعی با اعتبارسنجی ابزار است. دیگر محدودیت‌ها عبارت‌اند از: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و مقایسهٔ چندگروهی بر پایهٔ تجربهٔ زیان در ریزش بازار بهره بگیرند؛ مورد اخیر در مقالهٔ همراه این پژوهش بررسی شده است.</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شبیه‌سازی‌شده، کد پایتون (قابل‌اجرا در Google Colab) و خروجی‌ها در مخزن پیوست شده‌اند. 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‹DOI را از صفحهٔ مقاله تکمیل کنید›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6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6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60" w:line="240" w:lineRule="auto"/>
        <w:jc w:val="left"/>
      </w:pPr>
      <w:r>
        <w:rPr>
          <w:rFonts w:ascii="Times New Roman" w:hAnsi="Times New Roman" w:cs="Times New Roman" w:eastAsia="Times New Roman"/>
          <w:sz w:val="24"/>
          <w:szCs w:val="24"/>
          <w:lang w:val="en-US" w:bidi="fa-IR"/>
        </w:rPr>
        <w:t xml:space="preserve">Banerjee, A. V. (1992). A simple model of herd behavior. The Quarterly Journal of Economics, 107(3), 797–817. https://doi.org/10.2307/2118364</w:t>
      </w:r>
    </w:p>
    <w:p>
      <w:pPr>
        <w:spacing w:before="0" w:after="60" w:line="240" w:lineRule="auto"/>
        <w:jc w:val="left"/>
      </w:pPr>
      <w:r>
        <w:rPr>
          <w:rFonts w:ascii="Times New Roman" w:hAnsi="Times New Roman" w:cs="Times New Roman" w:eastAsia="Times New Roman"/>
          <w:sz w:val="24"/>
          <w:szCs w:val="24"/>
          <w:lang w:val="en-US" w:bidi="fa-IR"/>
        </w:rPr>
        <w:t xml:space="preserve">Barber, B. M., &amp; Odean, T. (2000). Trading is hazardous to your wealth: The common stock investment performance of individual investors. The Journal of Finance, 55(2), 773–806. https://doi.org/10.1111/0022-1082.00226</w:t>
      </w:r>
    </w:p>
    <w:p>
      <w:pPr>
        <w:spacing w:before="0" w:after="6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6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6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6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60" w:line="240" w:lineRule="auto"/>
        <w:jc w:val="left"/>
      </w:pPr>
      <w:r>
        <w:rPr>
          <w:rFonts w:ascii="Times New Roman" w:hAnsi="Times New Roman" w:cs="Times New Roman" w:eastAsia="Times New Roman"/>
          <w:sz w:val="24"/>
          <w:szCs w:val="24"/>
          <w:lang w:val="en-US" w:bidi="fa-IR"/>
        </w:rPr>
        <w:t xml:space="preserve">Bell, D. E. (1982). Regret in decision making under uncertainty. Operations Research, 30(5), 961–981. https://doi.org/10.1287/opre.30.5.961</w:t>
      </w:r>
    </w:p>
    <w:p>
      <w:pPr>
        <w:spacing w:before="0" w:after="60" w:line="240" w:lineRule="auto"/>
        <w:jc w:val="left"/>
      </w:pPr>
      <w:r>
        <w:rPr>
          <w:rFonts w:ascii="Times New Roman" w:hAnsi="Times New Roman" w:cs="Times New Roman" w:eastAsia="Times New Roman"/>
          <w:sz w:val="24"/>
          <w:szCs w:val="24"/>
          <w:lang w:val="en-US" w:bidi="fa-IR"/>
        </w:rPr>
        <w:t xml:space="preserve">Bikhchandani, S., &amp; Sharma, S. (2001). Herd behavior in financial markets. IMF Staff Papers, 47(3), 279–310. https://doi.org/10.2307/4621672</w:t>
      </w:r>
    </w:p>
    <w:p>
      <w:pPr>
        <w:spacing w:before="0" w:after="60" w:line="240" w:lineRule="auto"/>
        <w:jc w:val="left"/>
      </w:pPr>
      <w:r>
        <w:rPr>
          <w:rFonts w:ascii="Times New Roman" w:hAnsi="Times New Roman" w:cs="Times New Roman" w:eastAsia="Times New Roman"/>
          <w:sz w:val="24"/>
          <w:szCs w:val="24"/>
          <w:lang w:val="en-US" w:bidi="fa-IR"/>
        </w:rPr>
        <w:t xml:space="preserve">Bikhchandani, S., Hirshleifer, D., &amp; Welch, I. (1992). A theory of fads, fashion, custom, and cultural change as informational cascades. Journal of Political Economy, 100(5), 992–1026. https://doi.org/10.1086/261849</w:t>
      </w:r>
    </w:p>
    <w:p>
      <w:pPr>
        <w:spacing w:before="0" w:after="6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60" w:line="240" w:lineRule="auto"/>
        <w:jc w:val="left"/>
      </w:pPr>
      <w:r>
        <w:rPr>
          <w:rFonts w:ascii="Times New Roman" w:hAnsi="Times New Roman" w:cs="Times New Roman" w:eastAsia="Times New Roman"/>
          <w:sz w:val="24"/>
          <w:szCs w:val="24"/>
          <w:lang w:val="en-US" w:bidi="fa-IR"/>
        </w:rPr>
        <w:t xml:space="preserve">Bollen, J., Mao, H., &amp; Zeng, X. (2011). Twitter mood predicts the stock market. Journal of Computational Science, 2(1), 1–8. https://doi.org/10.1016/j.jocs.2010.12.007</w:t>
      </w:r>
    </w:p>
    <w:p>
      <w:pPr>
        <w:spacing w:before="0" w:after="60" w:line="240" w:lineRule="auto"/>
        <w:jc w:val="left"/>
      </w:pPr>
      <w:r>
        <w:rPr>
          <w:rFonts w:ascii="Times New Roman" w:hAnsi="Times New Roman" w:cs="Times New Roman" w:eastAsia="Times New Roman"/>
          <w:sz w:val="24"/>
          <w:szCs w:val="24"/>
          <w:lang w:val="en-US" w:bidi="fa-IR"/>
        </w:rPr>
        <w:t xml:space="preserve">Brislin, R. W. (1970). Back-translation for cross-cultural research. Journal of Cross-Cultural Psychology, 1(3), 185–216. https://doi.org/10.1177/135910457000100301</w:t>
      </w:r>
    </w:p>
    <w:p>
      <w:pPr>
        <w:spacing w:before="0" w:after="6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60" w:line="240" w:lineRule="auto"/>
        <w:jc w:val="left"/>
      </w:pPr>
      <w:r>
        <w:rPr>
          <w:rFonts w:ascii="Times New Roman" w:hAnsi="Times New Roman" w:cs="Times New Roman" w:eastAsia="Times New Roman"/>
          <w:sz w:val="24"/>
          <w:szCs w:val="24"/>
          <w:lang w:val="en-US" w:bidi="fa-IR"/>
        </w:rPr>
        <w:t xml:space="preserve">Chen, H., De, P., Hu, Y. J., &amp; Hwang, B.-H. (2014). Wisdom of crowds: The value of stock opinions transmitted through social media. The Review of Financial Studies, 27(5), 1367–1403. https://doi.org/10.1093/rfs/hhu001</w:t>
      </w:r>
    </w:p>
    <w:p>
      <w:pPr>
        <w:spacing w:before="0" w:after="60" w:line="240" w:lineRule="auto"/>
        <w:jc w:val="left"/>
      </w:pPr>
      <w:r>
        <w:rPr>
          <w:rFonts w:ascii="Times New Roman" w:hAnsi="Times New Roman" w:cs="Times New Roman" w:eastAsia="Times New Roman"/>
          <w:sz w:val="24"/>
          <w:szCs w:val="24"/>
          <w:lang w:val="en-US" w:bidi="fa-IR"/>
        </w:rPr>
        <w:t xml:space="preserve">Cookson, J. A., &amp; Niessner, M. (2020). Why don't we agree? Evidence from a social network of investors. The Journal of Finance, 75(1), 173–228. https://doi.org/10.1111/jofi.12852</w:t>
      </w:r>
    </w:p>
    <w:p>
      <w:pPr>
        <w:spacing w:before="0" w:after="6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60" w:line="240" w:lineRule="auto"/>
        <w:jc w:val="left"/>
      </w:pPr>
      <w:r>
        <w:rPr>
          <w:rFonts w:ascii="Times New Roman" w:hAnsi="Times New Roman" w:cs="Times New Roman" w:eastAsia="Times New Roman"/>
          <w:sz w:val="24"/>
          <w:szCs w:val="24"/>
          <w:lang w:val="en-US" w:bidi="fa-IR"/>
        </w:rPr>
        <w:t xml:space="preserve">Devenow, A., &amp; Welch, I. (1996). Rational herding in financial economics. European Economic Review, 40(3–5), 603–615. https://doi.org/10.1016/0014-2921(95)00073-9</w:t>
      </w:r>
    </w:p>
    <w:p>
      <w:pPr>
        <w:spacing w:before="0" w:after="6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6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60" w:line="240" w:lineRule="auto"/>
        <w:jc w:val="left"/>
      </w:pPr>
      <w:r>
        <w:rPr>
          <w:rFonts w:ascii="Times New Roman" w:hAnsi="Times New Roman" w:cs="Times New Roman" w:eastAsia="Times New Roman"/>
          <w:sz w:val="24"/>
          <w:szCs w:val="24"/>
          <w:lang w:val="en-US" w:bidi="fa-IR"/>
        </w:rPr>
        <w:t xml:space="preserve">Hair, J. F., Black, W. C., Babin, B. J., &amp; Anderson, R. E. (2019). Multivariate data analysis (8th ed.). Cengage Learning.</w:t>
      </w:r>
    </w:p>
    <w:p>
      <w:pPr>
        <w:spacing w:before="0" w:after="6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60" w:line="240" w:lineRule="auto"/>
        <w:jc w:val="left"/>
      </w:pPr>
      <w:r>
        <w:rPr>
          <w:rFonts w:ascii="Times New Roman" w:hAnsi="Times New Roman" w:cs="Times New Roman" w:eastAsia="Times New Roman"/>
          <w:sz w:val="24"/>
          <w:szCs w:val="24"/>
          <w:lang w:val="en-US" w:bidi="fa-IR"/>
        </w:rPr>
        <w:t xml:space="preserve">Hirshleifer, D. (2001). Investor psychology and asset pricing. The Journal of Finance, 56(4), 1533–1597. https://doi.org/10.1111/0022-1082.00379</w:t>
      </w:r>
    </w:p>
    <w:p>
      <w:pPr>
        <w:spacing w:before="0" w:after="60" w:line="240" w:lineRule="auto"/>
        <w:jc w:val="left"/>
      </w:pPr>
      <w:r>
        <w:rPr>
          <w:rFonts w:ascii="Times New Roman" w:hAnsi="Times New Roman" w:cs="Times New Roman" w:eastAsia="Times New Roman"/>
          <w:sz w:val="24"/>
          <w:szCs w:val="24"/>
          <w:lang w:val="en-US" w:bidi="fa-IR"/>
        </w:rPr>
        <w:t xml:space="preserve">Hirshleifer, D. (2020). Presidential address: Social transmission bias in economics and finance. The Journal of Finance, 75(4), 1779–1831. https://doi.org/10.1111/jofi.12906</w:t>
      </w:r>
    </w:p>
    <w:p>
      <w:pPr>
        <w:spacing w:before="0" w:after="60" w:line="240" w:lineRule="auto"/>
        <w:jc w:val="left"/>
      </w:pPr>
      <w:r>
        <w:rPr>
          <w:rFonts w:ascii="Times New Roman" w:hAnsi="Times New Roman" w:cs="Times New Roman" w:eastAsia="Times New Roman"/>
          <w:sz w:val="24"/>
          <w:szCs w:val="24"/>
          <w:lang w:val="en-US" w:bidi="fa-IR"/>
        </w:rPr>
        <w:t xml:space="preserve">Hirshleifer, D., &amp; Teoh, S. H. (2003). Herd behaviour and cascading in capital markets: A review and synthesis. European Financial Management, 9(1), 25–66. https://doi.org/10.1111/1468-036X.00207</w:t>
      </w:r>
    </w:p>
    <w:p>
      <w:pPr>
        <w:spacing w:before="0" w:after="60" w:line="240" w:lineRule="auto"/>
        <w:jc w:val="left"/>
      </w:pPr>
      <w:r>
        <w:rPr>
          <w:rFonts w:ascii="Times New Roman" w:hAnsi="Times New Roman" w:cs="Times New Roman" w:eastAsia="Times New Roman"/>
          <w:sz w:val="24"/>
          <w:szCs w:val="24"/>
          <w:lang w:val="en-US" w:bidi="fa-IR"/>
        </w:rPr>
        <w:t xml:space="preserve">Hong, H., Kubik, J. D., &amp; Stein, J. C. (2004). Social interaction and stock-market participation. The Journal of Finance, 59(1), 137–163. https://doi.org/10.1111/j.1540-6261.2004.00629.x</w:t>
      </w:r>
    </w:p>
    <w:p>
      <w:pPr>
        <w:spacing w:before="0" w:after="6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6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60" w:line="240" w:lineRule="auto"/>
        <w:jc w:val="left"/>
      </w:pPr>
      <w:r>
        <w:rPr>
          <w:rFonts w:ascii="Times New Roman" w:hAnsi="Times New Roman" w:cs="Times New Roman" w:eastAsia="Times New Roman"/>
          <w:sz w:val="24"/>
          <w:szCs w:val="24"/>
          <w:lang w:val="en-US" w:bidi="fa-IR"/>
        </w:rPr>
        <w:t xml:space="preserve">Kaustia, M., &amp; Knüpfer, S. (2012). Peer performance and stock market entry. Journal of Financial Economics, 104(2), 321–338. https://doi.org/10.1016/j.jfineco.2011.01.010</w:t>
      </w:r>
    </w:p>
    <w:p>
      <w:pPr>
        <w:spacing w:before="0" w:after="60" w:line="240" w:lineRule="auto"/>
        <w:jc w:val="left"/>
      </w:pPr>
      <w:r>
        <w:rPr>
          <w:rFonts w:ascii="Times New Roman" w:hAnsi="Times New Roman" w:cs="Times New Roman" w:eastAsia="Times New Roman"/>
          <w:sz w:val="24"/>
          <w:szCs w:val="24"/>
          <w:lang w:val="en-US" w:bidi="fa-IR"/>
        </w:rPr>
        <w:t xml:space="preserve">Kline, R. B. (2023). Principles and practice of structural equation modeling (5th ed.). Guilford Press.</w:t>
      </w:r>
    </w:p>
    <w:p>
      <w:pPr>
        <w:spacing w:before="0" w:after="60" w:line="240" w:lineRule="auto"/>
        <w:jc w:val="left"/>
      </w:pPr>
      <w:r>
        <w:rPr>
          <w:rFonts w:ascii="Times New Roman" w:hAnsi="Times New Roman" w:cs="Times New Roman" w:eastAsia="Times New Roman"/>
          <w:sz w:val="24"/>
          <w:szCs w:val="24"/>
          <w:lang w:val="en-US" w:bidi="fa-IR"/>
        </w:rPr>
        <w:t xml:space="preserve">Kumar, S., &amp; Goyal, N. (2015). Behavioural biases in investment decision making – a systematic literature review. Qualitative Research in Financial Markets, 7(1), 88–108. https://doi.org/10.1108/QRFM-06-2014-0022</w:t>
      </w:r>
    </w:p>
    <w:p>
      <w:pPr>
        <w:spacing w:before="0" w:after="6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60" w:line="240" w:lineRule="auto"/>
        <w:jc w:val="left"/>
      </w:pPr>
      <w:r>
        <w:rPr>
          <w:rFonts w:ascii="Times New Roman" w:hAnsi="Times New Roman" w:cs="Times New Roman" w:eastAsia="Times New Roman"/>
          <w:sz w:val="24"/>
          <w:szCs w:val="24"/>
          <w:lang w:val="en-US" w:bidi="fa-IR"/>
        </w:rPr>
        <w:t xml:space="preserve">Lawshe, C. H. (1975). A quantitative approach to content validity. Personnel Psychology, 28(4), 563–575. https://doi.org/10.1111/j.1744-6570.1975.tb01393.x</w:t>
      </w:r>
    </w:p>
    <w:p>
      <w:pPr>
        <w:spacing w:before="0" w:after="6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60" w:line="240" w:lineRule="auto"/>
        <w:jc w:val="left"/>
      </w:pPr>
      <w:r>
        <w:rPr>
          <w:rFonts w:ascii="Times New Roman" w:hAnsi="Times New Roman" w:cs="Times New Roman" w:eastAsia="Times New Roman"/>
          <w:sz w:val="24"/>
          <w:szCs w:val="24"/>
          <w:lang w:val="en-US" w:bidi="fa-IR"/>
        </w:rPr>
        <w:t xml:space="preserve">Mardia, K. V. (1970). Measures of multivariate skewness and kurtosis with applications. Biometrika, 57(3), 519–530. https://doi.org/10.1093/biomet/57.3.519</w:t>
      </w:r>
    </w:p>
    <w:p>
      <w:pPr>
        <w:spacing w:before="0" w:after="60" w:line="240" w:lineRule="auto"/>
        <w:jc w:val="left"/>
      </w:pPr>
      <w:r>
        <w:rPr>
          <w:rFonts w:ascii="Times New Roman" w:hAnsi="Times New Roman" w:cs="Times New Roman" w:eastAsia="Times New Roman"/>
          <w:sz w:val="24"/>
          <w:szCs w:val="24"/>
          <w:lang w:val="en-US" w:bidi="fa-IR"/>
        </w:rPr>
        <w:t xml:space="preserve">Marsh, H. W., Wen, Z., &amp; Hau, K.-T. (2004). Structural equation models of latent interactions: Evaluation of alternative estimation strategies and indicator construction. Psychological Methods, 9(3), 275–300. https://doi.org/10.1037/1082-989X.9.3.275</w:t>
      </w:r>
    </w:p>
    <w:p>
      <w:pPr>
        <w:spacing w:before="0" w:after="6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6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6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60" w:line="240" w:lineRule="auto"/>
        <w:jc w:val="left"/>
      </w:pPr>
      <w:r>
        <w:rPr>
          <w:rFonts w:ascii="Times New Roman" w:hAnsi="Times New Roman" w:cs="Times New Roman" w:eastAsia="Times New Roman"/>
          <w:sz w:val="24"/>
          <w:szCs w:val="24"/>
          <w:lang w:val="en-US" w:bidi="fa-IR"/>
        </w:rPr>
        <w:t xml:space="preserve">Podsakoff, P. M., MacKenzie, S. B., &amp; Podsakoff, N. P. (2012). Sources of method bias in social science research and recommendations on how to control it. Annual Review of Psychology, 63, 539–569. https://doi.org/10.1146/annurev-psych-120710-100452</w:t>
      </w:r>
    </w:p>
    <w:p>
      <w:pPr>
        <w:spacing w:before="0" w:after="6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6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60" w:line="240" w:lineRule="auto"/>
        <w:jc w:val="left"/>
      </w:pPr>
      <w:r>
        <w:rPr>
          <w:rFonts w:ascii="Times New Roman" w:hAnsi="Times New Roman" w:cs="Times New Roman" w:eastAsia="Times New Roman"/>
          <w:sz w:val="24"/>
          <w:szCs w:val="24"/>
          <w:lang w:val="en-US" w:bidi="fa-IR"/>
        </w:rPr>
        <w:t xml:space="preserve">Preacher, K. J., Rucker, D. D., &amp; Hayes, A. F. (2007). Addressing moderated mediation hypotheses: Theory, methods, and prescriptions. Multivariate Behavioral Research, 42(1), 185–227. https://doi.org/10.1080/00273170701341316</w:t>
      </w:r>
    </w:p>
    <w:p>
      <w:pPr>
        <w:spacing w:before="0" w:after="6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60" w:line="240" w:lineRule="auto"/>
        <w:jc w:val="left"/>
      </w:pPr>
      <w:r>
        <w:rPr>
          <w:rFonts w:ascii="Times New Roman" w:hAnsi="Times New Roman" w:cs="Times New Roman" w:eastAsia="Times New Roman"/>
          <w:sz w:val="24"/>
          <w:szCs w:val="24"/>
          <w:lang w:val="en-US" w:bidi="fa-IR"/>
        </w:rPr>
        <w:t xml:space="preserve">Scharfstein, D. S., &amp; Stein, J. C. (1990). Herd behavior and investment. The American Economic Review, 80(3), 465–479.</w:t>
      </w:r>
    </w:p>
    <w:p>
      <w:pPr>
        <w:spacing w:before="0" w:after="60" w:line="240" w:lineRule="auto"/>
        <w:jc w:val="left"/>
      </w:pPr>
      <w:r>
        <w:rPr>
          <w:rFonts w:ascii="Times New Roman" w:hAnsi="Times New Roman" w:cs="Times New Roman" w:eastAsia="Times New Roman"/>
          <w:sz w:val="24"/>
          <w:szCs w:val="24"/>
          <w:lang w:val="en-US" w:bidi="fa-IR"/>
        </w:rPr>
        <w:t xml:space="preserve">Shiller, R. J. (2017). Narrative economics. American Economic Review, 107(4), 967–1004. https://doi.org/10.1257/aer.107.4.967</w:t>
      </w:r>
    </w:p>
    <w:p>
      <w:pPr>
        <w:spacing w:before="0" w:after="60" w:line="240" w:lineRule="auto"/>
        <w:jc w:val="left"/>
      </w:pPr>
      <w:r>
        <w:rPr>
          <w:rFonts w:ascii="Times New Roman" w:hAnsi="Times New Roman" w:cs="Times New Roman" w:eastAsia="Times New Roman"/>
          <w:sz w:val="24"/>
          <w:szCs w:val="24"/>
          <w:lang w:val="en-US" w:bidi="fa-IR"/>
        </w:rPr>
        <w:t xml:space="preserve">Taylor, A. B., MacKinnon, D. P., &amp; Tein, J.-Y. (2008). Tests of the three-path mediated effect. Organizational Research Methods, 11(2), 241–269. https://doi.org/10.1177/1094428107300344</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Chen et al.</w:t>
      </w:r>
    </w:p>
  </w:footnote>
  <w:footnote w:id="2">
    <w:p>
      <w:pPr>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Bollen et al.</w:t>
      </w:r>
    </w:p>
  </w:footnote>
  <w:footnote w:id="3">
    <w:p>
      <w:pPr>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Cookson &amp; Niessner</w:t>
      </w:r>
    </w:p>
  </w:footnote>
  <w:footnote w:id="4">
    <w:p>
      <w:pPr>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Cookson et al.</w:t>
      </w:r>
    </w:p>
  </w:footnote>
  <w:footnote w:id="5">
    <w:p>
      <w:pPr>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Bikhchandani et al.</w:t>
      </w:r>
    </w:p>
  </w:footnote>
  <w:footnote w:id="6">
    <w:p>
      <w:pPr>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Banerjee</w:t>
      </w:r>
    </w:p>
  </w:footnote>
  <w:footnote w:id="7">
    <w:p>
      <w:pPr>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Przybylski et al.</w:t>
      </w:r>
    </w:p>
  </w:footnote>
  <w:footnote w:id="8">
    <w:p>
      <w:pPr>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Festinger</w:t>
      </w:r>
    </w:p>
  </w:footnote>
  <w:footnote w:id="9">
    <w:p>
      <w:pPr>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Parker &amp; Fischhoff</w:t>
      </w:r>
    </w:p>
  </w:footnote>
  <w:footnote w:id="10">
    <w:p>
      <w:pPr>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Bruine de Bruin et al.</w:t>
      </w:r>
    </w:p>
  </w:footnote>
  <w:footnote w:id="11">
    <w:p>
      <w:pPr>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Barber &amp; Odean</w:t>
      </w:r>
    </w:p>
  </w:footnote>
  <w:footnote w:id="12">
    <w:p>
      <w:pPr>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Odean</w:t>
      </w:r>
    </w:p>
  </w:footnote>
  <w:footnote w:id="13">
    <w:p>
      <w:pPr>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Kumar &amp; Goyal</w:t>
      </w:r>
    </w:p>
  </w:footnote>
  <w:footnote w:id="14">
    <w:p>
      <w:pPr>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Hirshleifer</w:t>
      </w:r>
    </w:p>
  </w:footnote>
  <w:footnote w:id="15">
    <w:p>
      <w:pPr>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Shiller</w:t>
      </w:r>
    </w:p>
  </w:footnote>
  <w:footnote w:id="16">
    <w:p>
      <w:pPr>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Fear of Missing Out (FOMO)</w:t>
      </w:r>
    </w:p>
  </w:footnote>
  <w:footnote w:id="17">
    <w:p>
      <w:pPr>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Abel et al.</w:t>
      </w:r>
    </w:p>
  </w:footnote>
  <w:footnote w:id="18">
    <w:p>
      <w:pPr>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Loomes &amp; Sugden</w:t>
      </w:r>
    </w:p>
  </w:footnote>
  <w:footnote w:id="19">
    <w:p>
      <w:pPr>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Bell</w:t>
      </w:r>
    </w:p>
  </w:footnote>
  <w:footnote w:id="20">
    <w:p>
      <w:pPr>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Herding</w:t>
      </w:r>
    </w:p>
  </w:footnote>
  <w:footnote w:id="21">
    <w:p>
      <w:pPr>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Scharfstein &amp; Stein</w:t>
      </w:r>
    </w:p>
  </w:footnote>
  <w:footnote w:id="22">
    <w:p>
      <w:pPr>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Devenow &amp; Welch</w:t>
      </w:r>
    </w:p>
  </w:footnote>
  <w:footnote w:id="23">
    <w:p>
      <w:pPr>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Hirshleifer &amp; Teoh</w:t>
      </w:r>
    </w:p>
  </w:footnote>
  <w:footnote w:id="24">
    <w:p>
      <w:pPr>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Bikhchandani &amp; Sharma</w:t>
      </w:r>
    </w:p>
  </w:footnote>
  <w:footnote w:id="25">
    <w:p>
      <w:pPr>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Hong et al.</w:t>
      </w:r>
    </w:p>
  </w:footnote>
  <w:footnote w:id="26">
    <w:p>
      <w:pPr>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Kaustia &amp; Knüpfer</w:t>
      </w:r>
    </w:p>
  </w:footnote>
  <w:footnote w:id="27">
    <w:p>
      <w:pPr>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Ball &amp; Brown</w:t>
      </w:r>
    </w:p>
  </w:footnote>
  <w:footnote w:id="28">
    <w:p>
      <w:pPr>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Beaver</w:t>
      </w:r>
    </w:p>
  </w:footnote>
  <w:footnote w:id="29">
    <w:p>
      <w:pPr>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Lawrence</w:t>
      </w:r>
    </w:p>
  </w:footnote>
  <w:footnote w:id="30">
    <w:p>
      <w:pPr>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Miller &amp; Skinner</w:t>
      </w:r>
    </w:p>
  </w:footnote>
  <w:footnote w:id="31">
    <w:p>
      <w:pPr>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Blankespoor et al.</w:t>
      </w:r>
    </w:p>
  </w:footnote>
  <w:footnote w:id="32">
    <w:p>
      <w:pPr>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Bartov et al.</w:t>
      </w:r>
    </w:p>
  </w:footnote>
  <w:footnote w:id="33">
    <w:p>
      <w:pPr>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Kline</w:t>
      </w:r>
    </w:p>
  </w:footnote>
  <w:footnote w:id="34">
    <w:p>
      <w:pPr>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Hair et al.</w:t>
      </w:r>
    </w:p>
  </w:footnote>
  <w:footnote w:id="35">
    <w:p>
      <w:pPr>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Lawshe</w:t>
      </w:r>
    </w:p>
  </w:footnote>
  <w:footnote w:id="36">
    <w:p>
      <w:pPr>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Brislin</w:t>
      </w:r>
    </w:p>
  </w:footnote>
  <w:footnote w:id="37">
    <w:p>
      <w:pPr>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Igolkina &amp; Meshcheryakov</w:t>
      </w:r>
    </w:p>
  </w:footnote>
  <w:footnote w:id="38">
    <w:p>
      <w:pPr>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Mardia</w:t>
      </w:r>
    </w:p>
  </w:footnote>
  <w:footnote w:id="39">
    <w:p>
      <w:pPr>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Fornell &amp; Larcker</w:t>
      </w:r>
    </w:p>
  </w:footnote>
  <w:footnote w:id="40">
    <w:p>
      <w:pPr>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Henseler et al.</w:t>
      </w:r>
    </w:p>
  </w:footnote>
  <w:footnote w:id="41">
    <w:p>
      <w:pPr>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Podsakoff et al.</w:t>
      </w:r>
    </w:p>
  </w:footnote>
  <w:footnote w:id="42">
    <w:p>
      <w:pPr>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Hu &amp; Bentler</w:t>
      </w:r>
    </w:p>
  </w:footnote>
  <w:footnote w:id="43">
    <w:p>
      <w:pPr>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Marsh et al.</w:t>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