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پیش‌برنده‌ها و پیامدهای فومو در رقابت منابع اطلاعاتی سرمایه‌گذاران حقیقی: ناوردایی اندازه‌گیری و تفاوت مسیرها بر پایهٔ تجربهٔ زیان در ریزش بورس، با تحلیل تکمیلی یادگیری ماشین</w:t>
      </w:r>
    </w:p>
    <w:p>
      <w:pPr>
        <w:bidi/>
        <w:spacing w:before="0" w:after="160" w:line="240" w:lineRule="auto"/>
        <w:jc w:val="center"/>
      </w:pPr>
      <w:r>
        <w:rPr>
          <w:rFonts w:ascii="Times New Roman" w:hAnsi="Times New Roman" w:cs="B Nazanin" w:eastAsia="Times New Roman"/>
          <w:sz w:val="24"/>
          <w:szCs w:val="24"/>
          <w:highlight w:val="yellow"/>
          <w:lang w:val="en-US" w:bidi="fa-IR"/>
        </w:rPr>
        <w:t xml:space="preserve">نام و نام‌خانوادگی نویسنده</w:t>
      </w:r>
      <w:r>
        <w:rPr>
          <w:rFonts w:ascii="Times New Roman" w:hAnsi="Times New Roman" w:cs="B Nazanin" w:eastAsia="Times New Roman"/>
          <w:sz w:val="24"/>
          <w:szCs w:val="24"/>
          <w:lang w:val="en-US" w:bidi="fa-IR"/>
        </w:rPr>
        <w:t xml:space="preserve">∗ — </w:t>
      </w:r>
      <w:r>
        <w:rPr>
          <w:rFonts w:ascii="Times New Roman" w:hAnsi="Times New Roman" w:cs="B Nazanin" w:eastAsia="Times New Roman"/>
          <w:sz w:val="24"/>
          <w:szCs w:val="24"/>
          <w:highlight w:val="yellow"/>
          <w:lang w:val="en-US" w:bidi="fa-IR"/>
        </w:rPr>
        <w:t xml:space="preserve">وابستگی سازمانی، شهر، ایران</w:t>
      </w:r>
      <w:r>
        <w:rPr>
          <w:rFonts w:ascii="Times New Roman" w:hAnsi="Times New Roman" w:cs="B Nazanin" w:eastAsia="Times New Roman"/>
          <w:sz w:val="24"/>
          <w:szCs w:val="24"/>
          <w:lang w:val="en-US" w:bidi="fa-IR"/>
        </w:rPr>
        <w:t xml:space="preserve"> — </w:t>
      </w:r>
      <w:r>
        <w:rPr>
          <w:rFonts w:ascii="Times New Roman" w:hAnsi="Times New Roman" w:cs="B Nazanin" w:eastAsia="Times New Roman"/>
          <w:sz w:val="24"/>
          <w:szCs w:val="24"/>
          <w:highlight w:val="yellow"/>
          <w:lang w:val="en-US" w:bidi="fa-IR"/>
        </w:rPr>
        <w:t xml:space="preserve">ایمیل</w:t>
      </w:r>
    </w:p>
    <w:p>
      <w:pPr>
        <w:bidi/>
        <w:spacing w:before="0" w:after="60" w:line="240" w:lineRule="auto"/>
        <w:jc w:val="center"/>
      </w:pPr>
      <w:r>
        <w:rPr>
          <w:rFonts w:ascii="Times New Roman" w:hAnsi="Times New Roman" w:cs="B Nazanin" w:eastAsia="Times New Roman"/>
          <w:b/>
          <w:bCs/>
          <w:sz w:val="24"/>
          <w:szCs w:val="24"/>
          <w:lang w:val="en-US" w:bidi="fa-IR"/>
        </w:rPr>
        <w:t xml:space="preserve">چکیده</w:t>
      </w:r>
    </w:p>
    <w:p>
      <w:pPr>
        <w:bidi/>
        <w:spacing w:before="0" w:after="60" w:line="240" w:lineRule="auto"/>
        <w:jc w:val="both"/>
      </w:pPr>
      <w:r>
        <w:rPr>
          <w:rFonts w:ascii="Times New Roman" w:hAnsi="Times New Roman" w:cs="B Nazanin" w:eastAsia="Times New Roman"/>
          <w:b/>
          <w:bCs/>
          <w:sz w:val="24"/>
          <w:szCs w:val="24"/>
          <w:lang w:val="en-US" w:bidi="fa-IR"/>
        </w:rPr>
        <w:t xml:space="preserve">هدف:</w:t>
      </w:r>
      <w:r>
        <w:rPr>
          <w:rFonts w:ascii="Times New Roman" w:hAnsi="Times New Roman" w:cs="B Nazanin" w:eastAsia="Times New Roman"/>
          <w:sz w:val="24"/>
          <w:szCs w:val="24"/>
          <w:lang w:val="en-US" w:bidi="fa-IR"/>
        </w:rPr>
        <w:t xml:space="preserve"> این مقاله پیش‌برنده‌ها و پیامدهای ترس از دست دادن فرصت (فومو) را در رقابت میان محتوای شبکه‌های اجتماعی و اطلاعات حسابداری بررسی می‌کند و می‌پرسد آیا این روابط میان سرمایه‌گذارانی که در ریزش بورس زیان دیده‌اند و سایرین یکسان است.</w:t>
      </w:r>
    </w:p>
    <w:p>
      <w:pPr>
        <w:bidi/>
        <w:spacing w:before="0" w:after="60" w:line="240" w:lineRule="auto"/>
        <w:jc w:val="both"/>
      </w:pPr>
      <w:r>
        <w:rPr>
          <w:rFonts w:ascii="Times New Roman" w:hAnsi="Times New Roman" w:cs="B Nazanin" w:eastAsia="Times New Roman"/>
          <w:b/>
          <w:bCs/>
          <w:sz w:val="24"/>
          <w:szCs w:val="24"/>
          <w:lang w:val="en-US" w:bidi="fa-IR"/>
        </w:rPr>
        <w:t xml:space="preserve">روش:</w:t>
      </w:r>
      <w:r>
        <w:rPr>
          <w:rFonts w:ascii="Times New Roman" w:hAnsi="Times New Roman" w:cs="B Nazanin" w:eastAsia="Times New Roman"/>
          <w:sz w:val="24"/>
          <w:szCs w:val="24"/>
          <w:lang w:val="en-US" w:bidi="fa-IR"/>
        </w:rPr>
        <w:t xml:space="preserve"> با پرسشنامه‌ای ۳۳ گویه‌ای دربارهٔ هفت سازه، داده‌های ۴۴۲ سرمایه‌گذار حقیقی به‌شیوهٔ شبیه‌سازی واقع‌نما تولید شد؛ از این‌رو نتایج نمایشی و روش‌شناختی‌اند. مدل ساختاری مکنون، ناوردایی اندازه‌گیری چندگروهی (پیکربندی، متریک، اسکالر)، مقایسهٔ مسیرها با خودگردان‌سازی و مدل‌های جنگل تصادفی و تقویت گرادیان با تفسیر SHAP به‌کار رفت.</w:t>
      </w:r>
    </w:p>
    <w:p>
      <w:pPr>
        <w:bidi/>
        <w:spacing w:before="0" w:after="60" w:line="240" w:lineRule="auto"/>
        <w:jc w:val="both"/>
      </w:pPr>
      <w:r>
        <w:rPr>
          <w:rFonts w:ascii="Times New Roman" w:hAnsi="Times New Roman" w:cs="B Nazanin" w:eastAsia="Times New Roman"/>
          <w:b/>
          <w:bCs/>
          <w:sz w:val="24"/>
          <w:szCs w:val="24"/>
          <w:lang w:val="en-US" w:bidi="fa-IR"/>
        </w:rPr>
        <w:t xml:space="preserve">یافته‌ها:</w:t>
      </w:r>
      <w:r>
        <w:rPr>
          <w:rFonts w:ascii="Times New Roman" w:hAnsi="Times New Roman" w:cs="B Nazanin" w:eastAsia="Times New Roman"/>
          <w:sz w:val="24"/>
          <w:szCs w:val="24"/>
          <w:lang w:val="en-US" w:bidi="fa-IR"/>
        </w:rPr>
        <w:t xml:space="preserve"> مقایسهٔ اجتماعی (⁦β = ۰٫۲۷⁩) و پشیمانی پیش‌بینی‌شده (⁦β = ۰٫۲۳⁩) فومو را افزایش دادند و فومو کیفیت تصمیم را کاهش داد (⁦β = −۰٫۳۶⁩). سواد حسابداری از راه استفاده از اطلاعات حسابداری کیفیت تصمیم را بهبود داد و مواجهه با محتوای شبکه‌ها استفاده از اطلاعات حسابداری را کاهش داد. اندازه‌گیری میان دو گروه ناوردا بود و اثر پشیمانی بر فومو و اثر فومو بر کیفیت تصمیم در گروه دارای تجربهٔ زیان قوی‌تر بود. مدل‌های غیرخطی دقت پیش‌بینی بیرون‌نمونه‌ای را نسبت به رگرسیون خطی افزایش دادند و اهمیت SHAP با مدل ساختاری هم‌خوان بود.</w:t>
      </w:r>
    </w:p>
    <w:p>
      <w:pPr>
        <w:bidi/>
        <w:spacing w:before="0" w:after="60" w:line="240" w:lineRule="auto"/>
        <w:jc w:val="both"/>
      </w:pPr>
      <w:r>
        <w:rPr>
          <w:rFonts w:ascii="Times New Roman" w:hAnsi="Times New Roman" w:cs="B Nazanin" w:eastAsia="Times New Roman"/>
          <w:b/>
          <w:bCs/>
          <w:sz w:val="24"/>
          <w:szCs w:val="24"/>
          <w:lang w:val="en-US" w:bidi="fa-IR"/>
        </w:rPr>
        <w:t xml:space="preserve">نتیجه‌گیری:</w:t>
      </w:r>
      <w:r>
        <w:rPr>
          <w:rFonts w:ascii="Times New Roman" w:hAnsi="Times New Roman" w:cs="B Nazanin" w:eastAsia="Times New Roman"/>
          <w:sz w:val="24"/>
          <w:szCs w:val="24"/>
          <w:lang w:val="en-US" w:bidi="fa-IR"/>
        </w:rPr>
        <w:t xml:space="preserve"> اطلاعات حسابداری و فومو دو سوی رقابت توجه سرمایه‌گذارند و تجربهٔ زیان حساسیت به پشیمانی و پیامد فومو را تقویت می‌کند.</w:t>
      </w:r>
    </w:p>
    <w:p>
      <w:pPr>
        <w:bidi/>
        <w:spacing w:before="100" w:after="8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فومو؛ مقایسهٔ اجتماعی؛ پشیمانی پیش‌بینی‌شده؛ اطلاعات حسابداری؛ ناوردایی اندازه‌گیری؛ یادگیری ماشین؛ SHAP</w:t>
      </w:r>
    </w:p>
    <w:p>
      <w:r>
        <w:br w:type="page"/>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۱. مقدمه</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سرمایه‌گذار حقیقی در هر لحظه با دو جریان اطلاعاتی رقیب روبه‌روست: جریان پرشتاب و هیجانی شبکه‌های اجتماعی، و جریان کندتر اما قابل‌راستی‌آزمایی گزارش‌های مالی. پژوهش‌های پیشین نشان داده‌اند توجه سرمایه‌گذاران خرد کمیاب است و خرید آن‌ها به سهامِ مورد توجه گرایش دارد (باربر و اودین</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۲۰۰۸)، و رسانه‌های اجتماعی هم سرعت انتشار افشا را افزایش می‌دهند (بلنکسپور و همکاران</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۲۰۱۴) هم خطر هم‌جهتی را (کوکسون و همکاران</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۲۰۲۳). این مقاله مقالهٔ همراه پژوهشی است که مسیر مواجهه ← فومو ← رفتار توده‌وار ← کیفیت تصمیم را با تعدیل‌گری اطلاعات حسابداری آزموده است؛ در این‌جا پرسش دیگری مطرح است: چه چیزی فومو را می‌سازد، رقابت میان منابع اطلاعاتی چگونه است، آیا این روابط پس از تجربهٔ ریزش بازار تغییر می‌کند، و آیا مدل‌های غیرخطی چیزی افزون بر مدل ساختاری می‌گویند؟</w:t>
      </w:r>
    </w:p>
    <w:p>
      <w:pPr>
        <w:bidi/>
        <w:spacing w:before="0" w:after="80" w:line="240" w:lineRule="auto"/>
        <w:ind w:firstLine="360"/>
        <w:jc w:val="both"/>
      </w:pPr>
      <w:r>
        <w:rPr>
          <w:rFonts w:ascii="Times New Roman" w:hAnsi="Times New Roman" w:cs="B Nazanin" w:eastAsia="Times New Roman"/>
          <w:b/>
          <w:bCs/>
          <w:sz w:val="26"/>
          <w:szCs w:val="26"/>
          <w:lang w:val="en-US" w:bidi="fa-IR"/>
        </w:rPr>
        <w:t xml:space="preserve">پرسش‌های پژوهش:</w:t>
      </w:r>
      <w:r>
        <w:rPr>
          <w:rFonts w:ascii="Times New Roman" w:hAnsi="Times New Roman" w:cs="B Nazanin" w:eastAsia="Times New Roman"/>
          <w:sz w:val="26"/>
          <w:szCs w:val="26"/>
          <w:lang w:val="en-US" w:bidi="fa-IR"/>
        </w:rPr>
        <w:t xml:space="preserve"> (۱) مقایسهٔ اجتماعی و پشیمانی پیش‌بینی‌شده چه سهمی در فومو دارند؟ (۲) آیا مواجهه با محتوای شبکه‌ها جایگزین استفاده از اطلاعات حسابداری می‌شود و سواد حسابداری چه نقشی دارد؟ (۳) آیا ساختار اندازه‌گیری و مسیرهای مدل میان سرمایه‌گذاران دارای و فاقد تجربهٔ زیان در ریزش بورس مشابه است؟ (۴) آیا مدل‌های غیرخطی یادگیری ماشین دقت پیش‌بینی کیفیت تصمیم را بهبود می‌دهند و یافته‌هایشان با مدل ساختاری سازگار است؟</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دو ویژگی مقاله را از مقالهٔ همراه متمایز می‌کند: نخست، تمرکز بر پیش‌برنده‌های فومو و رقابت اطلاعاتی و دوم، ترکیب مدل‌سازی معادلات ساختاری با یادگیری ماشین تفسیرپذیر که به‌طور مستقیم با عنوان «علوم محاسباتی» همخوان است. داده‌ها شبیه‌سازی‌شده‌اند و اعداد بازتاب توان روش در بازیابی ساختار مفروضند، نه شواهد تجربی دربارهٔ بازار واقعی؛ با این همه، چارچوب، پرسشنامه و کد برای اجرای دوباره با داده‌های واقعی آماده است.</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۲. مبانی نظری و فرضیه‌ها</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فومو</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را نگرانی از آن می‌توان دانست که دیگران تجربه‌های پاداش‌آوری دارند که فرد از آن‌ها بازمانده است (پرزیبیلسکی و همکاران</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۲۰۱۳). دو سازوکار روان‌شناختی مهم‌ترین پیش‌برنده‌های آن در بازار سرمایه‌اند. نخست، مقایسهٔ اجتماعی: افراد ارزیابی خود را از مقایسه با دیگران می‌سازند (فستینگر</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۱۹۵۴) و گرایش فردی به مقایسه با دیگران قابل‌سنجش است (گیبونز و بونک</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۱۹۹۹)؛ شبکه‌های اجتماعی با نمایش گزینشی سودها، این مقایسه را تشدید می‌کنند. دوم، پشیمانی پیش‌بینی‌شده: نظریهٔ پشیمانی نشان می‌دهد افراد پیامدِ نزدیک‌بودن به فرصت از دست‌رفته را پیش‌بینی می‌کنند و انتخاب‌هایشان را برای پرهیز از آن تغییر می‌دهند (لومز و ساگدن</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۱۹۸۲؛ بل</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۱۹۸۲؛ سندبرگ و کانر</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۲۰۰۸).</w:t>
      </w:r>
    </w:p>
    <w:p>
      <w:pPr>
        <w:bidi/>
        <w:spacing w:before="0" w:after="80" w:line="240" w:lineRule="auto"/>
        <w:jc w:val="both"/>
      </w:pPr>
      <w:r>
        <w:rPr>
          <w:rFonts w:ascii="Times New Roman" w:hAnsi="Times New Roman" w:cs="B Nazanin" w:eastAsia="Times New Roman"/>
          <w:b/>
          <w:bCs/>
          <w:sz w:val="26"/>
          <w:szCs w:val="26"/>
          <w:lang w:val="en-US" w:bidi="fa-IR"/>
        </w:rPr>
        <w:t xml:space="preserve">فرضیهٔ ۱:</w:t>
      </w:r>
      <w:r>
        <w:rPr>
          <w:rFonts w:ascii="Times New Roman" w:hAnsi="Times New Roman" w:cs="B Nazanin" w:eastAsia="Times New Roman"/>
          <w:sz w:val="26"/>
          <w:szCs w:val="26"/>
          <w:lang w:val="en-US" w:bidi="fa-IR"/>
        </w:rPr>
        <w:t xml:space="preserve"> مقایسهٔ اجتماعی بر فومو اثر مثبت دارد. </w:t>
      </w:r>
      <w:r>
        <w:rPr>
          <w:rFonts w:ascii="Times New Roman" w:hAnsi="Times New Roman" w:cs="B Nazanin" w:eastAsia="Times New Roman"/>
          <w:b/>
          <w:bCs/>
          <w:sz w:val="26"/>
          <w:szCs w:val="26"/>
          <w:lang w:val="en-US" w:bidi="fa-IR"/>
        </w:rPr>
        <w:t xml:space="preserve">فرضیهٔ ۲:</w:t>
      </w:r>
      <w:r>
        <w:rPr>
          <w:rFonts w:ascii="Times New Roman" w:hAnsi="Times New Roman" w:cs="B Nazanin" w:eastAsia="Times New Roman"/>
          <w:sz w:val="26"/>
          <w:szCs w:val="26"/>
          <w:lang w:val="en-US" w:bidi="fa-IR"/>
        </w:rPr>
        <w:t xml:space="preserve"> پشیمانی پیش‌بینی‌شده بر فومو اثر مثبت دارد.</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رقابت میان منابع اطلاعاتی بر پایهٔ محدودیت توجه است: وقت و توجه سرمایه‌گذار محدود است و اختصاص آن به یک منبع، از دیگری می‌کاهد (باربر و اودین، ۲۰۰۸). اطلاعات حسابداری از پایه‌های ارزش‌گذاری است (بال و براون</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۱۹۶۸؛ بیور</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۱۹۶۸)، اما برای بهره‌گیری از آن، مهارت لازم است؛ لارنس</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(۲۰۱۳) نشان داد سرمایه‌گذاران حقیقی با افشای ساده‌تر عملکرد بهتری دارند. مقدار سواد حسابداری ادراک‌شده بنابراین توان استفاده از افشا را تعیین می‌کند (لوساردی و میچل</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۲۰۱۴). از سوی دیگر، شبکه‌های اجتماعی ممکن است جایگزین بررسی صورت‌های مالی شوند، زیرا هزینهٔ پردازش آن‌ها بسیار کمتر است (میلر و اسکینر</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۲۰۱۵؛ بارتوف و همکاران</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۲۰۱۸).</w:t>
      </w:r>
    </w:p>
    <w:p>
      <w:pPr>
        <w:bidi/>
        <w:spacing w:before="0" w:after="80" w:line="240" w:lineRule="auto"/>
        <w:jc w:val="both"/>
      </w:pP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مواجهه با محتوای سرمایه‌گذاری شبکه‌های اجتماعی بر استفاده از اطلاعات حسابداری اثر منفی دارد (اثر جایگزینی). </w:t>
      </w: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سواد حسابداری بر استفاده از اطلاعات حسابداری اثر مثبت دارد.</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درباره پیامدها، فومو با شتاب‌زدگی در ورود به بازار و تصمیم‌های کم‌پشتوانه همراه است و بنابراین کیفیت تصمیم را کاهش می‌دهد؛ در مقابل استفاده از اطلاعات حسابداری پایهٔ تصمیم را مستند می‌کند (پارکر و فیشهاف</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۲۰۰۵؛ برویِن دو برویِن و همکاران</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۲۰۰۷). </w:t>
      </w: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فومو بر کیفیت تصمیم اثر منفی دارد. </w:t>
      </w:r>
      <w:r>
        <w:rPr>
          <w:rFonts w:ascii="Times New Roman" w:hAnsi="Times New Roman" w:cs="B Nazanin" w:eastAsia="Times New Roman"/>
          <w:b/>
          <w:bCs/>
          <w:sz w:val="26"/>
          <w:szCs w:val="26"/>
          <w:lang w:val="en-US" w:bidi="fa-IR"/>
        </w:rPr>
        <w:t xml:space="preserve">فرضیهٔ ۶:</w:t>
      </w:r>
      <w:r>
        <w:rPr>
          <w:rFonts w:ascii="Times New Roman" w:hAnsi="Times New Roman" w:cs="B Nazanin" w:eastAsia="Times New Roman"/>
          <w:sz w:val="26"/>
          <w:szCs w:val="26"/>
          <w:lang w:val="en-US" w:bidi="fa-IR"/>
        </w:rPr>
        <w:t xml:space="preserve"> استفاده از اطلاعات حسابداری بر کیفیت تصمیم اثر مثبت دارد. </w:t>
      </w:r>
      <w:r>
        <w:rPr>
          <w:rFonts w:ascii="Times New Roman" w:hAnsi="Times New Roman" w:cs="B Nazanin" w:eastAsia="Times New Roman"/>
          <w:b/>
          <w:bCs/>
          <w:sz w:val="26"/>
          <w:szCs w:val="26"/>
          <w:lang w:val="en-US" w:bidi="fa-IR"/>
        </w:rPr>
        <w:t xml:space="preserve">فرضیهٔ ۷:</w:t>
      </w:r>
      <w:r>
        <w:rPr>
          <w:rFonts w:ascii="Times New Roman" w:hAnsi="Times New Roman" w:cs="B Nazanin" w:eastAsia="Times New Roman"/>
          <w:sz w:val="26"/>
          <w:szCs w:val="26"/>
          <w:lang w:val="en-US" w:bidi="fa-IR"/>
        </w:rPr>
        <w:t xml:space="preserve"> مقایسهٔ اجتماعی، پشیمانی پیش‌بینی‌شده و مواجهه با محتوا از مسیر فومو، و سواد حسابداری از مسیر استفاده از اطلاعات حسابداری، اثر غیرمستقیم معنادار بر کیفیت تصمیم دارند.</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ریزش بورس تهران از مرداد ۱۳۹۹ برای بسیاری از سرمایه‌گذاران تجربهٔ زیان را به همراه داشت. تجربهٔ زیان حساسیت به پشیمانی را افزایش می‌دهد (کانمن و تورسکی</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۱۹۷۹) و ممکن است آستانهٔ پاسخ هیجانی به نشانه‌های بازار را تغییر دهد. پیش از مقایسهٔ مسیرها باید ناوردایی اندازه‌گیری برقرار باشد، یعنی گویه‌ها در دو گروه یک سازه را به یک شیوه بسنجند (چونگ و رنسولد</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۲۰۰۲؛ چِن</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۲۰۰۷). </w:t>
      </w:r>
      <w:r>
        <w:rPr>
          <w:rFonts w:ascii="Times New Roman" w:hAnsi="Times New Roman" w:cs="B Nazanin" w:eastAsia="Times New Roman"/>
          <w:b/>
          <w:bCs/>
          <w:sz w:val="26"/>
          <w:szCs w:val="26"/>
          <w:lang w:val="en-US" w:bidi="fa-IR"/>
        </w:rPr>
        <w:t xml:space="preserve">فرضیهٔ ۸:</w:t>
      </w:r>
      <w:r>
        <w:rPr>
          <w:rFonts w:ascii="Times New Roman" w:hAnsi="Times New Roman" w:cs="B Nazanin" w:eastAsia="Times New Roman"/>
          <w:sz w:val="26"/>
          <w:szCs w:val="26"/>
          <w:lang w:val="en-US" w:bidi="fa-IR"/>
        </w:rPr>
        <w:t xml:space="preserve"> ساختار اندازه‌گیری (پیکربندی، متریک و دست‌کم اسکالر جزئی) میان دو گروه ناوردا است. </w:t>
      </w:r>
      <w:r>
        <w:rPr>
          <w:rFonts w:ascii="Times New Roman" w:hAnsi="Times New Roman" w:cs="B Nazanin" w:eastAsia="Times New Roman"/>
          <w:b/>
          <w:bCs/>
          <w:sz w:val="26"/>
          <w:szCs w:val="26"/>
          <w:lang w:val="en-US" w:bidi="fa-IR"/>
        </w:rPr>
        <w:t xml:space="preserve">فرضیهٔ ۹:</w:t>
      </w:r>
      <w:r>
        <w:rPr>
          <w:rFonts w:ascii="Times New Roman" w:hAnsi="Times New Roman" w:cs="B Nazanin" w:eastAsia="Times New Roman"/>
          <w:sz w:val="26"/>
          <w:szCs w:val="26"/>
          <w:lang w:val="en-US" w:bidi="fa-IR"/>
        </w:rPr>
        <w:t xml:space="preserve"> اثر پشیمانی پیش‌بینی‌شده بر فومو در گروه دارای تجربهٔ زیان قوی‌تر است. </w:t>
      </w:r>
      <w:r>
        <w:rPr>
          <w:rFonts w:ascii="Times New Roman" w:hAnsi="Times New Roman" w:cs="B Nazanin" w:eastAsia="Times New Roman"/>
          <w:b/>
          <w:bCs/>
          <w:sz w:val="26"/>
          <w:szCs w:val="26"/>
          <w:lang w:val="en-US" w:bidi="fa-IR"/>
        </w:rPr>
        <w:t xml:space="preserve">فرضیهٔ ۱۰:</w:t>
      </w:r>
      <w:r>
        <w:rPr>
          <w:rFonts w:ascii="Times New Roman" w:hAnsi="Times New Roman" w:cs="B Nazanin" w:eastAsia="Times New Roman"/>
          <w:sz w:val="26"/>
          <w:szCs w:val="26"/>
          <w:lang w:val="en-US" w:bidi="fa-IR"/>
        </w:rPr>
        <w:t xml:space="preserve"> اثر فومو بر کیفیت تصمیم در گروه دارای تجربهٔ زیان منفی‌تر است.</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در پایان، مدل‌های ساختاری روابط خطی و جمع‌پذیر را فرض می‌کنند، حال آنکه اثر فومو ممکن است آستانه‌ای باشد و اطلاعات حسابداری اثر آن را تعدیل کند. جنگل تصادفی (برایمن</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۲۰۰۱) و تقویت گرادیان (فریدمن</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۲۰۰۱) این غیرخطی‌بودن را می‌گیرند و تفسیر SHAP (لاندبرگ و لی</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۲۰۱۷) اهمیت متغیرها را قابل‌مقایسه با ضرایب ساختاری می‌کند. </w:t>
      </w:r>
      <w:r>
        <w:rPr>
          <w:rFonts w:ascii="Times New Roman" w:hAnsi="Times New Roman" w:cs="B Nazanin" w:eastAsia="Times New Roman"/>
          <w:b/>
          <w:bCs/>
          <w:sz w:val="26"/>
          <w:szCs w:val="26"/>
          <w:lang w:val="en-US" w:bidi="fa-IR"/>
        </w:rPr>
        <w:t xml:space="preserve">فرضیهٔ ۱۱:</w:t>
      </w:r>
      <w:r>
        <w:rPr>
          <w:rFonts w:ascii="Times New Roman" w:hAnsi="Times New Roman" w:cs="B Nazanin" w:eastAsia="Times New Roman"/>
          <w:sz w:val="26"/>
          <w:szCs w:val="26"/>
          <w:lang w:val="en-US" w:bidi="fa-IR"/>
        </w:rPr>
        <w:t xml:space="preserve"> مدل‌های غیرخطی دقت پیش‌بینی بیرون‌نمونه‌ای کیفیت تصمیم را نسبت به رگرسیون خطی افزایش می‌دهند. </w:t>
      </w:r>
      <w:r>
        <w:rPr>
          <w:rFonts w:ascii="Times New Roman" w:hAnsi="Times New Roman" w:cs="B Nazanin" w:eastAsia="Times New Roman"/>
          <w:b/>
          <w:bCs/>
          <w:sz w:val="26"/>
          <w:szCs w:val="26"/>
          <w:lang w:val="en-US" w:bidi="fa-IR"/>
        </w:rPr>
        <w:t xml:space="preserve">فرضیهٔ ۱۲:</w:t>
      </w:r>
      <w:r>
        <w:rPr>
          <w:rFonts w:ascii="Times New Roman" w:hAnsi="Times New Roman" w:cs="B Nazanin" w:eastAsia="Times New Roman"/>
          <w:sz w:val="26"/>
          <w:szCs w:val="26"/>
          <w:lang w:val="en-US" w:bidi="fa-IR"/>
        </w:rPr>
        <w:t xml:space="preserve"> رتبه‌بندی اهمیت SHAP با رتبه‌بندی اثرهای کل مدل ساختاری هم‌خوان است.</w:t>
      </w:r>
    </w:p>
    <w:p>
      <w:pPr>
        <w:keepNext/>
        <w:jc w:val="center"/>
      </w:pPr>
      <w:r>
        <w:drawing>
          <wp:inline distT="0" distB="0" distL="0" distR="0">
            <wp:extent cx="5220000" cy="2793157"/>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220000" cy="2793157"/>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(یافتهٔ پژوهشگر)</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۳. روش‌شناسی</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پژوهش کمّی، مقطعی و پیمایشی است. جامعه سرمایه‌گذاران حقیقی فعال در بورس و فرابورس تهران با حداقل یک سال سابقه است و نمونهٔ شبیه‌سازی‌شده ۴۴۲ نفر دارد که ۱۷۳ نفر (۳۹٫۱٪) در ریزش بورس از مرداد ۱۳۹۹ زیان بیش از ۲۰٪ سرمایه را گزارش کرده‌اند. داده‌ها با فرایند شبیه‌سازی واقع‌نما (اثرهای ساختاری مفروض متفاوت میان دو گروه، بارگذاری‌های متقاطع کوچک، همبستگی خطای گویه‌های هم‌محتوا، عامل روش ضعیف و آستانه‌های نامتقارن لیکرت) تولید شده‌اند و از داده‌های مقالهٔ همراه مستقل‌اند (بذر و پارامتر دیگر). ابزار، پرسشنامه‌ای ۳۳ گویه‌ای لیکرت پنج‌درجه‌ای برای هفت سازه است (مقایسهٔ اجتماعی ۴، پشیمانی ۴، مواجهه ۵، فومو ۶، سواد حسابداری ۴، استفاده از اطلاعات حسابداری ۵، کیفیت تصمیم ۵). مبنای گویه‌ها در پیوست پرسشنامه آمده است: مقایسهٔ اجتماعی از (گیبونز و بونک، ۱۹۹۹)، پشیمانی از (شوارتز و همکاران</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۲۰۰۲؛ سندبرگ و کانر، ۲۰۰۸)، فومو از (پرزیبیلسکی و همکاران، ۲۰۱۳)، و دیگر سازه‌ها بازنویسی پژوهشگر است و پیش از کاربرد واقعی نیازمند اعتبارسنجی است (لاوشه</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۱۹۷۵).</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تحلیل در پایتون انجام شد. مدل اندازه‌گیری هفت‌عاملی با بیشینهٔ درست‌نمایی و مدل ساختاری مکنون با کنترل تجربهٔ زیان و سابقه برآورد شد (ایگولکینا و میشچریاکوف</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۲۰۲۰). اثرهای غیرمستقیم با ۲۰۰۰ نمونهٔ خودگردان آزموده شدند (پریچر و هیز</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۲۰۰۸). ناوردایی اندازه‌گیری با CFA چندگروهی نوشته‌شده برای این پژوهش (میانگین‌ساختار؛ گرادیان تحلیلی) و با معیارهای ΔCFI ≤ ۰٫۰۱ و ΔRMSEA ≤ ۰٫۰۱۵ ارزیابی شد (چونگ و رنسولد، ۲۰۰۲؛ چِن، ۲۰۰۷). تفاوت مسیرها با آزمون z و فاصلهٔ اطمینان خودگردان (۱۰۰۰ تکرار در هر گروه) سنجیده شد. در بخش یادگیری ماشین، کیفیت تصمیم (نمرهٔ ترکیبی) با نمرات ترکیبی سازه‌ها و ویژگی‌های جمعیت‌شناختی پیش‌بینی شد؛ مدل‌ها با اعتبارسنجی متقاطع ۵ لایه‌ای تکراری ۱۰ بار مقایسه شدند. چون نمونه‌های اعتبارسنجی هم‌پوشان‌اند، از آزمون t اصلاح‌شدهٔ ندو و بنجیو</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(۲۰۰۳) استفاده شد. ابرپارامترها از پیش و بدون جست‌وجوی گسترده تعیین و ثابت شدند (برای داده‌ٔ واقعی، اعتبارسنجی تودرتو توصیه می‌شود). کتابخانهٔ scikit-learn (پدرگوسا و همکاران</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۲۰۱۱) به‌کار رفت.</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۴. یافته‌ها</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۴-۱. توصیف نمونه و مدل اندازه‌گیری</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۷۰٫۴٪ نمونه مرد بود؛ میانگین سن ۴۰٫۰ سال (۹٫۴) و میانگین سابقهٔ معامله ۹٫۳ سال (۵٫۲) بود. ۴۴٫۶٪ کارشناسی، ۳۴٫۴٪ کارشناسی ارشد و ۱۱٫۳٪ دکتری داشتند. میانهٔ ارزش سبد ۲۰۴ میلیون تومان بود. چولگی گویه‌ها بین ⁦−۰٫۳۶⁩ و ۰٫۴۱ و کشیدگی بین ⁦−۰٫۷۸⁩ و ⁦−۰٫۴۷⁩ قرار داشت.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شاخص‌های برازش</w:t>
      </w:r>
    </w:p>
    <w:tbl>
      <w:tblPr>
        <w:bidiVisual/>
        <w:tblW w:w="8100" w:type="dxa"/>
        <w:jc w:val="center"/>
        <w:tblLayout w:type="fixed"/>
        <w:tblCellMar>
          <w:left w:w="60" w:type="dxa"/>
          <w:right w:w="60" w:type="dxa"/>
        </w:tblCellMar>
      </w:tblPr>
      <w:tblGrid>
        <w:gridCol w:w="2500"/>
        <w:gridCol w:w="900"/>
        <w:gridCol w:w="600"/>
        <w:gridCol w:w="800"/>
        <w:gridCol w:w="800"/>
        <w:gridCol w:w="800"/>
        <w:gridCol w:w="900"/>
        <w:gridCol w:w="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TLI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CFA هفت‌عاملی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۶۱۶٫۶</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۴۷۴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۱٫۳۰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۰٫۰۴۲</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ساختاری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۷۵۴٫۳</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۵۴۶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۱٫۳۸</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۰٫۰۴۸</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تک‌عاملی (هارمن)</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۴۴۶۲٫۶</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۴۹۵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۹٫۰۲</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۰٫۳۳۸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۰٫۲۹۳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۰٫۱۵۵</w:t>
            </w:r>
          </w:p>
        </w:tc>
      </w:tr>
    </w:tbl>
    <w:p>
      <w:pPr>
        <w:bidi/>
        <w:spacing w:before="0" w:after="100" w:line="240" w:lineRule="auto"/>
        <w:ind w:firstLine="360"/>
        <w:jc w:val="both"/>
      </w:pPr>
    </w:p>
    <w:p>
      <w:pPr>
        <w:bidi/>
        <w:spacing w:before="0" w:after="80" w:line="240" w:lineRule="auto"/>
        <w:ind w:firstLine="360"/>
        <w:jc w:val="both"/>
      </w:pPr>
      <w:r>
        <w:rPr>
          <w:rFonts w:ascii="Times New Roman" w:hAnsi="Times New Roman" w:cs="B Nazanin" w:eastAsia="Times New Roman"/>
          <w:sz w:val="26"/>
          <w:szCs w:val="26"/>
          <w:lang w:val="en-US" w:bidi="fa-IR"/>
        </w:rPr>
        <w:t xml:space="preserve">هر دو مدل اندازه‌گیری و ساختاری برازش مطلوبی داشتند (⁦CFI &gt; ۰٫۹۵⁩؛ ⁦RMSEA &lt; ۰٫۰۶⁩؛ ⁦SRMR &lt; ۰٫۰۸⁩)؛ مدل تک‌عاملی برازش ضعیف داشت و عامل اول هارمن ۲۰٫۱٪ واریانس را تبیین کرد، بنابراین سوگیری روش مشترک تهدید جدی نیست (پوداساف و همکاران</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۲۰۰۳). بارهای عاملی بین ۰٫۶۰ و ۰٫۸۷ بود. جدول ۲ نشان می‌دهد آلفا و پایایی ترکیبی همه بالاتر از ۰٫۷۰ است و AVE نزدیک یا بالاتر از ۰٫۵۰ است؛ بیشینهٔ HTMT برابر ۰٫۵۶ (کمتر از ۰٫۸۵) بود (هنسلر و همکاران</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۲۰۱۵).</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پایایی و روایی سازه‌ها</w:t>
      </w:r>
    </w:p>
    <w:tbl>
      <w:tblPr>
        <w:bidiVisual/>
        <w:tblW w:w="8000" w:type="dxa"/>
        <w:jc w:val="center"/>
        <w:tblLayout w:type="fixed"/>
        <w:tblCellMar>
          <w:left w:w="60" w:type="dxa"/>
          <w:right w:w="60" w:type="dxa"/>
        </w:tblCellMar>
      </w:tblPr>
      <w:tblGrid>
        <w:gridCol w:w="3200"/>
        <w:gridCol w:w="800"/>
        <w:gridCol w:w="1000"/>
        <w:gridCol w:w="1000"/>
        <w:gridCol w:w="1000"/>
        <w:gridCol w:w="1000"/>
      </w:tblGrid>
      <w:tr>
        <w:trPr>
          <w:tblHeader/>
        </w:trPr>
        <w:tc>
          <w:tcPr>
            <w:tcW w:w="3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گویه</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آلفا</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CR</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مقایسهٔ اجتماعی</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۰٫۸۳۲</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۰٫۵۵۶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۰٫۷۴۶</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پشیمانی پیش‌بینی‌شده</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۰٫۵۵۱</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۰٫۷۴۳</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محتوای شبکه‌ها</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۰٫۴۸۷</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۰٫۶۹۸</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۰٫۸۵۶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۰٫۸۵۸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۰٫۵۰۵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۰٫۷۱۱</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سواد حسابداری</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۰٫۸۴۲</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۰٫۵۷۳</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۰٫۷۵۷</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استفاده از اطلاعات حسابداری</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۰٫۵۳۰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۰٫۷۲۸</w:t>
            </w:r>
          </w:p>
        </w:tc>
      </w:tr>
      <w:tr>
        <w:trPr>
          <w:cantSplit/>
        </w:trPr>
        <w:tc>
          <w:tcPr>
            <w:tcW w:w="3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کیفیت تصمیم</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۰٫۸۴۲</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۰٫۸۴۴</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۰٫۵۲۰</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۰٫۷۲۱</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همبستگی مکنون سازه‌ها (برآورد CFA)</w:t>
      </w:r>
    </w:p>
    <w:tbl>
      <w:tblPr>
        <w:bidiVisual/>
        <w:tblW w:w="7750" w:type="dxa"/>
        <w:jc w:val="center"/>
        <w:tblLayout w:type="fixed"/>
        <w:tblCellMar>
          <w:left w:w="60" w:type="dxa"/>
          <w:right w:w="60" w:type="dxa"/>
        </w:tblCellMar>
      </w:tblPr>
      <w:tblGrid>
        <w:gridCol w:w="2500"/>
        <w:gridCol w:w="750"/>
        <w:gridCol w:w="750"/>
        <w:gridCol w:w="750"/>
        <w:gridCol w:w="750"/>
        <w:gridCol w:w="750"/>
        <w:gridCol w:w="750"/>
        <w:gridCol w:w="75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۱</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۲</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۳</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۴</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۵</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۶</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مقایسهٔ اجتماعی</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پشیمانی پیش‌بینی‌شده</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۰٫۳۸</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محتوای شبکه‌ها</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۰٫۲۰</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۰٫۲۰</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۰٫۴۲</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۰٫۴۵</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۰٫۴۵</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سواد حسابداری</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۰٫۱۰</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750" w:type="dxa"/>
            <w:vAlign w:val="center"/>
          </w:tcPr>
          <w:p>
            <w:pPr>
              <w:bidi/>
              <w:spacing w:before="40" w:after="40" w:line="240" w:lineRule="auto"/>
              <w:jc w:val="center"/>
            </w:pPr>
          </w:p>
        </w:tc>
        <w:tc>
          <w:tcPr>
            <w:tcW w:w="750" w:type="dxa"/>
            <w:vAlign w:val="center"/>
          </w:tcPr>
          <w:p>
            <w:pPr>
              <w:bidi/>
              <w:spacing w:before="40" w:after="40" w:line="240" w:lineRule="auto"/>
              <w:jc w:val="center"/>
            </w:pP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اطلاعات حسابداری</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⁦−۰٫۳۱⁩</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⁦−۰٫۱۰⁩</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۰٫۵۳</w:t>
            </w:r>
          </w:p>
        </w:tc>
        <w:tc>
          <w:tcPr>
            <w:tcW w:w="7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750" w:type="dxa"/>
            <w:vAlign w:val="center"/>
          </w:tcPr>
          <w:p>
            <w:pPr>
              <w:bidi/>
              <w:spacing w:before="40" w:after="40" w:line="240" w:lineRule="auto"/>
              <w:jc w:val="center"/>
            </w:pP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⁦−۰٫۰۷⁩</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⁦−۰٫۲۹⁩</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⁦−۰٫۳۷⁩</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۰٫۴۱</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bl>
    <w:p>
      <w:pPr>
        <w:bidi/>
        <w:spacing w:before="0" w:after="100" w:line="240" w:lineRule="auto"/>
        <w:ind w:firstLine="360"/>
        <w:jc w:val="both"/>
      </w:pPr>
    </w:p>
    <w:p>
      <w:pPr>
        <w:keepNext/>
        <w:bidi/>
        <w:spacing w:before="160" w:after="80" w:line="240" w:lineRule="auto"/>
        <w:jc w:val="left"/>
      </w:pPr>
      <w:r>
        <w:rPr>
          <w:rFonts w:ascii="Times New Roman" w:hAnsi="Times New Roman" w:cs="B Nazanin" w:eastAsia="Times New Roman"/>
          <w:b/>
          <w:bCs/>
          <w:sz w:val="24"/>
          <w:szCs w:val="24"/>
          <w:lang w:val="en-US" w:bidi="fa-IR"/>
        </w:rPr>
        <w:t xml:space="preserve">۴-۲. مدل ساختاری و اثرهای غیرمستقیم</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مقایسهٔ اجتماعی (⁦β = ۰٫۲۷⁩، ⁦z = ۵٫۱۷⁩، ⁦p &lt; ۰٫۰۰۱⁩) و پشیمانی پیش‌بینی‌شده (⁦β = ۰٫۲۳⁩، ⁦z = ۴٫۴۵⁩، ⁦p &lt; ۰٫۰۰۱⁩) فومو را افزایش دادند (فرضیه‌های ۱ و ۲). مواجهه با محتوای شبکه‌ها استفاده از اطلاعات حسابداری را کاهش داد (⁦β = −۰٫۲۴⁩، ⁦z = −۴٫۸۰⁩، ⁦p &lt; ۰٫۰۰۱⁩؛ فرضیهٔ ۳) و سواد حسابداری آن را افزایش داد (⁦β = ۰٫۵۰⁩، ⁦z = ۹٫۵۷⁩، ⁦p &lt; ۰٫۰۰۱⁩؛ فرضیهٔ ۴). فومو کیفیت تصمیم را کاهش داد (⁦β = −۰٫۳۶⁩، ⁦z = −۶٫۵۹⁩، ⁦p &lt; ۰٫۰۰۱⁩؛ فرضیهٔ ۵) و استفاده از اطلاعات حسابداری آن را افزایش داد (⁦β = ۰٫۳۵⁩، ⁦z = ۵٫۳۶⁩، ⁦p &lt; ۰٫۰۰۱⁩؛ فرضیهٔ ۶). اثر مستقیم سواد حسابداری بر کیفیت تصمیم معنادار نبود (⁦β = ۰٫۰۴⁩؛ p = ۰٫۵۵۱)، یعنی اثر آن عمدتاً از راه استفادهٔ عملی از اطلاعات حسابداری منتقل می‌شود. تجربهٔ زیان فومو را بالاتر برد (⁦β = ۰٫۲۰⁩). بر پایهٔ نمرات ترکیبی، R² فومو ۰٫۳۴، استفاده از اطلاعات حسابداری ۰٫۲۶ و کیفیت تصمیم ۰٫۲۱ بود.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ضرایب مسیر ساختاری</w:t>
      </w:r>
    </w:p>
    <w:tbl>
      <w:tblPr>
        <w:bidiVisual/>
        <w:tblW w:w="9000" w:type="dxa"/>
        <w:jc w:val="center"/>
        <w:tblLayout w:type="fixed"/>
        <w:tblCellMar>
          <w:left w:w="60" w:type="dxa"/>
          <w:right w:w="60" w:type="dxa"/>
        </w:tblCellMar>
      </w:tblPr>
      <w:tblGrid>
        <w:gridCol w:w="3300"/>
        <w:gridCol w:w="700"/>
        <w:gridCol w:w="800"/>
        <w:gridCol w:w="800"/>
        <w:gridCol w:w="850"/>
        <w:gridCol w:w="800"/>
        <w:gridCol w:w="900"/>
        <w:gridCol w:w="850"/>
      </w:tblGrid>
      <w:tr>
        <w:trPr>
          <w:tblHeader/>
        </w:trPr>
        <w:tc>
          <w:tcPr>
            <w:tcW w:w="3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مسیر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فرضیه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b</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β</w:t>
            </w:r>
          </w:p>
        </w:tc>
        <w:tc>
          <w:tcPr>
            <w:tcW w:w="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خطای معیار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z</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p</w:t>
            </w:r>
          </w:p>
        </w:tc>
        <w:tc>
          <w:tcPr>
            <w:tcW w:w="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معناداری</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مقایسهٔ اجتماعی ← فومو</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۰٫۲۷۶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۰٫۲۷۲</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۵٫۱۷</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پشیمانی پیش‌بینی‌شده ← فومو</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۰٫۲۳۹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۰٫۲۳۳</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۴٫۴۵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 استفاده از اطلاعات حسابداری</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⁦−۰٫۲۷۰⁩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⁦−۰٫۲۴۲⁩</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⁦−۴٫۸۰⁩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سواد حسابداری ← استفاده از اطلاعات حسابداری</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۰٫۴۸۶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۰٫۵۰۲</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۰٫۰۵۱</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۹٫۵۷</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⁦−۰٫۳۰۲⁩</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⁦−۰٫۳۵۷⁩</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⁦−۶٫۵۹⁩</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اطلاعات حسابداری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۰٫۲۸۵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۰٫۳۴۸</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۵٫۳۶</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 فومو (کنترلی)</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۰٫۳۸۵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۰٫۳۵۷</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۶٫۹۸</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سواد حسابداری ← کیفیت تصمیم (مستقیم)</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۰٫۰۳۷</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۰٫۵۵۱</w:t>
            </w:r>
          </w:p>
        </w:tc>
        <w:tc>
          <w:tcPr>
            <w:tcW w:w="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ns</w:t>
            </w:r>
          </w:p>
        </w:tc>
      </w:tr>
      <w:tr>
        <w:trPr>
          <w:cantSplit/>
        </w:trPr>
        <w:tc>
          <w:tcPr>
            <w:tcW w:w="3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تجربهٔ زیان ← فومو (کنترلی)</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۰٫۳۷۱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۰٫۲۰۲</w:t>
            </w:r>
          </w:p>
        </w:tc>
        <w:tc>
          <w:tcPr>
            <w:tcW w:w="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۰٫۰۷۸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۴٫۷۷</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معناداری: ∗∗∗ ‏p&lt;۰٫۰۰۱، ∗∗ ‏p&lt;۰٫۰۱، ∗ ‏p&lt;۰٫۰۵؛ متغیرهای کنترل: تجربهٔ زیان و سابقه.</w:t>
      </w:r>
    </w:p>
    <w:p>
      <w:pPr>
        <w:keepNext/>
        <w:jc w:val="center"/>
      </w:pPr>
      <w:r>
        <w:drawing>
          <wp:inline distT="0" distB="0" distL="0" distR="0">
            <wp:extent cx="5220000" cy="2793157"/>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220000" cy="2793157"/>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برآوردشده با ضرایب استاندارد (یافتهٔ پژوهشگر)</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اثرهای غیرمستقیم و کل استاندارد (خودگردان‌سازی ۹۵٪)</w:t>
      </w:r>
    </w:p>
    <w:tbl>
      <w:tblPr>
        <w:bidiVisual/>
        <w:tblW w:w="8500" w:type="dxa"/>
        <w:jc w:val="center"/>
        <w:tblLayout w:type="fixed"/>
        <w:tblCellMar>
          <w:left w:w="60" w:type="dxa"/>
          <w:right w:w="60" w:type="dxa"/>
        </w:tblCellMar>
      </w:tblPr>
      <w:tblGrid>
        <w:gridCol w:w="4400"/>
        <w:gridCol w:w="1100"/>
        <w:gridCol w:w="2100"/>
        <w:gridCol w:w="900"/>
      </w:tblGrid>
      <w:tr>
        <w:trPr>
          <w:tblHeader/>
        </w:trPr>
        <w:tc>
          <w:tcPr>
            <w:tcW w:w="4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برآورد</w:t>
            </w:r>
          </w:p>
        </w:tc>
        <w:tc>
          <w:tcPr>
            <w:tcW w:w="2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معنادار</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مقایسهٔ اجتماعی ← فومو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⁦−۰٫۰۹۷⁩</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[⁦−۰٫۱۵۰⁩، ⁦−۰٫۰۵۳⁩]</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پشیمانی پیش‌بینی‌شده ← فومو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⁦−۰٫۰۸۳⁩</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[⁦−۰٫۱۳۱⁩، ⁦−۰٫۰۳۹⁩]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⁦−۰٫۱۲۷⁩</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[⁦−۰٫۱۸۴⁩، ⁦−۰٫۰۷۸⁩]</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استفاده از اطلاعات حسابداری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⁦−۰٫۰۸۴⁩</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[⁦−۰٫۱۳۲⁩، ⁦−۰٫۰۴۳⁩]</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سواد حسابداری ← استفاده از اطلاعات حسابداری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۰٫۱۷۴</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[۰٫۱۰۵، ۰٫۲۵۴]</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مواجهه</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⁦−۰٫۲۱۱⁩</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[⁦−۰٫۲۷۲⁩، ⁦−۰٫۱۵۰⁩]</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سواد حسابداری</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۰٫۲۱۱</w:t>
            </w:r>
          </w:p>
        </w:tc>
        <w:tc>
          <w:tcPr>
            <w:tcW w:w="2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[۰٫۱۰۰، ۰٫۳۱۳]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bl>
    <w:p>
      <w:pPr>
        <w:bidi/>
        <w:spacing w:before="0" w:after="100" w:line="240" w:lineRule="auto"/>
        <w:ind w:firstLine="360"/>
        <w:jc w:val="both"/>
      </w:pPr>
    </w:p>
    <w:p>
      <w:pPr>
        <w:bidi/>
        <w:spacing w:before="0" w:after="80" w:line="240" w:lineRule="auto"/>
        <w:ind w:firstLine="360"/>
        <w:jc w:val="both"/>
      </w:pPr>
      <w:r>
        <w:rPr>
          <w:rFonts w:ascii="Times New Roman" w:hAnsi="Times New Roman" w:cs="B Nazanin" w:eastAsia="Times New Roman"/>
          <w:sz w:val="26"/>
          <w:szCs w:val="26"/>
          <w:lang w:val="en-US" w:bidi="fa-IR"/>
        </w:rPr>
        <w:t xml:space="preserve">همهٔ اثرهای غیرمستقیم معنادار بودند (فرضیهٔ ۷). اثر کل مواجهه با محتوا بر کیفیت تصمیم منفی (⁦−۰٫۲۱۱⁩) و از دو مسیر مکمل منتقل می‌شود: افزایش فومو و کاهش استفاده از اطلاعات حسابداری؛ یعنی مواجهه هم از راه هیجان و هم از راه جایگزینی اطلاعاتی به تصمیم آسیب می‌زند. اثر کل سواد حسابداری مثبت (۰٫۲۱۱) و تقریباً کاملاً غیرمستقیم است.</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۴-۳. ناوردایی اندازه‌گیری و تفاوت مسیرها بر پایهٔ تجربهٔ زیان</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آزمون ناوردایی اندازه‌گیری میان گروه‌های بدون و دارای تجربهٔ زیان</w:t>
      </w:r>
    </w:p>
    <w:tbl>
      <w:tblPr>
        <w:bidiVisual/>
        <w:tblW w:w="8500" w:type="dxa"/>
        <w:jc w:val="center"/>
        <w:tblLayout w:type="fixed"/>
        <w:tblCellMar>
          <w:left w:w="60" w:type="dxa"/>
          <w:right w:w="60" w:type="dxa"/>
        </w:tblCellMar>
      </w:tblPr>
      <w:tblGrid>
        <w:gridCol w:w="1800"/>
        <w:gridCol w:w="1000"/>
        <w:gridCol w:w="700"/>
        <w:gridCol w:w="900"/>
        <w:gridCol w:w="1000"/>
        <w:gridCol w:w="1000"/>
        <w:gridCol w:w="1000"/>
        <w:gridCol w:w="1100"/>
      </w:tblGrid>
      <w:tr>
        <w:trPr>
          <w:tblHeader/>
        </w:trPr>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ΔCFI</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ΔRMSEA</w:t>
            </w:r>
          </w:p>
        </w:tc>
      </w:tr>
      <w:tr>
        <w:trPr>
          <w:cantSplit/>
        </w:trPr>
        <w:tc>
          <w:tcPr>
            <w:tcW w:w="1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پیکربندی</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۱۱۳۴٫۲</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۹۴۸</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۰٫۹۶۹</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۰٫۰۳۰</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۰٫۰۵۳</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1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متریک</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۱۱۵۲٫۵</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۹۷۴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۰٫۹۷۰</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۰٫۰۲۹</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۰٫۰۵۵</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⁦−۰٫۰۰۱⁩</w:t>
            </w:r>
          </w:p>
        </w:tc>
      </w:tr>
      <w:tr>
        <w:trPr>
          <w:cantSplit/>
        </w:trPr>
        <w:tc>
          <w:tcPr>
            <w:tcW w:w="1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اسکالر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۱۲۰۶٫۶</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۱۰۰۰</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۰٫۹۶۵</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۰٫۰۵۵</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⁦−۰٫۰۰۵⁩</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۰٫۰۰۲</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گروه بدون تجربهٔ زیان ۲۶۹ نفر و گروه دارای تجربهٔ زیان ۱۷۳ نفر.</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مدل پیکربندی برازش مطلوب داشت و افزودن قید برابری بارها (⁦ΔCFI = ۰٫۰۰۱⁩) و سپس برابری عرض از مبدأها (⁦ΔCFI = −۰٫۰۰۵⁩؛ ⁦ΔRMSEA = ۰٫۰۰۲⁩) از آستانه‌های توصیه‌شده فراتر نرفت؛ بنابراین ناوردایی اسکالر کامل پذیرفته می‌شود (فرضیهٔ ۸) و مقایسهٔ میانگین‌ها و مسیرها مجاز است. گروه دارای تجربهٔ زیان میانگین پنهان بالاتری در فومو (⁦d = ۰٫۵۰⁩) و پشیمانی پیش‌بینی‌شده (⁦d = ۰٫۴۷⁩) داشت و در سازه‌های دیگر تفاوت بزرگی دیده نشد (بیشینهٔ |d| سایر سازه‌ها ۰٫۰۹).</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مقایسهٔ ضرایب ناستاندارد مسیر میان دو گروه</w:t>
      </w:r>
    </w:p>
    <w:tbl>
      <w:tblPr>
        <w:bidiVisual/>
        <w:tblW w:w="9000" w:type="dxa"/>
        <w:jc w:val="center"/>
        <w:tblLayout w:type="fixed"/>
        <w:tblCellMar>
          <w:left w:w="60" w:type="dxa"/>
          <w:right w:w="60" w:type="dxa"/>
        </w:tblCellMar>
      </w:tblPr>
      <w:tblGrid>
        <w:gridCol w:w="3000"/>
        <w:gridCol w:w="950"/>
        <w:gridCol w:w="950"/>
        <w:gridCol w:w="800"/>
        <w:gridCol w:w="700"/>
        <w:gridCol w:w="900"/>
        <w:gridCol w:w="1700"/>
      </w:tblGrid>
      <w:tr>
        <w:trPr>
          <w:tblHeader/>
        </w:trPr>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9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بدون تجربهٔ زیان</w:t>
            </w:r>
          </w:p>
        </w:tc>
        <w:tc>
          <w:tcPr>
            <w:tcW w:w="9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دارای تجربهٔ زیان</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تفاوت</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z</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p</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فاصلهٔ اطمینان تفاوت</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مقایسهٔ اجتماعی ← فومو</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۰٫۳۰۸</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⁦−۰٫۰۷۴⁩</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⁦−۰٫۷۰⁩</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۰٫۴۸۲</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[⁦−۰٫۲۹۳⁩، ۰٫۱۴۳]</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پشیمانی پیش‌بینی‌شده ← فومو</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۰٫۱۳۱</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۰٫۲۷۹</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۲٫۳۹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۰٫۰۱۷</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[۰٫۰۴۹، ۰٫۵۴۷]</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مواجهه ← فومو</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۰٫۴۳۱</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⁦−۰٫۱۰۲⁩</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⁦−۰٫۹۴⁩</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۰٫۳۴۵</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[⁦−۰٫۳۴۴⁩، ۰٫۱۲۸]</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سواد حسابداری ← استفاده از اطلاعات حسابداری</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۰٫۵۳۳</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⁦−۰٫۱۰۴⁩</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۰٫۳۱۵</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[⁦−۰٫۳۱۹⁩، ۰٫۱۲۰]</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مواجهه ← استفاده از اطلاعات حسابداری</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⁦−۰٫۱۷۰⁩</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⁦−۰٫۳۸۳⁩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⁦−۰٫۲۱۴⁩</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⁦−۱٫۸۹⁩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۰٫۰۵۹</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[⁦−۰٫۴۶۶⁩، ۰٫۰۰۶]</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فومو ← کیفیت تصمیم</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⁦−۰٫۱۷۴⁩</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⁦−۰٫۳۴۶⁩</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⁦−۳٫۵۳⁩</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&lt; ۰٫۰۰۱⁩</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[⁦−۰٫۵۷۴⁩، ⁦−۰٫۱۴۰⁩]</w:t>
            </w:r>
          </w:p>
        </w:tc>
      </w:tr>
      <w:tr>
        <w:trPr>
          <w:cantSplit/>
        </w:trPr>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استفاده از اطلاعات حسابداری ← کیفیت تصمیم</w:t>
            </w:r>
          </w:p>
        </w:tc>
        <w:tc>
          <w:tcPr>
            <w:tcW w:w="9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۰٫۲۴۹</w:t>
            </w:r>
          </w:p>
        </w:tc>
        <w:tc>
          <w:tcPr>
            <w:tcW w:w="9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۰٫۲۸۳</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۰٫۰۳۳</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۰٫۷۴۹</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[⁦−۰٫۱۸۲⁩، ۰٫۲۶۳]</w:t>
            </w:r>
          </w:p>
        </w:tc>
      </w:tr>
    </w:tbl>
    <w:p>
      <w:pPr>
        <w:bidi/>
        <w:spacing w:before="0" w:after="100" w:line="240" w:lineRule="auto"/>
        <w:ind w:firstLine="360"/>
        <w:jc w:val="both"/>
      </w:pPr>
    </w:p>
    <w:p>
      <w:pPr>
        <w:bidi/>
        <w:spacing w:before="0" w:after="80" w:line="240" w:lineRule="auto"/>
        <w:ind w:firstLine="360"/>
        <w:jc w:val="both"/>
      </w:pPr>
      <w:r>
        <w:rPr>
          <w:rFonts w:ascii="Times New Roman" w:hAnsi="Times New Roman" w:cs="B Nazanin" w:eastAsia="Times New Roman"/>
          <w:sz w:val="26"/>
          <w:szCs w:val="26"/>
          <w:lang w:val="en-US" w:bidi="fa-IR"/>
        </w:rPr>
        <w:t xml:space="preserve">اثر پشیمانی پیش‌بینی‌شده بر فومو در گروه دارای تجربهٔ زیان به‌طور معنادار قوی‌تر بود (⁦Δb = ۰٫۲۸⁩، ⁦z = ۲٫۳۹⁩، p = ۰٫۰۱۷؛ فاصلهٔ اطمینان خودگردان ۰٫۰۵ تا ۰٫۵۵) و اثر منفی فومو بر کیفیت تصمیم نیز در این گروه عمیق‌تر بود (⁦Δb = −۰٫۳۵⁩، ⁦z = −۳٫۵۳⁩، ⁦p &lt; ۰٫۰۰۱⁩)؛ فرضیه‌های ۹ و ۱۰ تأیید می‌شوند. در مقابل، مسیرهای مقایسهٔ اجتماعی ← فومو، سواد حسابداری ← استفاده از اطلاعات حسابداری و استفاده از اطلاعات حسابداری ← کیفیت تصمیم تفاوت معناداری میان دو گروه نشان ندادند، که نشان می‌دهد اثر اطلاعات حسابداری در هر دو گروه مشابه است.</w:t>
      </w:r>
    </w:p>
    <w:p>
      <w:pPr>
        <w:keepNext/>
        <w:jc w:val="center"/>
      </w:pPr>
      <w:r>
        <w:drawing>
          <wp:inline distT="0" distB="0" distL="0" distR="0">
            <wp:extent cx="4500000" cy="2675675"/>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4500000" cy="2675675"/>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تفاوت ضرایب مسیر میان دو گروه با فاصلهٔ اطمینان خودگردان</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۴-۴. یادگیری ماشین و تفسیر SHAP</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دقت پیش‌بینی بیرون‌نمونه‌ای کیفیت تصمیم (۵ لایه × ۱۰ تکرار)</w:t>
      </w:r>
    </w:p>
    <w:tbl>
      <w:tblPr>
        <w:bidiVisual/>
        <w:tblW w:w="8800" w:type="dxa"/>
        <w:jc w:val="center"/>
        <w:tblLayout w:type="fixed"/>
        <w:tblCellMar>
          <w:left w:w="60" w:type="dxa"/>
          <w:right w:w="60" w:type="dxa"/>
        </w:tblCellMar>
      </w:tblPr>
      <w:tblGrid>
        <w:gridCol w:w="1100"/>
        <w:gridCol w:w="1900"/>
        <w:gridCol w:w="1000"/>
        <w:gridCol w:w="1000"/>
        <w:gridCol w:w="1500"/>
        <w:gridCol w:w="1300"/>
        <w:gridCol w:w="1000"/>
      </w:tblGrid>
      <w:tr>
        <w:trPr>
          <w:tblHeader/>
        </w:trPr>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1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R² (انحراف معیار)</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MAE</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تفاوت R² با OLS</w:t>
            </w:r>
          </w:p>
        </w:tc>
        <w:tc>
          <w:tcPr>
            <w:tcW w:w="1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 اصلاح‌شده</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p</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OLS</w:t>
            </w:r>
          </w:p>
        </w:tc>
        <w:tc>
          <w:tcPr>
            <w:tcW w:w="1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۰٫۱۵۷ (۰٫۱۰۰)</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۰٫۷۵۲</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۰٫۶۱۳</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1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RF</w:t>
            </w:r>
          </w:p>
        </w:tc>
        <w:tc>
          <w:tcPr>
            <w:tcW w:w="1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۰٫۲۳۹ (۰٫۰۸۲)</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۰٫۷۱۵</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۰٫۵۸۴</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۰٫۰۸۱</w:t>
            </w:r>
          </w:p>
        </w:tc>
        <w:tc>
          <w:tcPr>
            <w:tcW w:w="1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۲٫۵۵</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۰٫۰۱۴</w:t>
            </w:r>
          </w:p>
        </w:tc>
      </w:tr>
      <w:tr>
        <w:trPr>
          <w:cantSplit/>
        </w:trPr>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GBM</w:t>
            </w:r>
          </w:p>
        </w:tc>
        <w:tc>
          <w:tcPr>
            <w:tcW w:w="1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۰٫۲۴۱ (۰٫۰۸۹)</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۰٫۷۱۴</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۰٫۵۷۶</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۰٫۰۸۴</w:t>
            </w:r>
          </w:p>
        </w:tc>
        <w:tc>
          <w:tcPr>
            <w:tcW w:w="1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۲٫۹۰</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۰٫۰۰۶</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OLS رگرسیون خطی، RF جنگل تصادفی، GBM تقویت گرادیان؛ آزمون t اصلاح‌شدهٔ ندو و بنجیو.</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رگرسیون خطی R² بیرون‌نمونه‌ای ۰٫۱۵۷ داشت، در حالی‌که جنگل تصادفی ۰٫۲۳۹ (⁦t = ۲٫۵۵⁩، p = ۰٫۰۱۴) و تقویت گرادیان ۰٫۲۴۱ (⁦t = ۲٫۹۰⁩، p = ۰٫۰۰۶) به دست آوردند؛ بنابراین فرضیهٔ ۱۱ تأیید می‌شود. افزایش دقت نشان می‌دهد بخشی از ساختار داده غیرخطی است (آستانه‌ای‌بودن اثر فومو و تعامل با اطلاعات حسابداری). شاخص SHAP تعاملی میان فومو و اطلاعات حسابداری ۰٫۰۹۷ بود.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۹. اهمیت SHAP و اثر کل استاندارد در مدل ساختاری</w:t>
      </w:r>
    </w:p>
    <w:tbl>
      <w:tblPr>
        <w:bidiVisual/>
        <w:tblW w:w="8000" w:type="dxa"/>
        <w:jc w:val="center"/>
        <w:tblLayout w:type="fixed"/>
        <w:tblCellMar>
          <w:left w:w="60" w:type="dxa"/>
          <w:right w:w="60" w:type="dxa"/>
        </w:tblCellMar>
      </w:tblPr>
      <w:tblGrid>
        <w:gridCol w:w="3800"/>
        <w:gridCol w:w="1800"/>
        <w:gridCol w:w="2400"/>
      </w:tblGrid>
      <w:tr>
        <w:trPr>
          <w:tblHeader/>
        </w:trPr>
        <w:tc>
          <w:tcPr>
            <w:tcW w:w="3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میانگین |SHAP|</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اثر کل استاندارد (SEM)</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۰٫۲۲۱</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⁦−۰٫۳۵۷⁩</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استفاده از اطلاعات حسابداری</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۰٫۲۰۳</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۰٫۳۴۸</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سواد حسابداری</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۰٫۰۴۹</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۰٫۲۱۱</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محتوای شبکه‌ها</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۰٫۰۲۴</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⁦−۰٫۲۱۱⁩</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مقایسهٔ اجتماعی</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۰٫۰۲۱</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⁦−۰٫۰۹۷⁩</w:t>
            </w:r>
          </w:p>
        </w:tc>
      </w:tr>
      <w:tr>
        <w:trPr>
          <w:cantSplit/>
        </w:trPr>
        <w:tc>
          <w:tcPr>
            <w:tcW w:w="3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پشیمانی پیش‌بینی‌شده</w:t>
            </w:r>
          </w:p>
        </w:tc>
        <w:tc>
          <w:tcPr>
            <w:tcW w:w="1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۰٫۰۰۹</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⁦−۰٫۰۸۳⁩</w:t>
            </w:r>
          </w:p>
        </w:tc>
      </w:tr>
    </w:tbl>
    <w:p>
      <w:pPr>
        <w:bidi/>
        <w:spacing w:before="0" w:after="100" w:line="240" w:lineRule="auto"/>
        <w:ind w:firstLine="360"/>
        <w:jc w:val="both"/>
      </w:pPr>
    </w:p>
    <w:p>
      <w:pPr>
        <w:bidi/>
        <w:spacing w:before="0" w:after="80" w:line="240" w:lineRule="auto"/>
        <w:ind w:firstLine="360"/>
        <w:jc w:val="both"/>
      </w:pPr>
      <w:r>
        <w:rPr>
          <w:rFonts w:ascii="Times New Roman" w:hAnsi="Times New Roman" w:cs="B Nazanin" w:eastAsia="Times New Roman"/>
          <w:sz w:val="26"/>
          <w:szCs w:val="26"/>
          <w:lang w:val="en-US" w:bidi="fa-IR"/>
        </w:rPr>
        <w:t xml:space="preserve">بالاترین اهمیت SHAP به فومو و سپس استفاده از اطلاعات حسابداری تعلق داشت. همبستگی رتبه‌ای اسپیرمن میان اهمیت SHAP و قدر مطلق اثر کل ساختاری ۰٫۹۴ بود (⁦n = ۶⁩)؛ بنابراین فرضیهٔ ۱۲ تأیید می‌شود، هرچند با شش سازه توان آماری آزمون پایین است و صرفاً سازگاری جهت‌دار را نشان می‌دهد.</w:t>
      </w:r>
    </w:p>
    <w:p>
      <w:pPr>
        <w:keepNext/>
        <w:jc w:val="center"/>
      </w:pPr>
      <w:r>
        <w:drawing>
          <wp:inline distT="0" distB="0" distL="0" distR="0">
            <wp:extent cx="5400000" cy="2365714"/>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400000" cy="2365714"/>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۴. اهمیت و توزیع مقادیر SHAP (مدل برتر)</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۵. بحث و نتیجه‌گیری</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یافته‌ها در چارچوب مدل مفروض تصویر منسجمی می‌سازند: فومو را مقایسهٔ اجتماعی و پشیمانی پیش‌بینی‌شده تغذیه می‌کنند، و فومو و اطلاعات حسابداری در دو سوی ترازو بر کیفیت تصمیم می‌نشینند. جایگزینی اطلاعاتی (اثر منفی مواجهه با شبکه‌ها بر استفاده از اطلاعات حسابداری) با دیدگاه توجه محدود (باربر و اودین، ۲۰۰۸) سازگار است و نشان می‌دهد مداخلات آموزشی باید هم هیجان و هم رقابت بر سر توجه را هدف بگیرند. اثر مستقیم‌نبودن سواد حسابداری بر کیفیت تصمیم نیز نکته‌ای عملی دارد: سواد زمانی ارزشمند است که به رفتار استفاده از اطلاعات تبدیل شود.</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از نظر تفاوت گروهی، ناوردایی اسکالر امکان مقایسهٔ منصفانهٔ میانگین‌ها و مسیرها را فراهم کرد. پشیمانی پیش‌بینی‌شده در سرمایه‌گذاران زیان‌دیده قوی‌تر به فومو تبدیل می‌شود و فومو برای آنان پیامد سنگین‌تری دارد؛ می‌توان آن را به حساسیت بیشتر به از دست دادن فرصت پس از تجربه زیان نسبت داد، اما با طرح مقطعی نمی‌توان مدعی علّیت شد. هم‌زمان، اثر مفید اطلاعات حسابداری در هر دو گروه مشابه بود؛ یعنی آموزش و تقویت استفاده از اطلاعات حسابداری برای همگان سودمند است.</w:t>
      </w:r>
    </w:p>
    <w:p>
      <w:pPr>
        <w:bidi/>
        <w:spacing w:before="0" w:after="80" w:line="240" w:lineRule="auto"/>
        <w:ind w:firstLine="360"/>
        <w:jc w:val="both"/>
      </w:pPr>
      <w:r>
        <w:rPr>
          <w:rFonts w:ascii="Times New Roman" w:hAnsi="Times New Roman" w:cs="B Nazanin" w:eastAsia="Times New Roman"/>
          <w:sz w:val="26"/>
          <w:szCs w:val="26"/>
          <w:lang w:val="en-US" w:bidi="fa-IR"/>
        </w:rPr>
        <w:t xml:space="preserve">افزودن یادگیری ماشین نشان داد مدل‌های غیرخطی دقت بیشتری دارند و سازگار با مدل ساختاری‌اند. این ترکیب سهم محاسباتی مقاله است: SEM نظریه را آزمون می‌کند و SHAP اهمیت و شکل اثرها را بدون تحمیل خطی‌بودن نشان می‌دهد. </w:t>
      </w:r>
      <w:r>
        <w:rPr>
          <w:rFonts w:ascii="Times New Roman" w:hAnsi="Times New Roman" w:cs="B Nazanin" w:eastAsia="Times New Roman"/>
          <w:b/>
          <w:bCs/>
          <w:sz w:val="26"/>
          <w:szCs w:val="26"/>
          <w:lang w:val="en-US" w:bidi="fa-IR"/>
        </w:rPr>
        <w:t xml:space="preserve">پیشنهادهای کاربردی:</w:t>
      </w:r>
      <w:r>
        <w:rPr>
          <w:rFonts w:ascii="Times New Roman" w:hAnsi="Times New Roman" w:cs="B Nazanin" w:eastAsia="Times New Roman"/>
          <w:sz w:val="26"/>
          <w:szCs w:val="26"/>
          <w:lang w:val="en-US" w:bidi="fa-IR"/>
        </w:rPr>
        <w:t xml:space="preserve"> (۱) غربال‌گری رفتاری سرمایه‌گذاران زیان‌دیده در آموزش‌های کارگزاری؛ (۲) طراحی هشدارهای «فرصت از دست‌رفته» همراه با خلاصهٔ شاخص‌های بنیادی؛ (۳) آموزش خواندن صورت‌های مالی برای تبدیل سواد به کاربرد.</w:t>
      </w:r>
    </w:p>
    <w:p>
      <w:pPr>
        <w:bidi/>
        <w:spacing w:before="0" w:after="80" w:line="240" w:lineRule="auto"/>
        <w:ind w:firstLine="360"/>
        <w:jc w:val="both"/>
      </w:pPr>
      <w:r>
        <w:rPr>
          <w:rFonts w:ascii="Times New Roman" w:hAnsi="Times New Roman" w:cs="B Nazanin" w:eastAsia="Times New Roman"/>
          <w:b/>
          <w:bCs/>
          <w:sz w:val="26"/>
          <w:szCs w:val="26"/>
          <w:lang w:val="en-US" w:bidi="fa-IR"/>
        </w:rPr>
        <w:t xml:space="preserve">محدودیت‌ها:</w:t>
      </w:r>
      <w:r>
        <w:rPr>
          <w:rFonts w:ascii="Times New Roman" w:hAnsi="Times New Roman" w:cs="B Nazanin" w:eastAsia="Times New Roman"/>
          <w:sz w:val="26"/>
          <w:szCs w:val="26"/>
          <w:lang w:val="en-US" w:bidi="fa-IR"/>
        </w:rPr>
        <w:t xml:space="preserve"> داده شبیه‌سازی‌شده است و اعداد به‌منزلهٔ شواهد دربارهٔ بازار واقعی نیستند؛ ناوردایی اسکالر در داده‌ٔ واقعی کمتر محتمل است و ممکن است ناوردایی جزئی لازم شود (کد این کار را پشتیبانی می‌کند). مقایسهٔ مسیرها با مدل‌های جداگانه بود و نه مدل چندگروهی با قیدهای همزمان؛ ابرپارامترها از پیش ثابت شدند؛ و آزمون اسپیرمن تنها بر شش سازه استوار است. </w:t>
      </w:r>
      <w:r>
        <w:rPr>
          <w:rFonts w:ascii="Times New Roman" w:hAnsi="Times New Roman" w:cs="B Nazanin" w:eastAsia="Times New Roman"/>
          <w:b/>
          <w:bCs/>
          <w:sz w:val="26"/>
          <w:szCs w:val="26"/>
          <w:lang w:val="en-US" w:bidi="fa-IR"/>
        </w:rPr>
        <w:t xml:space="preserve">پژوهش‌های آینده:</w:t>
      </w:r>
      <w:r>
        <w:rPr>
          <w:rFonts w:ascii="Times New Roman" w:hAnsi="Times New Roman" w:cs="B Nazanin" w:eastAsia="Times New Roman"/>
          <w:sz w:val="26"/>
          <w:szCs w:val="26"/>
          <w:lang w:val="en-US" w:bidi="fa-IR"/>
        </w:rPr>
        <w:t xml:space="preserve"> اجرای پرسشنامه روی نمونهٔ واقعی، اعتبارسنجی تودرتو برای مدل‌های یادگیری ماشین، و افزودن داده‌های ردپای دیجیتال.</w:t>
      </w:r>
    </w:p>
    <w:p>
      <w:pPr>
        <w:bidi/>
        <w:spacing w:before="0" w:after="80" w:line="240" w:lineRule="auto"/>
        <w:ind w:firstLine="360"/>
        <w:jc w:val="both"/>
      </w:pPr>
      <w:r>
        <w:rPr>
          <w:rFonts w:ascii="Times New Roman" w:hAnsi="Times New Roman" w:cs="B Nazanin" w:eastAsia="Times New Roman"/>
          <w:b/>
          <w:bCs/>
          <w:sz w:val="26"/>
          <w:szCs w:val="26"/>
          <w:lang w:val="en-US" w:bidi="fa-IR"/>
        </w:rPr>
        <w:t xml:space="preserve">دسترسی به داده و کد:</w:t>
      </w:r>
      <w:r>
        <w:rPr>
          <w:rFonts w:ascii="Times New Roman" w:hAnsi="Times New Roman" w:cs="B Nazanin" w:eastAsia="Times New Roman"/>
          <w:sz w:val="26"/>
          <w:szCs w:val="26"/>
          <w:lang w:val="en-US" w:bidi="fa-IR"/>
        </w:rPr>
        <w:t xml:space="preserve"> پرسشنامه، داده، کد پایتون و دفترچهٔ Colab در مخزن پیوست‌اند. این مقاله و مقالهٔ همراه از دو شبیه‌سازی مستقل بهره می‌برند؛ در پژوهش واقعی اگر داده‌ها از یک پیمایش باشند باید در هر دو مقاله افشا و به یکدیگر ارجاع داده شود.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منابع</w:t>
      </w:r>
    </w:p>
    <w:p>
      <w:pPr>
        <w:bidi/>
        <w:spacing w:before="0" w:after="80" w:line="240" w:lineRule="auto"/>
        <w:jc w:val="both"/>
      </w:pPr>
      <w:r>
        <w:rPr>
          <w:rFonts w:ascii="Times New Roman" w:hAnsi="Times New Roman" w:cs="B Nazanin" w:eastAsia="Times New Roman"/>
          <w:b/>
          <w:bCs/>
          <w:sz w:val="24"/>
          <w:szCs w:val="24"/>
          <w:lang w:val="en-US" w:bidi="fa-IR"/>
        </w:rPr>
        <w:t xml:space="preserve">منابع فارسی:</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منابع فارسی دربارهٔ فومو، رفتار توده‌وار و اطلاعات حسابداری در بورس تهران را پس از تأیید مشخصات و DOI اضافه کنید.</w:t>
      </w:r>
    </w:p>
    <w:p>
      <w:pPr>
        <w:bidi/>
        <w:spacing w:before="100" w:after="60" w:line="240" w:lineRule="auto"/>
        <w:jc w:val="both"/>
      </w:pPr>
      <w:r>
        <w:rPr>
          <w:rFonts w:ascii="Times New Roman" w:hAnsi="Times New Roman" w:cs="B Nazanin" w:eastAsia="Times New Roman"/>
          <w:b/>
          <w:bCs/>
          <w:sz w:val="24"/>
          <w:szCs w:val="24"/>
          <w:lang w:val="en-US" w:bidi="fa-IR"/>
        </w:rPr>
        <w:t xml:space="preserve">منابع لاتین</w:t>
      </w:r>
    </w:p>
    <w:p>
      <w:pPr>
        <w:spacing w:before="0" w:after="60" w:line="240" w:lineRule="auto"/>
        <w:jc w:val="left"/>
      </w:pPr>
      <w:r>
        <w:rPr>
          <w:rFonts w:ascii="Times New Roman" w:hAnsi="Times New Roman" w:cs="Times New Roman" w:eastAsia="Times New Roman"/>
          <w:sz w:val="24"/>
          <w:szCs w:val="24"/>
          <w:lang w:val="en-US" w:bidi="fa-IR"/>
        </w:rPr>
        <w:t xml:space="preserve">Ball, R., &amp; Brown, P. (1968). An empirical evaluation of accounting income numbers. Journal of Accounting Research, 6(2), 159–178. https://doi.org/10.2307/2490232</w:t>
      </w:r>
    </w:p>
    <w:p>
      <w:pPr>
        <w:spacing w:before="0" w:after="60" w:line="240" w:lineRule="auto"/>
        <w:jc w:val="left"/>
      </w:pPr>
      <w:r>
        <w:rPr>
          <w:rFonts w:ascii="Times New Roman" w:hAnsi="Times New Roman" w:cs="Times New Roman" w:eastAsia="Times New Roman"/>
          <w:sz w:val="24"/>
          <w:szCs w:val="24"/>
          <w:lang w:val="en-US" w:bidi="fa-IR"/>
        </w:rPr>
        <w:t xml:space="preserve">Barber, B. M., &amp; Odean, T. (2008). All that glitters: The effect of attention and news on the buying behavior of individual and institutional investors. The Review of Financial Studies, 21(2), 785–818. https://doi.org/10.1093/rfs/hhm079</w:t>
      </w:r>
    </w:p>
    <w:p>
      <w:pPr>
        <w:spacing w:before="0" w:after="60" w:line="240" w:lineRule="auto"/>
        <w:jc w:val="left"/>
      </w:pPr>
      <w:r>
        <w:rPr>
          <w:rFonts w:ascii="Times New Roman" w:hAnsi="Times New Roman" w:cs="Times New Roman" w:eastAsia="Times New Roman"/>
          <w:sz w:val="24"/>
          <w:szCs w:val="24"/>
          <w:lang w:val="en-US" w:bidi="fa-IR"/>
        </w:rPr>
        <w:t xml:space="preserve">Bartov, E., Faurel, L., &amp; Mohanram, P. S. (2018). Can Twitter help predict firm-level earnings and stock returns? The Accounting Review, 93(3), 25–57. https://doi.org/10.2308/accr-51865</w:t>
      </w:r>
    </w:p>
    <w:p>
      <w:pPr>
        <w:spacing w:before="0" w:after="60" w:line="240" w:lineRule="auto"/>
        <w:jc w:val="left"/>
      </w:pPr>
      <w:r>
        <w:rPr>
          <w:rFonts w:ascii="Times New Roman" w:hAnsi="Times New Roman" w:cs="Times New Roman" w:eastAsia="Times New Roman"/>
          <w:sz w:val="24"/>
          <w:szCs w:val="24"/>
          <w:lang w:val="en-US" w:bidi="fa-IR"/>
        </w:rPr>
        <w:t xml:space="preserve">Beaver, W. H. (1968). The information content of annual earnings announcements. Journal of Accounting Research, 6, 67–92. https://doi.org/10.2307/2490070</w:t>
      </w:r>
    </w:p>
    <w:p>
      <w:pPr>
        <w:spacing w:before="0" w:after="60" w:line="240" w:lineRule="auto"/>
        <w:jc w:val="left"/>
      </w:pPr>
      <w:r>
        <w:rPr>
          <w:rFonts w:ascii="Times New Roman" w:hAnsi="Times New Roman" w:cs="Times New Roman" w:eastAsia="Times New Roman"/>
          <w:sz w:val="24"/>
          <w:szCs w:val="24"/>
          <w:lang w:val="en-US" w:bidi="fa-IR"/>
        </w:rPr>
        <w:t xml:space="preserve">Bell, D. E. (1982). Regret in decision making under uncertainty. Operations Research, 30(5), 961–981. https://doi.org/10.1287/opre.30.5.961</w:t>
      </w:r>
    </w:p>
    <w:p>
      <w:pPr>
        <w:spacing w:before="0" w:after="60" w:line="240" w:lineRule="auto"/>
        <w:jc w:val="left"/>
      </w:pPr>
      <w:r>
        <w:rPr>
          <w:rFonts w:ascii="Times New Roman" w:hAnsi="Times New Roman" w:cs="Times New Roman" w:eastAsia="Times New Roman"/>
          <w:sz w:val="24"/>
          <w:szCs w:val="24"/>
          <w:lang w:val="en-US" w:bidi="fa-IR"/>
        </w:rPr>
        <w:t xml:space="preserve">Blankespoor, E., Miller, G. S., &amp; White, H. D. (2014). The role of dissemination in market liquidity: Evidence from firms' use of Twitter. The Accounting Review, 89(1), 79–112. https://doi.org/10.2308/accr-50576</w:t>
      </w:r>
    </w:p>
    <w:p>
      <w:pPr>
        <w:spacing w:before="0" w:after="60" w:line="240" w:lineRule="auto"/>
        <w:jc w:val="left"/>
      </w:pPr>
      <w:r>
        <w:rPr>
          <w:rFonts w:ascii="Times New Roman" w:hAnsi="Times New Roman" w:cs="Times New Roman" w:eastAsia="Times New Roman"/>
          <w:sz w:val="24"/>
          <w:szCs w:val="24"/>
          <w:lang w:val="en-US" w:bidi="fa-IR"/>
        </w:rPr>
        <w:t xml:space="preserve">Breiman, L. (2001). Random forests. Machine Learning, 45(1), 5–32. https://doi.org/10.1023/A:1010933404324</w:t>
      </w:r>
    </w:p>
    <w:p>
      <w:pPr>
        <w:spacing w:before="0" w:after="60" w:line="240" w:lineRule="auto"/>
        <w:jc w:val="left"/>
      </w:pPr>
      <w:r>
        <w:rPr>
          <w:rFonts w:ascii="Times New Roman" w:hAnsi="Times New Roman" w:cs="Times New Roman" w:eastAsia="Times New Roman"/>
          <w:sz w:val="24"/>
          <w:szCs w:val="24"/>
          <w:lang w:val="en-US" w:bidi="fa-IR"/>
        </w:rPr>
        <w:t xml:space="preserve">Bruine de Bruin, W., Parker, A. M., &amp; Fischhoff, B. (2007). Individual differences in adult decision-making competence. Journal of Personality and Social Psychology, 92(5), 938–956. https://doi.org/10.1037/0022-3514.92.5.938</w:t>
      </w:r>
    </w:p>
    <w:p>
      <w:pPr>
        <w:spacing w:before="0" w:after="60" w:line="240" w:lineRule="auto"/>
        <w:jc w:val="left"/>
      </w:pPr>
      <w:r>
        <w:rPr>
          <w:rFonts w:ascii="Times New Roman" w:hAnsi="Times New Roman" w:cs="Times New Roman" w:eastAsia="Times New Roman"/>
          <w:sz w:val="24"/>
          <w:szCs w:val="24"/>
          <w:lang w:val="en-US" w:bidi="fa-IR"/>
        </w:rPr>
        <w:t xml:space="preserve">Chen, F. F. (2007). Sensitivity of goodness of fit indexes to lack of measurement invariance. Structural Equation Modeling, 14(3), 464–504. https://doi.org/10.1080/10705510701301834</w:t>
      </w:r>
    </w:p>
    <w:p>
      <w:pPr>
        <w:spacing w:before="0" w:after="60" w:line="240" w:lineRule="auto"/>
        <w:jc w:val="left"/>
      </w:pPr>
      <w:r>
        <w:rPr>
          <w:rFonts w:ascii="Times New Roman" w:hAnsi="Times New Roman" w:cs="Times New Roman" w:eastAsia="Times New Roman"/>
          <w:sz w:val="24"/>
          <w:szCs w:val="24"/>
          <w:lang w:val="en-US" w:bidi="fa-IR"/>
        </w:rPr>
        <w:t xml:space="preserve">Cheung, G. W., &amp; Rensvold, R. B. (2002). Evaluating goodness-of-fit indexes for testing measurement invariance. Structural Equation Modeling, 9(2), 233–255. https://doi.org/10.1207/S15328007SEM0902_5</w:t>
      </w:r>
    </w:p>
    <w:p>
      <w:pPr>
        <w:spacing w:before="0" w:after="60" w:line="240" w:lineRule="auto"/>
        <w:jc w:val="left"/>
      </w:pPr>
      <w:r>
        <w:rPr>
          <w:rFonts w:ascii="Times New Roman" w:hAnsi="Times New Roman" w:cs="Times New Roman" w:eastAsia="Times New Roman"/>
          <w:sz w:val="24"/>
          <w:szCs w:val="24"/>
          <w:lang w:val="en-US" w:bidi="fa-IR"/>
        </w:rPr>
        <w:t xml:space="preserve">Cookson, J. A., Engelberg, J. E., &amp; Mullins, W. (2023). Echo chambers. The Review of Financial Studies, 36(2), 450–500. https://doi.org/10.1093/rfs/hhac058</w:t>
      </w:r>
    </w:p>
    <w:p>
      <w:pPr>
        <w:spacing w:before="0" w:after="60" w:line="240" w:lineRule="auto"/>
        <w:jc w:val="left"/>
      </w:pPr>
      <w:r>
        <w:rPr>
          <w:rFonts w:ascii="Times New Roman" w:hAnsi="Times New Roman" w:cs="Times New Roman" w:eastAsia="Times New Roman"/>
          <w:sz w:val="24"/>
          <w:szCs w:val="24"/>
          <w:lang w:val="en-US" w:bidi="fa-IR"/>
        </w:rPr>
        <w:t xml:space="preserve">Festinger, L. (1954). A theory of social comparison processes. Human Relations, 7(2), 117–140. https://doi.org/10.1177/001872675400700202</w:t>
      </w:r>
    </w:p>
    <w:p>
      <w:pPr>
        <w:spacing w:before="0" w:after="60" w:line="240" w:lineRule="auto"/>
        <w:jc w:val="left"/>
      </w:pPr>
      <w:r>
        <w:rPr>
          <w:rFonts w:ascii="Times New Roman" w:hAnsi="Times New Roman" w:cs="Times New Roman" w:eastAsia="Times New Roman"/>
          <w:sz w:val="24"/>
          <w:szCs w:val="24"/>
          <w:lang w:val="en-US" w:bidi="fa-IR"/>
        </w:rPr>
        <w:t xml:space="preserve">Friedman, J. H. (2001). Greedy function approximation: A gradient boosting machine. The Annals of Statistics, 29(5), 1189–1232. https://doi.org/10.1214/aos/1013203451</w:t>
      </w:r>
    </w:p>
    <w:p>
      <w:pPr>
        <w:spacing w:before="0" w:after="60" w:line="240" w:lineRule="auto"/>
        <w:jc w:val="left"/>
      </w:pPr>
      <w:r>
        <w:rPr>
          <w:rFonts w:ascii="Times New Roman" w:hAnsi="Times New Roman" w:cs="Times New Roman" w:eastAsia="Times New Roman"/>
          <w:sz w:val="24"/>
          <w:szCs w:val="24"/>
          <w:lang w:val="en-US" w:bidi="fa-IR"/>
        </w:rPr>
        <w:t xml:space="preserve">Gibbons, F. X., &amp; Buunk, B. P. (1999). Individual differences in social comparison: Development of a scale of social comparison orientation. Journal of Personality and Social Psychology, 76(1), 129–142. https://doi.org/10.1037/0022-3514.76.1.129</w:t>
      </w:r>
    </w:p>
    <w:p>
      <w:pPr>
        <w:spacing w:before="0" w:after="60" w:line="240" w:lineRule="auto"/>
        <w:jc w:val="left"/>
      </w:pPr>
      <w:r>
        <w:rPr>
          <w:rFonts w:ascii="Times New Roman" w:hAnsi="Times New Roman" w:cs="Times New Roman" w:eastAsia="Times New Roman"/>
          <w:sz w:val="24"/>
          <w:szCs w:val="24"/>
          <w:lang w:val="en-US" w:bidi="fa-IR"/>
        </w:rPr>
        <w:t xml:space="preserve">Henseler, J., Ringle, C. M., &amp; Sarstedt, M. (2015). A new criterion for assessing discriminant validity in variance-based structural equation modeling. Journal of the Academy of Marketing Science, 43(1), 115–135. https://doi.org/10.1007/s11747-014-0403-8</w:t>
      </w:r>
    </w:p>
    <w:p>
      <w:pPr>
        <w:spacing w:before="0" w:after="60" w:line="240" w:lineRule="auto"/>
        <w:jc w:val="left"/>
      </w:pPr>
      <w:r>
        <w:rPr>
          <w:rFonts w:ascii="Times New Roman" w:hAnsi="Times New Roman" w:cs="Times New Roman" w:eastAsia="Times New Roman"/>
          <w:sz w:val="24"/>
          <w:szCs w:val="24"/>
          <w:lang w:val="en-US" w:bidi="fa-IR"/>
        </w:rPr>
        <w:t xml:space="preserve">Igolkina, A. A., &amp; Meshcheryakov, G. (2020). semopy: A Python package for structural equation modeling. Structural Equation Modeling, 27(6), 952–963. https://doi.org/10.1080/10705511.2019.1704289</w:t>
      </w:r>
    </w:p>
    <w:p>
      <w:pPr>
        <w:spacing w:before="0" w:after="60" w:line="240" w:lineRule="auto"/>
        <w:jc w:val="left"/>
      </w:pPr>
      <w:r>
        <w:rPr>
          <w:rFonts w:ascii="Times New Roman" w:hAnsi="Times New Roman" w:cs="Times New Roman" w:eastAsia="Times New Roman"/>
          <w:sz w:val="24"/>
          <w:szCs w:val="24"/>
          <w:lang w:val="en-US" w:bidi="fa-IR"/>
        </w:rPr>
        <w:t xml:space="preserve">Kahneman, D., &amp; Tversky, A. (1979). Prospect theory: An analysis of decision under risk. Econometrica, 47(2), 263–291. https://doi.org/10.2307/1914185</w:t>
      </w:r>
    </w:p>
    <w:p>
      <w:pPr>
        <w:spacing w:before="0" w:after="60" w:line="240" w:lineRule="auto"/>
        <w:jc w:val="left"/>
      </w:pPr>
      <w:r>
        <w:rPr>
          <w:rFonts w:ascii="Times New Roman" w:hAnsi="Times New Roman" w:cs="Times New Roman" w:eastAsia="Times New Roman"/>
          <w:sz w:val="24"/>
          <w:szCs w:val="24"/>
          <w:lang w:val="en-US" w:bidi="fa-IR"/>
        </w:rPr>
        <w:t xml:space="preserve">Lawrence, A. (2013). Individual investors and financial disclosure. Journal of Accounting and Economics, 56(1), 130–147. https://doi.org/10.1016/j.jacceco.2013.05.001</w:t>
      </w:r>
    </w:p>
    <w:p>
      <w:pPr>
        <w:spacing w:before="0" w:after="60" w:line="240" w:lineRule="auto"/>
        <w:jc w:val="left"/>
      </w:pPr>
      <w:r>
        <w:rPr>
          <w:rFonts w:ascii="Times New Roman" w:hAnsi="Times New Roman" w:cs="Times New Roman" w:eastAsia="Times New Roman"/>
          <w:sz w:val="24"/>
          <w:szCs w:val="24"/>
          <w:lang w:val="en-US" w:bidi="fa-IR"/>
        </w:rPr>
        <w:t xml:space="preserve">Lawshe, C. H. (1975). A quantitative approach to content validity. Personnel Psychology, 28(4), 563–575. https://doi.org/10.1111/j.1744-6570.1975.tb01393.x</w:t>
      </w:r>
    </w:p>
    <w:p>
      <w:pPr>
        <w:spacing w:before="0" w:after="60" w:line="240" w:lineRule="auto"/>
        <w:jc w:val="left"/>
      </w:pPr>
      <w:r>
        <w:rPr>
          <w:rFonts w:ascii="Times New Roman" w:hAnsi="Times New Roman" w:cs="Times New Roman" w:eastAsia="Times New Roman"/>
          <w:sz w:val="24"/>
          <w:szCs w:val="24"/>
          <w:lang w:val="en-US" w:bidi="fa-IR"/>
        </w:rPr>
        <w:t xml:space="preserve">Loomes, G., &amp; Sugden, R. (1982). Regret theory: An alternative theory of rational choice under uncertainty. The Economic Journal, 92(368), 805–824. https://doi.org/10.2307/2232669</w:t>
      </w:r>
    </w:p>
    <w:p>
      <w:pPr>
        <w:spacing w:before="0" w:after="60" w:line="240" w:lineRule="auto"/>
        <w:jc w:val="left"/>
      </w:pPr>
      <w:r>
        <w:rPr>
          <w:rFonts w:ascii="Times New Roman" w:hAnsi="Times New Roman" w:cs="Times New Roman" w:eastAsia="Times New Roman"/>
          <w:sz w:val="24"/>
          <w:szCs w:val="24"/>
          <w:lang w:val="en-US" w:bidi="fa-IR"/>
        </w:rPr>
        <w:t xml:space="preserve">Lundberg, S. M., &amp; Lee, S.-I. (2017). A unified approach to interpreting model predictions. In Advances in Neural Information Processing Systems (Vol. 30, pp. 4765–4774). Curran Associates.</w:t>
      </w:r>
    </w:p>
    <w:p>
      <w:pPr>
        <w:spacing w:before="0" w:after="60" w:line="240" w:lineRule="auto"/>
        <w:jc w:val="left"/>
      </w:pPr>
      <w:r>
        <w:rPr>
          <w:rFonts w:ascii="Times New Roman" w:hAnsi="Times New Roman" w:cs="Times New Roman" w:eastAsia="Times New Roman"/>
          <w:sz w:val="24"/>
          <w:szCs w:val="24"/>
          <w:lang w:val="en-US" w:bidi="fa-IR"/>
        </w:rPr>
        <w:t xml:space="preserve">Lusardi, A., &amp; Mitchell, O. S. (2014). The economic importance of financial literacy: Theory and evidence. Journal of Economic Literature, 52(1), 5–44. https://doi.org/10.1257/jel.52.1.5</w:t>
      </w:r>
    </w:p>
    <w:p>
      <w:pPr>
        <w:spacing w:before="0" w:after="60" w:line="240" w:lineRule="auto"/>
        <w:jc w:val="left"/>
      </w:pPr>
      <w:r>
        <w:rPr>
          <w:rFonts w:ascii="Times New Roman" w:hAnsi="Times New Roman" w:cs="Times New Roman" w:eastAsia="Times New Roman"/>
          <w:sz w:val="24"/>
          <w:szCs w:val="24"/>
          <w:lang w:val="en-US" w:bidi="fa-IR"/>
        </w:rPr>
        <w:t xml:space="preserve">Miller, G. S., &amp; Skinner, D. J. (2015). The evolving disclosure landscape: How changes in technology, the media, and capital markets are affecting disclosure. Journal of Accounting Research, 53(2), 221–239. https://doi.org/10.1111/1475-679X.12075</w:t>
      </w:r>
    </w:p>
    <w:p>
      <w:pPr>
        <w:spacing w:before="0" w:after="60" w:line="240" w:lineRule="auto"/>
        <w:jc w:val="left"/>
      </w:pPr>
      <w:r>
        <w:rPr>
          <w:rFonts w:ascii="Times New Roman" w:hAnsi="Times New Roman" w:cs="Times New Roman" w:eastAsia="Times New Roman"/>
          <w:sz w:val="24"/>
          <w:szCs w:val="24"/>
          <w:lang w:val="en-US" w:bidi="fa-IR"/>
        </w:rPr>
        <w:t xml:space="preserve">Nadeau, C., &amp; Bengio, Y. (2003). Inference for the generalization error. Machine Learning, 52(3), 239–281. https://doi.org/10.1023/A:1024068626366</w:t>
      </w:r>
    </w:p>
    <w:p>
      <w:pPr>
        <w:spacing w:before="0" w:after="60" w:line="240" w:lineRule="auto"/>
        <w:jc w:val="left"/>
      </w:pPr>
      <w:r>
        <w:rPr>
          <w:rFonts w:ascii="Times New Roman" w:hAnsi="Times New Roman" w:cs="Times New Roman" w:eastAsia="Times New Roman"/>
          <w:sz w:val="24"/>
          <w:szCs w:val="24"/>
          <w:lang w:val="en-US" w:bidi="fa-IR"/>
        </w:rPr>
        <w:t xml:space="preserve">Parker, A. M., &amp; Fischhoff, B. (2005). Decision-making competence: External validation through an individual-differences approach. Journal of Behavioral Decision Making, 18(1), 1–27. https://doi.org/10.1002/bdm.481</w:t>
      </w:r>
    </w:p>
    <w:p>
      <w:pPr>
        <w:spacing w:before="0" w:after="60" w:line="240" w:lineRule="auto"/>
        <w:jc w:val="left"/>
      </w:pPr>
      <w:r>
        <w:rPr>
          <w:rFonts w:ascii="Times New Roman" w:hAnsi="Times New Roman" w:cs="Times New Roman" w:eastAsia="Times New Roman"/>
          <w:sz w:val="24"/>
          <w:szCs w:val="24"/>
          <w:lang w:val="en-US" w:bidi="fa-IR"/>
        </w:rPr>
        <w:t xml:space="preserve">Pedregosa, F., Varoquaux, G., Gramfort, A., Michel, V., Thirion, B., Grisel, O., … Duchesnay, É. (2011). Scikit-learn: Machine learning in Python. Journal of Machine Learning Research, 12, 2825–2830.</w:t>
      </w:r>
    </w:p>
    <w:p>
      <w:pPr>
        <w:spacing w:before="0" w:after="60" w:line="240" w:lineRule="auto"/>
        <w:jc w:val="left"/>
      </w:pPr>
      <w:r>
        <w:rPr>
          <w:rFonts w:ascii="Times New Roman" w:hAnsi="Times New Roman" w:cs="Times New Roman" w:eastAsia="Times New Roman"/>
          <w:sz w:val="24"/>
          <w:szCs w:val="24"/>
          <w:lang w:val="en-US" w:bidi="fa-IR"/>
        </w:rPr>
        <w:t xml:space="preserve">Podsakoff, P. M., MacKenzie, S. B., Lee, J.-Y., &amp; Podsakoff, N. P. (2003). Common method biases in behavioral research: A critical review of the literature and recommended remedies. Journal of Applied Psychology, 88(5), 879–903. https://doi.org/10.1037/0021-9010.88.5.879</w:t>
      </w:r>
    </w:p>
    <w:p>
      <w:pPr>
        <w:spacing w:before="0" w:after="60" w:line="240" w:lineRule="auto"/>
        <w:jc w:val="left"/>
      </w:pPr>
      <w:r>
        <w:rPr>
          <w:rFonts w:ascii="Times New Roman" w:hAnsi="Times New Roman" w:cs="Times New Roman" w:eastAsia="Times New Roman"/>
          <w:sz w:val="24"/>
          <w:szCs w:val="24"/>
          <w:lang w:val="en-US" w:bidi="fa-IR"/>
        </w:rPr>
        <w:t xml:space="preserve">Preacher, K. J., &amp; Hayes, A. F. (2008). Asymptotic and resampling strategies for assessing and comparing indirect effects in multiple mediator models. Behavior Research Methods, 40(3), 879–891. https://doi.org/10.3758/BRM.40.3.879</w:t>
      </w:r>
    </w:p>
    <w:p>
      <w:pPr>
        <w:spacing w:before="0" w:after="60" w:line="240" w:lineRule="auto"/>
        <w:jc w:val="left"/>
      </w:pPr>
      <w:r>
        <w:rPr>
          <w:rFonts w:ascii="Times New Roman" w:hAnsi="Times New Roman" w:cs="Times New Roman" w:eastAsia="Times New Roman"/>
          <w:sz w:val="24"/>
          <w:szCs w:val="24"/>
          <w:lang w:val="en-US" w:bidi="fa-IR"/>
        </w:rPr>
        <w:t xml:space="preserve">Przybylski, A. K., Murayama, K., DeHaan, C. R., &amp; Gladwell, V. (2013). Motivational, emotional, and behavioral correlates of fear of missing out. Computers in Human Behavior, 29(4), 1841–1848. https://doi.org/10.1016/j.chb.2013.02.014</w:t>
      </w:r>
    </w:p>
    <w:p>
      <w:pPr>
        <w:spacing w:before="0" w:after="60" w:line="240" w:lineRule="auto"/>
        <w:jc w:val="left"/>
      </w:pPr>
      <w:r>
        <w:rPr>
          <w:rFonts w:ascii="Times New Roman" w:hAnsi="Times New Roman" w:cs="Times New Roman" w:eastAsia="Times New Roman"/>
          <w:sz w:val="24"/>
          <w:szCs w:val="24"/>
          <w:lang w:val="en-US" w:bidi="fa-IR"/>
        </w:rPr>
        <w:t xml:space="preserve">Sandberg, T., &amp; Conner, M. (2008). Anticipated regret as an additional predictor in the theory of planned behaviour: A meta-analysis. British Journal of Social Psychology, 47(4), 589–606. https://doi.org/10.1348/014466607X258704</w:t>
      </w:r>
    </w:p>
    <w:p>
      <w:pPr>
        <w:spacing w:before="0" w:after="60" w:line="240" w:lineRule="auto"/>
        <w:jc w:val="left"/>
      </w:pPr>
      <w:r>
        <w:rPr>
          <w:rFonts w:ascii="Times New Roman" w:hAnsi="Times New Roman" w:cs="Times New Roman" w:eastAsia="Times New Roman"/>
          <w:sz w:val="24"/>
          <w:szCs w:val="24"/>
          <w:lang w:val="en-US" w:bidi="fa-IR"/>
        </w:rPr>
        <w:t xml:space="preserve">Schwartz, B., Ward, A., Monterosso, J., Lyubomirsky, S., White, K., &amp; Lehman, D. R. (2002). Maximizing versus satisficing: Happiness is a matter of choice. Journal of Personality and Social Psychology, 83(5), 1178–1197. https://doi.org/10.1037/0022-3514.83.5.1178</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Barber &amp; Odean</w:t>
      </w:r>
    </w:p>
  </w:footnote>
  <w:footnote w:id="2">
    <w:p>
      <w:pPr>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Blankespoor et al.</w:t>
      </w:r>
    </w:p>
  </w:footnote>
  <w:footnote w:id="3">
    <w:p>
      <w:pPr>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Cookson et al.</w:t>
      </w:r>
    </w:p>
  </w:footnote>
  <w:footnote w:id="4">
    <w:p>
      <w:pPr>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Fear of Missing Out (FOMO)</w:t>
      </w:r>
    </w:p>
  </w:footnote>
  <w:footnote w:id="5">
    <w:p>
      <w:pPr>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Przybylski et al.</w:t>
      </w:r>
    </w:p>
  </w:footnote>
  <w:footnote w:id="6">
    <w:p>
      <w:pPr>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Festinger</w:t>
      </w:r>
    </w:p>
  </w:footnote>
  <w:footnote w:id="7">
    <w:p>
      <w:pPr>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Gibbons &amp; Buunk</w:t>
      </w:r>
    </w:p>
  </w:footnote>
  <w:footnote w:id="8">
    <w:p>
      <w:pPr>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Loomes &amp; Sugden</w:t>
      </w:r>
    </w:p>
  </w:footnote>
  <w:footnote w:id="9">
    <w:p>
      <w:pPr>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Bell</w:t>
      </w:r>
    </w:p>
  </w:footnote>
  <w:footnote w:id="10">
    <w:p>
      <w:pPr>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Sandberg &amp; Conner</w:t>
      </w:r>
    </w:p>
  </w:footnote>
  <w:footnote w:id="11">
    <w:p>
      <w:pPr>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Ball &amp; Brown</w:t>
      </w:r>
    </w:p>
  </w:footnote>
  <w:footnote w:id="12">
    <w:p>
      <w:pPr>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Beaver</w:t>
      </w:r>
    </w:p>
  </w:footnote>
  <w:footnote w:id="13">
    <w:p>
      <w:pPr>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Lawrence</w:t>
      </w:r>
    </w:p>
  </w:footnote>
  <w:footnote w:id="14">
    <w:p>
      <w:pPr>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Lusardi &amp; Mitchell</w:t>
      </w:r>
    </w:p>
  </w:footnote>
  <w:footnote w:id="15">
    <w:p>
      <w:pPr>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Miller &amp; Skinner</w:t>
      </w:r>
    </w:p>
  </w:footnote>
  <w:footnote w:id="16">
    <w:p>
      <w:pPr>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Bartov et al.</w:t>
      </w:r>
    </w:p>
  </w:footnote>
  <w:footnote w:id="17">
    <w:p>
      <w:pPr>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Parker &amp; Fischhoff</w:t>
      </w:r>
    </w:p>
  </w:footnote>
  <w:footnote w:id="18">
    <w:p>
      <w:pPr>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Bruine de Bruin et al.</w:t>
      </w:r>
    </w:p>
  </w:footnote>
  <w:footnote w:id="19">
    <w:p>
      <w:pPr>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Kahneman &amp; Tversky</w:t>
      </w:r>
    </w:p>
  </w:footnote>
  <w:footnote w:id="20">
    <w:p>
      <w:pPr>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Cheung &amp; Rensvold</w:t>
      </w:r>
    </w:p>
  </w:footnote>
  <w:footnote w:id="21">
    <w:p>
      <w:pPr>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Chen</w:t>
      </w:r>
    </w:p>
  </w:footnote>
  <w:footnote w:id="22">
    <w:p>
      <w:pPr>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Breiman</w:t>
      </w:r>
    </w:p>
  </w:footnote>
  <w:footnote w:id="23">
    <w:p>
      <w:pPr>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Friedman</w:t>
      </w:r>
    </w:p>
  </w:footnote>
  <w:footnote w:id="24">
    <w:p>
      <w:pPr>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Lundberg &amp; Lee</w:t>
      </w:r>
    </w:p>
  </w:footnote>
  <w:footnote w:id="25">
    <w:p>
      <w:pPr>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Schwartz et al.</w:t>
      </w:r>
    </w:p>
  </w:footnote>
  <w:footnote w:id="26">
    <w:p>
      <w:pPr>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Lawshe</w:t>
      </w:r>
    </w:p>
  </w:footnote>
  <w:footnote w:id="27">
    <w:p>
      <w:pPr>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Igolkina &amp; Meshcheryakov</w:t>
      </w:r>
    </w:p>
  </w:footnote>
  <w:footnote w:id="28">
    <w:p>
      <w:pPr>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Preacher &amp; Hayes</w:t>
      </w:r>
    </w:p>
  </w:footnote>
  <w:footnote w:id="29">
    <w:p>
      <w:pPr>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Nadeau &amp; Bengio</w:t>
      </w:r>
    </w:p>
  </w:footnote>
  <w:footnote w:id="30">
    <w:p>
      <w:pPr>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Pedregosa et al.</w:t>
      </w:r>
    </w:p>
  </w:footnote>
  <w:footnote w:id="31">
    <w:p>
      <w:pPr>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Podsakoff et al.</w:t>
      </w:r>
    </w:p>
  </w:footnote>
  <w:footnote w:id="32">
    <w:p>
      <w:pPr>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Henseler et al.</w:t>
      </w:r>
    </w:p>
  </w:footnote>
</w:footnotes>
</file>

<file path=word/settings.xml><?xml version="1.0" encoding="utf-8"?>
<w:settings xmlns:w="http://schemas.openxmlformats.org/wordprocessingml/2006/main">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