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 Research Methodology</w:t>
      </w:r>
    </w:p>
    <w:p>
      <w:pPr>
        <w:pStyle w:val="Subtitle"/>
      </w:pPr>
      <w:r>
        <w:t xml:space="preserve">The Asymmetric Impact of Managerial Ability on Investment Efficiency under Capital Structure Deviation: Evidence from Emerging Markets</w:t>
      </w:r>
    </w:p>
    <w:bookmarkStart w:id="9" w:name="sample-selection-and-data"/>
    <w:p>
      <w:pPr>
        <w:pStyle w:val="Heading2"/>
      </w:pPr>
      <w:r>
        <w:t xml:space="preserve">3.1 Sample Selection and Data</w:t>
      </w:r>
    </w:p>
    <w:p>
      <w:pPr>
        <w:pStyle w:val="FirstParagraph"/>
      </w:pPr>
      <w:r>
        <w:t xml:space="preserve">The empirical analysis uses an unbalanced panel of non-financial firms listed on the Tehran Stock Exchange (TSE) over the Iranian fiscal years 1380–1403 (approximately March 2001 to March 2025). Iran is a useful emerging-market setting for this question for three reasons. Firms rely heavily on bank debt. Inflation is high and volatile. External equity financing is costly. Together, these conditions make deviations from target leverage both frequent and costly, which gives the tests statistical power. The 24-year window covers several distinct macroeconomic regimes, including the expansion of the 1380s, the sanctions of 1390–1392 and 1397 onward, and the period of the nuclear agreement.</w:t>
      </w:r>
    </w:p>
    <w:p>
      <w:pPr>
        <w:pStyle w:val="BodyText"/>
      </w:pPr>
      <w:r>
        <w:t xml:space="preserve">The sample is constructed in the following steps:</w:t>
      </w:r>
    </w:p>
    <w:p>
      <w:pPr>
        <w:pStyle w:val="Compact"/>
        <w:numPr>
          <w:ilvl w:val="0"/>
          <w:numId w:val="1001"/>
        </w:numPr>
      </w:pPr>
      <w:r>
        <w:t xml:space="preserve">Start from all firm-years in the database for 1380–1403, on both the TSE and Farabourse.</w:t>
      </w:r>
    </w:p>
    <w:p>
      <w:pPr>
        <w:pStyle w:val="Compact"/>
        <w:numPr>
          <w:ilvl w:val="0"/>
          <w:numId w:val="1001"/>
        </w:numPr>
      </w:pPr>
      <w:r>
        <w:t xml:space="preserve">Exclude Farabourse firms and firms whose market is not recorded, so that the sample consists of firms traded on the main exchange.</w:t>
      </w:r>
    </w:p>
    <w:p>
      <w:pPr>
        <w:pStyle w:val="Compact"/>
        <w:numPr>
          <w:ilvl w:val="0"/>
          <w:numId w:val="1001"/>
        </w:numPr>
      </w:pPr>
      <w:r>
        <w:t xml:space="preserve">Exclude banks, credit institutions, insurance, leasing, investment, holding, brokerage and fund companies. Their leverage reflects regulatory capital requirements and intermediation activity rather than financing choices, and their asset structure is not comparable (Fama &amp; French, 1992).</w:t>
      </w:r>
    </w:p>
    <w:p>
      <w:pPr>
        <w:pStyle w:val="Compact"/>
        <w:numPr>
          <w:ilvl w:val="0"/>
          <w:numId w:val="1001"/>
        </w:numPr>
      </w:pPr>
      <w:r>
        <w:t xml:space="preserve">Exclude printing, retail, utilities (electricity, gas, steam and hot water) and activities auxiliary to financial intermediation, whose regulated pricing or business model makes investment and leverage not comparable with manufacturing and mining firms.</w:t>
      </w:r>
    </w:p>
    <w:p>
      <w:pPr>
        <w:pStyle w:val="Compact"/>
        <w:numPr>
          <w:ilvl w:val="0"/>
          <w:numId w:val="1001"/>
        </w:numPr>
      </w:pPr>
      <w:r>
        <w:t xml:space="preserve">Exclude firm-years without financial statements in the database (before listing, after delisting, or not reported).</w:t>
      </w:r>
    </w:p>
    <w:p>
      <w:pPr>
        <w:pStyle w:val="Compact"/>
        <w:numPr>
          <w:ilvl w:val="0"/>
          <w:numId w:val="1001"/>
        </w:numPr>
      </w:pPr>
      <w:r>
        <w:t xml:space="preserve">Exclude firm-years with zero or negative book equity. Leverage above one and a negative market-to-book ratio make a target capital structure undefined for these firm-years, and their investment reflects financial distress rather than financing choices.</w:t>
      </w:r>
    </w:p>
    <w:p>
      <w:pPr>
        <w:pStyle w:val="FirstParagraph"/>
      </w:pPr>
      <w:r>
        <w:t xml:space="preserve">All firms have a fiscal year ending in Esfand (March), so every firm-year shares the same macroeconomic window.</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E8ECF3"/>
          </w:tcPr>
          <w:p>
            <w:pPr>
              <w:pStyle w:val="Compact"/>
            </w:pPr>
            <w:r>
              <w:rPr>
                <w:b/>
                <w:sz w:val="19"/>
              </w:rPr>
              <w:t xml:space="preserve">Step</w:t>
            </w:r>
          </w:p>
        </w:tc>
        <w:tc>
          <w:tcPr>
            <w:shd w:val="clear" w:color="auto" w:fill="E8ECF3"/>
          </w:tcPr>
          <w:p>
            <w:pPr>
              <w:pStyle w:val="Compact"/>
            </w:pPr>
            <w:r>
              <w:rPr>
                <w:b/>
                <w:sz w:val="19"/>
              </w:rPr>
              <w:t xml:space="preserve">Screening criterion</w:t>
            </w:r>
          </w:p>
        </w:tc>
        <w:tc>
          <w:tcPr>
            <w:shd w:val="clear" w:color="auto" w:fill="E8ECF3"/>
          </w:tcPr>
          <w:p>
            <w:pPr>
              <w:pStyle w:val="Compact"/>
            </w:pPr>
            <w:r>
              <w:rPr>
                <w:b/>
                <w:sz w:val="19"/>
              </w:rPr>
              <w:t xml:space="preserve">Firms</w:t>
            </w:r>
          </w:p>
        </w:tc>
        <w:tc>
          <w:tcPr>
            <w:shd w:val="clear" w:color="auto" w:fill="E8ECF3"/>
          </w:tcPr>
          <w:p>
            <w:pPr>
              <w:pStyle w:val="Compact"/>
            </w:pPr>
            <w:r>
              <w:rPr>
                <w:b/>
                <w:sz w:val="19"/>
              </w:rPr>
              <w:t xml:space="preserve">Firm-years</w:t>
            </w:r>
          </w:p>
        </w:tc>
      </w:tr>
      <w:tr>
        <w:tc>
          <w:tcPr/>
          <w:p>
            <w:pPr>
              <w:pStyle w:val="Compact"/>
            </w:pPr>
            <w:r>
              <w:rPr>
                <w:sz w:val="19"/>
              </w:rPr>
              <w:t xml:space="preserve">1</w:t>
            </w:r>
          </w:p>
        </w:tc>
        <w:tc>
          <w:tcPr/>
          <w:p>
            <w:pPr>
              <w:pStyle w:val="Compact"/>
            </w:pPr>
            <w:r>
              <w:rPr>
                <w:sz w:val="19"/>
              </w:rPr>
              <w:t xml:space="preserve">All firm-years in the database (TSE and Farabourse), 1380–1403</w:t>
            </w:r>
          </w:p>
        </w:tc>
        <w:tc>
          <w:tcPr/>
          <w:p>
            <w:pPr>
              <w:pStyle w:val="Compact"/>
            </w:pPr>
            <w:r>
              <w:rPr>
                <w:sz w:val="19"/>
              </w:rPr>
              <w:t xml:space="preserve">[n]</w:t>
            </w:r>
          </w:p>
        </w:tc>
        <w:tc>
          <w:tcPr/>
          <w:p>
            <w:pPr>
              <w:pStyle w:val="Compact"/>
            </w:pPr>
            <w:r>
              <w:rPr>
                <w:sz w:val="19"/>
              </w:rPr>
              <w:t xml:space="preserve">[n]</w:t>
            </w:r>
          </w:p>
        </w:tc>
      </w:tr>
      <w:tr>
        <w:tc>
          <w:tcPr/>
          <w:p>
            <w:pPr>
              <w:pStyle w:val="Compact"/>
            </w:pPr>
            <w:r>
              <w:rPr>
                <w:sz w:val="19"/>
              </w:rPr>
              <w:t xml:space="preserve">2</w:t>
            </w:r>
          </w:p>
        </w:tc>
        <w:tc>
          <w:tcPr/>
          <w:p>
            <w:pPr>
              <w:pStyle w:val="Compact"/>
            </w:pPr>
            <w:r>
              <w:rPr>
                <w:sz w:val="19"/>
              </w:rPr>
              <w:t xml:space="preserve">Less: Farabourse firms and firms with no market in the database</w:t>
            </w:r>
          </w:p>
        </w:tc>
        <w:tc>
          <w:tcPr/>
          <w:p>
            <w:pPr>
              <w:pStyle w:val="Compact"/>
            </w:pPr>
            <w:r>
              <w:rPr>
                <w:sz w:val="19"/>
              </w:rPr>
              <w:t xml:space="preserve">[−n]</w:t>
            </w:r>
          </w:p>
        </w:tc>
        <w:tc>
          <w:tcPr/>
          <w:p>
            <w:pPr>
              <w:pStyle w:val="Compact"/>
            </w:pPr>
            <w:r>
              <w:rPr>
                <w:sz w:val="19"/>
              </w:rPr>
              <w:t xml:space="preserve">[−n]</w:t>
            </w:r>
          </w:p>
        </w:tc>
      </w:tr>
      <w:tr>
        <w:tc>
          <w:tcPr/>
          <w:p>
            <w:pPr>
              <w:pStyle w:val="Compact"/>
            </w:pPr>
            <w:r>
              <w:rPr>
                <w:sz w:val="19"/>
              </w:rPr>
              <w:t xml:space="preserve">3</w:t>
            </w:r>
          </w:p>
        </w:tc>
        <w:tc>
          <w:tcPr/>
          <w:p>
            <w:pPr>
              <w:pStyle w:val="Compact"/>
            </w:pPr>
            <w:r>
              <w:rPr>
                <w:sz w:val="19"/>
              </w:rPr>
              <w:t xml:space="preserve">Less: banks, insurance, leasing, investment, holding, brokerage and fund companies</w:t>
            </w:r>
          </w:p>
        </w:tc>
        <w:tc>
          <w:tcPr/>
          <w:p>
            <w:pPr>
              <w:pStyle w:val="Compact"/>
            </w:pPr>
            <w:r>
              <w:rPr>
                <w:sz w:val="19"/>
              </w:rPr>
              <w:t xml:space="preserve">[−n]</w:t>
            </w:r>
          </w:p>
        </w:tc>
        <w:tc>
          <w:tcPr/>
          <w:p>
            <w:pPr>
              <w:pStyle w:val="Compact"/>
            </w:pPr>
            <w:r>
              <w:rPr>
                <w:sz w:val="19"/>
              </w:rPr>
              <w:t xml:space="preserve">[−n]</w:t>
            </w:r>
          </w:p>
        </w:tc>
      </w:tr>
      <w:tr>
        <w:tc>
          <w:tcPr/>
          <w:p>
            <w:pPr>
              <w:pStyle w:val="Compact"/>
            </w:pPr>
            <w:r>
              <w:rPr>
                <w:sz w:val="19"/>
              </w:rPr>
              <w:t xml:space="preserve">4</w:t>
            </w:r>
          </w:p>
        </w:tc>
        <w:tc>
          <w:tcPr/>
          <w:p>
            <w:pPr>
              <w:pStyle w:val="Compact"/>
            </w:pPr>
            <w:r>
              <w:rPr>
                <w:sz w:val="19"/>
              </w:rPr>
              <w:t xml:space="preserve">Less: printing, retail, utilities and auxiliary financial activities</w:t>
            </w:r>
          </w:p>
        </w:tc>
        <w:tc>
          <w:tcPr/>
          <w:p>
            <w:pPr>
              <w:pStyle w:val="Compact"/>
            </w:pPr>
            <w:r>
              <w:rPr>
                <w:sz w:val="19"/>
              </w:rPr>
              <w:t xml:space="preserve">[−n]</w:t>
            </w:r>
          </w:p>
        </w:tc>
        <w:tc>
          <w:tcPr/>
          <w:p>
            <w:pPr>
              <w:pStyle w:val="Compact"/>
            </w:pPr>
            <w:r>
              <w:rPr>
                <w:sz w:val="19"/>
              </w:rPr>
              <w:t xml:space="preserve">[−n]</w:t>
            </w:r>
          </w:p>
        </w:tc>
      </w:tr>
      <w:tr>
        <w:tc>
          <w:tcPr/>
          <w:p>
            <w:pPr>
              <w:pStyle w:val="Compact"/>
            </w:pPr>
          </w:p>
        </w:tc>
        <w:tc>
          <w:tcPr/>
          <w:p>
            <w:pPr>
              <w:pStyle w:val="Compact"/>
            </w:pPr>
            <w:r>
              <w:rPr>
                <w:sz w:val="19"/>
              </w:rPr>
              <w:t xml:space="preserve">TSE non-financial firms: full panel (firms × 24 years)</w:t>
            </w:r>
          </w:p>
        </w:tc>
        <w:tc>
          <w:tcPr/>
          <w:p>
            <w:pPr>
              <w:pStyle w:val="Compact"/>
            </w:pPr>
            <w:r>
              <w:rPr>
                <w:sz w:val="19"/>
              </w:rPr>
              <w:t xml:space="preserve">[n]</w:t>
            </w:r>
          </w:p>
        </w:tc>
        <w:tc>
          <w:tcPr/>
          <w:p>
            <w:pPr>
              <w:pStyle w:val="Compact"/>
            </w:pPr>
            <w:r>
              <w:rPr>
                <w:sz w:val="19"/>
              </w:rPr>
              <w:t xml:space="preserve">[n]</w:t>
            </w:r>
          </w:p>
        </w:tc>
      </w:tr>
      <w:tr>
        <w:tc>
          <w:tcPr/>
          <w:p>
            <w:pPr>
              <w:pStyle w:val="Compact"/>
            </w:pPr>
            <w:r>
              <w:rPr>
                <w:sz w:val="19"/>
              </w:rPr>
              <w:t xml:space="preserve">5</w:t>
            </w:r>
          </w:p>
        </w:tc>
        <w:tc>
          <w:tcPr/>
          <w:p>
            <w:pPr>
              <w:pStyle w:val="Compact"/>
            </w:pPr>
            <w:r>
              <w:rPr>
                <w:sz w:val="19"/>
              </w:rPr>
              <w:t xml:space="preserve">Less: firm-years without financial statements</w:t>
            </w:r>
          </w:p>
        </w:tc>
        <w:tc>
          <w:tcPr/>
          <w:p>
            <w:pPr>
              <w:pStyle w:val="Compact"/>
            </w:pPr>
            <w:r>
              <w:rPr>
                <w:sz w:val="19"/>
              </w:rPr>
              <w:t xml:space="preserve">—</w:t>
            </w:r>
          </w:p>
        </w:tc>
        <w:tc>
          <w:tcPr/>
          <w:p>
            <w:pPr>
              <w:pStyle w:val="Compact"/>
            </w:pPr>
            <w:r>
              <w:rPr>
                <w:sz w:val="19"/>
              </w:rPr>
              <w:t xml:space="preserve">[−n]</w:t>
            </w:r>
          </w:p>
        </w:tc>
      </w:tr>
      <w:tr>
        <w:tc>
          <w:tcPr/>
          <w:p>
            <w:pPr>
              <w:pStyle w:val="Compact"/>
            </w:pPr>
            <w:r>
              <w:rPr>
                <w:sz w:val="19"/>
              </w:rPr>
              <w:t xml:space="preserve">6</w:t>
            </w:r>
          </w:p>
        </w:tc>
        <w:tc>
          <w:tcPr/>
          <w:p>
            <w:pPr>
              <w:pStyle w:val="Compact"/>
            </w:pPr>
            <w:r>
              <w:rPr>
                <w:sz w:val="19"/>
              </w:rPr>
              <w:t xml:space="preserve">Less: firm-years with zero or negative book equity</w:t>
            </w:r>
          </w:p>
        </w:tc>
        <w:tc>
          <w:tcPr/>
          <w:p>
            <w:pPr>
              <w:pStyle w:val="Compact"/>
            </w:pPr>
            <w:r>
              <w:rPr>
                <w:sz w:val="19"/>
              </w:rPr>
              <w:t xml:space="preserve">—</w:t>
            </w:r>
          </w:p>
        </w:tc>
        <w:tc>
          <w:tcPr/>
          <w:p>
            <w:pPr>
              <w:pStyle w:val="Compact"/>
            </w:pPr>
            <w:r>
              <w:rPr>
                <w:sz w:val="19"/>
              </w:rPr>
              <w:t xml:space="preserve">[−n]</w:t>
            </w:r>
          </w:p>
        </w:tc>
      </w:tr>
      <w:tr>
        <w:tc>
          <w:tcPr/>
          <w:p>
            <w:pPr>
              <w:pStyle w:val="Compact"/>
            </w:pPr>
            <w:r>
              <w:rPr>
                <w:sz w:val="19"/>
              </w:rPr>
              <w:t xml:space="preserve">=</w:t>
            </w:r>
          </w:p>
        </w:tc>
        <w:tc>
          <w:tcPr/>
          <w:p>
            <w:pPr>
              <w:pStyle w:val="Compact"/>
            </w:pPr>
            <w:r>
              <w:rPr>
                <w:sz w:val="19"/>
              </w:rPr>
              <w:t xml:space="preserve">Final sample (unbalanced panel, including base year 1380)</w:t>
            </w:r>
          </w:p>
        </w:tc>
        <w:tc>
          <w:tcPr/>
          <w:p>
            <w:pPr>
              <w:pStyle w:val="Compact"/>
            </w:pPr>
            <w:r>
              <w:rPr>
                <w:sz w:val="19"/>
              </w:rPr>
              <w:t xml:space="preserve">[n]</w:t>
            </w:r>
          </w:p>
        </w:tc>
        <w:tc>
          <w:tcPr/>
          <w:p>
            <w:pPr>
              <w:pStyle w:val="Compact"/>
            </w:pPr>
            <w:r>
              <w:rPr>
                <w:sz w:val="19"/>
              </w:rPr>
              <w:t xml:space="preserve">[n]</w:t>
            </w:r>
          </w:p>
        </w:tc>
      </w:tr>
    </w:tbl>
    <w:p>
      <w:pPr>
        <w:pStyle w:val="BodyText"/>
      </w:pPr>
      <w:r>
        <w:t xml:space="preserve">No minimum number of years is imposed. A firm-year enters an estimation when the lagged data that the estimation requires exist; firms with a short history therefore contribute only the years for which their lags are observed. An unbalanced panel is used because requiring every firm to report in all 24 years would keep only the firms that survived the whole period. Over-leveraged firms that fell into distress or left the exchange, exactly the firms at the centre of H1a, would be removed, and so would every firm listed after 1380, including the large wave of listings after the privatisations of the late 1380s. Such a sample would be biased toward survivors (survivorship bias) and would be too small for System GMM. The forward orthogonal deviation used in the GMM estimator (Section 3.8.2) is designed for panels with gaps. As a sensitivity test (S8), the models are re-estimated on the balanced subsample of firms with usable data in every year 1393–1403.</w:t>
      </w:r>
    </w:p>
    <w:p>
      <w:pPr>
        <w:pStyle w:val="BodyText"/>
      </w:pPr>
      <w:r>
        <w:t xml:space="preserve">Industries with fewer than two firms in the final sample are pooled into one category (</w:t>
      </w:r>
      <w:r>
        <w:t xml:space="preserve">“other industries”</w:t>
      </w:r>
      <w:r>
        <w:t xml:space="preserve">). Accounting data are collected from the Rahavard Novin database and cross-checked against the original filings in the Codal disclosure system. Market values of equity are computed as the year-end closing price times the number of shares, and the annual consumer-price inflation rate is obtained from the Central Bank of the Islamic Republic of Iran.</w:t>
      </w:r>
    </w:p>
    <w:p>
      <w:pPr>
        <w:pStyle w:val="BodyText"/>
      </w:pPr>
      <w:r>
        <w:t xml:space="preserve">Fiscal year 1380 serves only as a base year for variables that require prior-year values. Because the investment-expectation model uses lagged sales growth and the dynamic models use the lagged dependent variable, the first year of each estimation is: target leverage model, Eq. (2), 1381; investment-expectation model, Eq. (1), 1382; dynamic models, Eqs. (6)–(12), 1383. The firm-year counts of each estimation are reported with the results.</w:t>
      </w:r>
    </w:p>
    <w:p>
      <w:pPr>
        <w:pStyle w:val="BodyText"/>
      </w:pPr>
      <w:r>
        <w:t xml:space="preserve">All continuous ratios are winsorized at the 1st and 99th percentiles of their pooled distributions after construction. Raw accounting levels are not winsorized, because doing so would distort the ratios built from them. The generated measures InvEff, CSDev and MA are winsorized at the same percentiles. Expense items (cost of goods sold, SG&amp;A and financial expense) are used in absolute value, because some databases record them with a negative sign. All estimations are performed in Stata 17.</w:t>
      </w:r>
    </w:p>
    <w:bookmarkEnd w:id="9"/>
    <w:bookmarkStart w:id="10" w:name="X1dc935347fa5dc4f42ab78d2bc081dc18459cd3"/>
    <w:p>
      <w:pPr>
        <w:pStyle w:val="Heading2"/>
      </w:pPr>
      <w:r>
        <w:t xml:space="preserve">3.2 Dependent Variable: Investment Inefficiency</w:t>
      </w:r>
    </w:p>
    <w:p>
      <w:pPr>
        <w:pStyle w:val="FirstParagraph"/>
      </w:pPr>
      <w:r>
        <w:t xml:space="preserve">Investment inefficiency is measured as the deviation of actual investment from the level predicted by the firm’s growth opportunities (Biddle, Hilary &amp; Verdi, 2009). Expected investment is estimated with:</w:t>
      </w:r>
    </w:p>
    <w:p>
      <w:pPr>
        <w:pStyle w:val="BodyText"/>
      </w:pPr>
      <m:oMathPara>
        <m:oMathParaPr>
          <m:jc m:val="center"/>
        </m:oMathParaPr>
        <m:oMath>
          <m:r>
            <m:t>I</m:t>
          </m:r>
          <m:r>
            <m:t>n</m:t>
          </m:r>
          <m:r>
            <m:t>v</m:t>
          </m:r>
          <m:r>
            <m:t>e</m:t>
          </m:r>
          <m:r>
            <m:t>s</m:t>
          </m:r>
          <m:sSub>
            <m:e>
              <m:r>
                <m:t>t</m:t>
              </m:r>
            </m:e>
            <m:sub>
              <m:r>
                <m:t>i</m:t>
              </m:r>
              <m:r>
                <m:rPr>
                  <m:sty m:val="p"/>
                </m:rPr>
                <m:t>,</m:t>
              </m:r>
              <m:r>
                <m:t>t</m:t>
              </m:r>
            </m:sub>
          </m:sSub>
          <m:r>
            <m:rPr>
              <m:sty m:val="p"/>
            </m:rPr>
            <m:t>=</m:t>
          </m:r>
          <m:sSub>
            <m:e>
              <m:r>
                <m:t>α</m:t>
              </m:r>
            </m:e>
            <m:sub>
              <m:r>
                <m:t>0</m:t>
              </m:r>
            </m:sub>
          </m:sSub>
          <m:r>
            <m:rPr>
              <m:sty m:val="p"/>
            </m:rPr>
            <m:t>+</m:t>
          </m:r>
          <m:sSub>
            <m:e>
              <m:r>
                <m:t>α</m:t>
              </m:r>
            </m:e>
            <m:sub>
              <m:r>
                <m:t>1</m:t>
              </m:r>
            </m:sub>
          </m:sSub>
          <m:r>
            <m:t> </m:t>
          </m:r>
          <m:r>
            <m:t>S</m:t>
          </m:r>
          <m:r>
            <m:t>a</m:t>
          </m:r>
          <m:r>
            <m:t>l</m:t>
          </m:r>
          <m:r>
            <m:t>e</m:t>
          </m:r>
          <m:r>
            <m:t>s</m:t>
          </m:r>
          <m:r>
            <m:t>G</m:t>
          </m:r>
          <m:r>
            <m:t>r</m:t>
          </m:r>
          <m:r>
            <m:t>o</m:t>
          </m:r>
          <m:r>
            <m:t>w</m:t>
          </m:r>
          <m:r>
            <m:t>t</m:t>
          </m:r>
          <m:sSub>
            <m:e>
              <m:r>
                <m:t>h</m:t>
              </m:r>
            </m:e>
            <m:sub>
              <m:r>
                <m:t>i</m:t>
              </m:r>
              <m:r>
                <m:rPr>
                  <m:sty m:val="p"/>
                </m:rPr>
                <m:t>,</m:t>
              </m:r>
              <m:r>
                <m:t>t</m:t>
              </m:r>
              <m:r>
                <m:rPr>
                  <m:sty m:val="p"/>
                </m:rPr>
                <m:t>−</m:t>
              </m:r>
              <m:r>
                <m:t>1</m:t>
              </m:r>
            </m:sub>
          </m:sSub>
          <m:r>
            <m:rPr>
              <m:sty m:val="p"/>
            </m:rPr>
            <m:t>+</m:t>
          </m:r>
          <m:sSub>
            <m:e>
              <m:r>
                <m:t>ε</m:t>
              </m:r>
            </m:e>
            <m:sub>
              <m:r>
                <m:t>i</m:t>
              </m:r>
              <m:r>
                <m:rPr>
                  <m:sty m:val="p"/>
                </m:rPr>
                <m:t>,</m:t>
              </m:r>
              <m:r>
                <m:t>t</m:t>
              </m:r>
            </m:sub>
          </m:sSub>
          <m:r>
            <m:t>  </m:t>
          </m:r>
          <m:r>
            <m:rPr>
              <m:sty m:val="p"/>
            </m:rPr>
            <m:t>(</m:t>
          </m:r>
          <m:r>
            <m:t>1</m:t>
          </m:r>
          <m:r>
            <m:rPr>
              <m:sty m:val="p"/>
            </m:rPr>
            <m:t>)</m:t>
          </m:r>
        </m:oMath>
      </m:oMathPara>
    </w:p>
    <w:p>
      <w:pPr>
        <w:pStyle w:val="FirstParagraph"/>
      </w:pPr>
      <w:r>
        <w:t xml:space="preserve">Invest is cash investment: net cash paid in investing activities (−CFI) scaled by total assets at t−1. SalesGrowth is the annual percentage change in sales. A cash-based measure is used because TSE firms revalued property, plant and equipment on a large scale in 1398–1401. Under the accrual measure, the increase in net PPE and intangible assets, these revaluations would appear as investment although no resources were spent.</w:t>
      </w:r>
    </w:p>
    <w:p>
      <w:pPr>
        <w:pStyle w:val="BodyText"/>
      </w:pPr>
      <w:r>
        <w:t xml:space="preserve">Equation (1) is estimated cross-sectionally for each industry-year with at least 10 observations, so each industry-year has its own intercept and growth sensitivity. Industry-years with fewer than 10 observations are estimated within the industry over all years with year dummies. Estimating by industry-year prevents industry investment cycles and economy-wide shocks, such as the currency crises of 1397 and 1401, from being classified as firm-level inefficiency.</w:t>
      </w:r>
    </w:p>
    <w:p>
      <w:pPr>
        <w:pStyle w:val="BodyText"/>
      </w:pPr>
      <w:r>
        <w:t xml:space="preserve">The residual ε̂ is the measure of investment inefficiency,</w:t>
      </w:r>
      <w:r>
        <w:t xml:space="preserve"> </w:t>
      </w:r>
      <w:r>
        <w:rPr>
          <w:b/>
          <w:bCs/>
        </w:rPr>
        <w:t xml:space="preserve">InvEff</w:t>
      </w:r>
      <w:r>
        <w:t xml:space="preserve">, and it is kept</w:t>
      </w:r>
      <w:r>
        <w:t xml:space="preserve"> </w:t>
      </w:r>
      <w:r>
        <w:rPr>
          <w:b/>
          <w:bCs/>
        </w:rPr>
        <w:t xml:space="preserve">signed</w:t>
      </w:r>
      <w:r>
        <w:t xml:space="preserve">. A positive residual indicates over-investment (investment above the level justified by growth opportunities). A negative residual indicates under-investment. Unlike the absolute residual commonly used in prior work, the signed measure preserves the direction of the distortion, which is required to separate H1a from H1b. Under this convention, a regressor with a negative coefficient moves the firm toward under-investment and one with a positive coefficient moves it toward over-investment.</w:t>
      </w:r>
    </w:p>
    <w:p>
      <w:pPr>
        <w:pStyle w:val="BodyText"/>
      </w:pPr>
      <w:r>
        <w:t xml:space="preserve">Two alternatives are used in the robustness tests (Section 3.11): the expectation model of Chen, Hope, Li and Wang (2011), which allows investment to respond differently to sales declines, and the accrual investment measure, [(PPE + IA)</w:t>
      </w:r>
      <w:r>
        <w:rPr>
          <w:vertAlign w:val="subscript"/>
        </w:rPr>
        <w:t xml:space="preserve">t</w:t>
      </w:r>
      <w:r>
        <w:t xml:space="preserve"> </w:t>
      </w:r>
      <w:r>
        <w:t xml:space="preserve">− (PPE + IA)</w:t>
      </w:r>
      <w:r>
        <w:rPr>
          <w:vertAlign w:val="subscript"/>
        </w:rPr>
        <w:t xml:space="preserve">t−1</w:t>
      </w:r>
      <w:r>
        <w:t xml:space="preserve">] / TA</w:t>
      </w:r>
      <w:r>
        <w:rPr>
          <w:vertAlign w:val="subscript"/>
        </w:rPr>
        <w:t xml:space="preserve">t−1</w:t>
      </w:r>
      <w:r>
        <w:t xml:space="preserve">.</w:t>
      </w:r>
    </w:p>
    <w:bookmarkEnd w:id="10"/>
    <w:bookmarkStart w:id="11" w:name="Xc42338f163819dd65b22bb2af8854faf9722a14"/>
    <w:p>
      <w:pPr>
        <w:pStyle w:val="Heading2"/>
      </w:pPr>
      <w:r>
        <w:t xml:space="preserve">3.3 Independent Variable: Capital Structure Deviation</w:t>
      </w:r>
    </w:p>
    <w:p>
      <w:pPr>
        <w:pStyle w:val="FirstParagraph"/>
      </w:pPr>
      <w:r>
        <w:t xml:space="preserve">Capital structure deviation is the distance between a firm’s actual leverage and its target leverage. Trade-off theory implies that firms have a target, and the dynamic trade-off literature shows that firms drift from it and adjust only partially because adjustment is costly (Flannery &amp; Rangan, 2006). Deviation is measured in two steps: estimating the target, then decomposing the deviation by direction.</w:t>
      </w:r>
    </w:p>
    <w:p>
      <w:pPr>
        <w:pStyle w:val="BodyText"/>
      </w:pPr>
      <w:r>
        <w:t xml:space="preserve">Target leverage is estimated with the target leverage model of Synn and Williams (2015):</w:t>
      </w:r>
    </w:p>
    <w:p>
      <w:pPr>
        <w:pStyle w:val="BodyText"/>
      </w:pPr>
      <m:oMathPara>
        <m:oMathParaPr>
          <m:jc m:val="center"/>
        </m:oMathParaPr>
        <m:oMath>
          <m:r>
            <m:t>T</m:t>
          </m:r>
          <m:r>
            <m:t>D</m:t>
          </m:r>
          <m:sSub>
            <m:e>
              <m:r>
                <m:t>A</m:t>
              </m:r>
            </m:e>
            <m:sub>
              <m:r>
                <m:t>i</m:t>
              </m:r>
              <m:r>
                <m:rPr>
                  <m:sty m:val="p"/>
                </m:rPr>
                <m:t>,</m:t>
              </m:r>
              <m:r>
                <m:t>t</m:t>
              </m:r>
            </m:sub>
          </m:sSub>
          <m:r>
            <m:rPr>
              <m:sty m:val="p"/>
            </m:rPr>
            <m:t>=</m:t>
          </m:r>
          <m:sSub>
            <m:e>
              <m:r>
                <m:t>β</m:t>
              </m:r>
            </m:e>
            <m:sub>
              <m:r>
                <m:t>0</m:t>
              </m:r>
            </m:sub>
          </m:sSub>
          <m:r>
            <m:rPr>
              <m:sty m:val="p"/>
            </m:rPr>
            <m:t>+</m:t>
          </m:r>
          <m:sSub>
            <m:e>
              <m:r>
                <m:t>β</m:t>
              </m:r>
            </m:e>
            <m:sub>
              <m:r>
                <m:t>1</m:t>
              </m:r>
            </m:sub>
          </m:sSub>
          <m:r>
            <m:t>I</m:t>
          </m:r>
          <m:r>
            <m:t>O</m:t>
          </m:r>
          <m:sSub>
            <m:e>
              <m:r>
                <m:t>B</m:t>
              </m:r>
            </m:e>
            <m:sub>
              <m:r>
                <m:t>i</m:t>
              </m:r>
              <m:r>
                <m:rPr>
                  <m:sty m:val="p"/>
                </m:rPr>
                <m:t>,</m:t>
              </m:r>
              <m:r>
                <m:t>t</m:t>
              </m:r>
              <m:r>
                <m:rPr>
                  <m:sty m:val="p"/>
                </m:rPr>
                <m:t>−</m:t>
              </m:r>
              <m:r>
                <m:t>1</m:t>
              </m:r>
            </m:sub>
          </m:sSub>
          <m:r>
            <m:rPr>
              <m:sty m:val="p"/>
            </m:rPr>
            <m:t>+</m:t>
          </m:r>
          <m:sSub>
            <m:e>
              <m:r>
                <m:t>β</m:t>
              </m:r>
            </m:e>
            <m:sub>
              <m:r>
                <m:t>2</m:t>
              </m:r>
            </m:sub>
          </m:sSub>
          <m:r>
            <m:t>C</m:t>
          </m:r>
          <m:r>
            <m:t>O</m:t>
          </m:r>
          <m:sSub>
            <m:e>
              <m:r>
                <m:t>L</m:t>
              </m:r>
            </m:e>
            <m:sub>
              <m:r>
                <m:t>i</m:t>
              </m:r>
              <m:r>
                <m:rPr>
                  <m:sty m:val="p"/>
                </m:rPr>
                <m:t>,</m:t>
              </m:r>
              <m:r>
                <m:t>t</m:t>
              </m:r>
              <m:r>
                <m:rPr>
                  <m:sty m:val="p"/>
                </m:rPr>
                <m:t>−</m:t>
              </m:r>
              <m:r>
                <m:t>1</m:t>
              </m:r>
            </m:sub>
          </m:sSub>
          <m:r>
            <m:rPr>
              <m:sty m:val="p"/>
            </m:rPr>
            <m:t>+</m:t>
          </m:r>
          <m:sSub>
            <m:e>
              <m:r>
                <m:t>β</m:t>
              </m:r>
            </m:e>
            <m:sub>
              <m:r>
                <m:t>3</m:t>
              </m:r>
            </m:sub>
          </m:sSub>
          <m:r>
            <m:t>L</m:t>
          </m:r>
          <m:r>
            <m:t>T</m:t>
          </m:r>
          <m:sSub>
            <m:e>
              <m:r>
                <m:t>A</m:t>
              </m:r>
            </m:e>
            <m:sub>
              <m:r>
                <m:t>i</m:t>
              </m:r>
              <m:r>
                <m:rPr>
                  <m:sty m:val="p"/>
                </m:rPr>
                <m:t>,</m:t>
              </m:r>
              <m:r>
                <m:t>t</m:t>
              </m:r>
              <m:r>
                <m:rPr>
                  <m:sty m:val="p"/>
                </m:rPr>
                <m:t>−</m:t>
              </m:r>
              <m:r>
                <m:t>1</m:t>
              </m:r>
            </m:sub>
          </m:sSub>
          <m:r>
            <m:rPr>
              <m:sty m:val="p"/>
            </m:rPr>
            <m:t>+</m:t>
          </m:r>
          <m:sSub>
            <m:e>
              <m:r>
                <m:t>β</m:t>
              </m:r>
            </m:e>
            <m:sub>
              <m:r>
                <m:t>4</m:t>
              </m:r>
            </m:sub>
          </m:sSub>
          <m:r>
            <m:t>M</m:t>
          </m:r>
          <m:r>
            <m:t>T</m:t>
          </m:r>
          <m:sSub>
            <m:e>
              <m:r>
                <m:t>B</m:t>
              </m:r>
            </m:e>
            <m:sub>
              <m:r>
                <m:t>i</m:t>
              </m:r>
              <m:r>
                <m:rPr>
                  <m:sty m:val="p"/>
                </m:rPr>
                <m:t>,</m:t>
              </m:r>
              <m:r>
                <m:t>t</m:t>
              </m:r>
              <m:r>
                <m:rPr>
                  <m:sty m:val="p"/>
                </m:rPr>
                <m:t>−</m:t>
              </m:r>
              <m:r>
                <m:t>1</m:t>
              </m:r>
            </m:sub>
          </m:sSub>
          <m:r>
            <m:rPr>
              <m:sty m:val="p"/>
            </m:rPr>
            <m:t>+</m:t>
          </m:r>
          <m:sSub>
            <m:e>
              <m:r>
                <m:t>β</m:t>
              </m:r>
            </m:e>
            <m:sub>
              <m:r>
                <m:t>5</m:t>
              </m:r>
            </m:sub>
          </m:sSub>
          <m:r>
            <m:t>P</m:t>
          </m:r>
          <m:r>
            <m:t>R</m:t>
          </m:r>
          <m:r>
            <m:t>O</m:t>
          </m:r>
          <m:r>
            <m:t>F</m:t>
          </m:r>
          <m:r>
            <m:t>I</m:t>
          </m:r>
          <m:sSub>
            <m:e>
              <m:r>
                <m:t>T</m:t>
              </m:r>
            </m:e>
            <m:sub>
              <m:r>
                <m:t>i</m:t>
              </m:r>
              <m:r>
                <m:rPr>
                  <m:sty m:val="p"/>
                </m:rPr>
                <m:t>,</m:t>
              </m:r>
              <m:r>
                <m:t>t</m:t>
              </m:r>
              <m:r>
                <m:rPr>
                  <m:sty m:val="p"/>
                </m:rPr>
                <m:t>−</m:t>
              </m:r>
              <m:r>
                <m:t>1</m:t>
              </m:r>
            </m:sub>
          </m:sSub>
          <m:r>
            <m:rPr>
              <m:sty m:val="p"/>
            </m:rPr>
            <m:t>+</m:t>
          </m:r>
          <m:sSub>
            <m:e>
              <m:r>
                <m:t>β</m:t>
              </m:r>
            </m:e>
            <m:sub>
              <m:r>
                <m:t>6</m:t>
              </m:r>
            </m:sub>
          </m:sSub>
          <m:r>
            <m:t>I</m:t>
          </m:r>
          <m:r>
            <m:t>N</m:t>
          </m:r>
          <m:r>
            <m:t>D</m:t>
          </m:r>
          <m:r>
            <m:t>L</m:t>
          </m:r>
          <m:r>
            <m:t>E</m:t>
          </m:r>
          <m:sSub>
            <m:e>
              <m:r>
                <m:t>V</m:t>
              </m:r>
            </m:e>
            <m:sub>
              <m:r>
                <m:t>j</m:t>
              </m:r>
              <m:r>
                <m:rPr>
                  <m:sty m:val="p"/>
                </m:rPr>
                <m:t>,</m:t>
              </m:r>
              <m:r>
                <m:t>t</m:t>
              </m:r>
              <m:r>
                <m:rPr>
                  <m:sty m:val="p"/>
                </m:rPr>
                <m:t>−</m:t>
              </m:r>
              <m:r>
                <m:t>1</m:t>
              </m:r>
            </m:sub>
          </m:sSub>
          <m:r>
            <m:rPr>
              <m:sty m:val="p"/>
            </m:rPr>
            <m:t>+</m:t>
          </m:r>
          <m:sSub>
            <m:e>
              <m:r>
                <m:t>β</m:t>
              </m:r>
            </m:e>
            <m:sub>
              <m:r>
                <m:t>7</m:t>
              </m:r>
            </m:sub>
          </m:sSub>
          <m:r>
            <m:t>I</m:t>
          </m:r>
          <m:r>
            <m:t>N</m:t>
          </m:r>
          <m:sSub>
            <m:e>
              <m:r>
                <m:t>F</m:t>
              </m:r>
            </m:e>
            <m:sub>
              <m:r>
                <m:t>t</m:t>
              </m:r>
              <m:r>
                <m:rPr>
                  <m:sty m:val="p"/>
                </m:rPr>
                <m:t>−</m:t>
              </m:r>
              <m:r>
                <m:t>1</m:t>
              </m:r>
            </m:sub>
          </m:sSub>
          <m:r>
            <m:rPr>
              <m:sty m:val="p"/>
            </m:rPr>
            <m:t>+</m:t>
          </m:r>
          <m:sSub>
            <m:e>
              <m:r>
                <m:t>λ</m:t>
              </m:r>
            </m:e>
            <m:sub>
              <m:r>
                <m:t>j</m:t>
              </m:r>
            </m:sub>
          </m:sSub>
          <m:r>
            <m:rPr>
              <m:sty m:val="p"/>
            </m:rPr>
            <m:t>+</m:t>
          </m:r>
          <m:sSub>
            <m:e>
              <m:r>
                <m:t>μ</m:t>
              </m:r>
            </m:e>
            <m:sub>
              <m:r>
                <m:t>i</m:t>
              </m:r>
              <m:r>
                <m:rPr>
                  <m:sty m:val="p"/>
                </m:rPr>
                <m:t>,</m:t>
              </m:r>
              <m:r>
                <m:t>t</m:t>
              </m:r>
            </m:sub>
          </m:sSub>
          <m:r>
            <m:t>  </m:t>
          </m:r>
          <m:r>
            <m:rPr>
              <m:sty m:val="p"/>
            </m:rPr>
            <m:t>(</m:t>
          </m:r>
          <m:r>
            <m:t>2</m:t>
          </m:r>
          <m:r>
            <m:rPr>
              <m:sty m:val="p"/>
            </m:rPr>
            <m:t>)</m:t>
          </m:r>
        </m:oMath>
      </m:oMathPara>
    </w:p>
    <w:p>
      <w:pPr>
        <w:pStyle w:val="FirstParagraph"/>
      </w:pPr>
      <w:r>
        <w:t xml:space="preserve">TDA is total debt divided by total assets. The determinants are measured at t−1 so that the target is formed from information available at the start of the year:</w:t>
      </w:r>
    </w:p>
    <w:p>
      <w:pPr>
        <w:pStyle w:val="Compact"/>
        <w:numPr>
          <w:ilvl w:val="0"/>
          <w:numId w:val="1002"/>
        </w:numPr>
      </w:pPr>
      <w:r>
        <w:rPr>
          <w:b/>
          <w:bCs/>
        </w:rPr>
        <w:t xml:space="preserve">IOB</w:t>
      </w:r>
      <w:r>
        <w:t xml:space="preserve">: financial expense / total assets (interest burden).</w:t>
      </w:r>
    </w:p>
    <w:p>
      <w:pPr>
        <w:pStyle w:val="Compact"/>
        <w:numPr>
          <w:ilvl w:val="0"/>
          <w:numId w:val="1002"/>
        </w:numPr>
      </w:pPr>
      <w:r>
        <w:rPr>
          <w:b/>
          <w:bCs/>
        </w:rPr>
        <w:t xml:space="preserve">COL</w:t>
      </w:r>
      <w:r>
        <w:t xml:space="preserve">: (inventory + net PP&amp;E) / total assets (collateral value of assets).</w:t>
      </w:r>
    </w:p>
    <w:p>
      <w:pPr>
        <w:pStyle w:val="Compact"/>
        <w:numPr>
          <w:ilvl w:val="0"/>
          <w:numId w:val="1002"/>
        </w:numPr>
      </w:pPr>
      <w:r>
        <w:rPr>
          <w:b/>
          <w:bCs/>
        </w:rPr>
        <w:t xml:space="preserve">LTA</w:t>
      </w:r>
      <w:r>
        <w:t xml:space="preserve">: natural logarithm of total assets in 1392 prices (size). Deflation is necessary because nominal assets grow mechanically with inflation of 30–40% a year.</w:t>
      </w:r>
    </w:p>
    <w:p>
      <w:pPr>
        <w:pStyle w:val="Compact"/>
        <w:numPr>
          <w:ilvl w:val="0"/>
          <w:numId w:val="1002"/>
        </w:numPr>
      </w:pPr>
      <w:r>
        <w:rPr>
          <w:b/>
          <w:bCs/>
        </w:rPr>
        <w:t xml:space="preserve">MTB</w:t>
      </w:r>
      <w:r>
        <w:t xml:space="preserve">: market value / book value of equity (growth opportunities).</w:t>
      </w:r>
    </w:p>
    <w:p>
      <w:pPr>
        <w:pStyle w:val="Compact"/>
        <w:numPr>
          <w:ilvl w:val="0"/>
          <w:numId w:val="1002"/>
        </w:numPr>
      </w:pPr>
      <w:r>
        <w:rPr>
          <w:b/>
          <w:bCs/>
        </w:rPr>
        <w:t xml:space="preserve">PROFIT</w:t>
      </w:r>
      <w:r>
        <w:t xml:space="preserve">: operating income / total assets (profitability).</w:t>
      </w:r>
    </w:p>
    <w:p>
      <w:pPr>
        <w:pStyle w:val="Compact"/>
        <w:numPr>
          <w:ilvl w:val="0"/>
          <w:numId w:val="1002"/>
        </w:numPr>
      </w:pPr>
      <w:r>
        <w:rPr>
          <w:b/>
          <w:bCs/>
        </w:rPr>
        <w:t xml:space="preserve">INDLEV</w:t>
      </w:r>
      <w:r>
        <w:t xml:space="preserve">: median TDA of the firm’s industry in the same year, excluding the firm itself (industry leverage norm). Industries with fewer than five firms are pooled into one group, so that the median never rests on one or two peers.</w:t>
      </w:r>
    </w:p>
    <w:p>
      <w:pPr>
        <w:pStyle w:val="Compact"/>
        <w:numPr>
          <w:ilvl w:val="0"/>
          <w:numId w:val="1002"/>
        </w:numPr>
      </w:pPr>
      <w:r>
        <w:rPr>
          <w:b/>
          <w:bCs/>
        </w:rPr>
        <w:t xml:space="preserve">INF</w:t>
      </w:r>
      <w:r>
        <w:t xml:space="preserve">: annual consumer-price inflation rate.</w:t>
      </w:r>
    </w:p>
    <w:p>
      <w:pPr>
        <w:pStyle w:val="Compact"/>
        <w:numPr>
          <w:ilvl w:val="0"/>
          <w:numId w:val="1002"/>
        </w:numPr>
      </w:pPr>
      <w:r>
        <w:rPr>
          <w:b/>
          <w:bCs/>
        </w:rPr>
        <w:t xml:space="preserve">λ</w:t>
      </w:r>
      <w:r>
        <w:rPr>
          <w:b/>
          <w:bCs/>
          <w:vertAlign w:val="subscript"/>
        </w:rPr>
        <w:t xml:space="preserve">j</w:t>
      </w:r>
      <w:r>
        <w:t xml:space="preserve">: industry dummies.</w:t>
      </w:r>
    </w:p>
    <w:p>
      <w:pPr>
        <w:pStyle w:val="FirstParagraph"/>
      </w:pPr>
      <w:r>
        <w:t xml:space="preserve">Year dummies are not included in Eq. (2). INF takes one value per year, so year dummies would absorb it completely and make its coefficient unidentified; INF therefore carries the time variation in the target. Eq. (2) is estimated by pooled OLS with standard errors clustered by firm (Petersen, 2009). The fitted value is the target leverage, bounded to [0, 1], and the deviation is:</w:t>
      </w:r>
    </w:p>
    <w:p>
      <w:pPr>
        <w:pStyle w:val="BodyText"/>
      </w:pPr>
      <m:oMathPara>
        <m:oMathParaPr>
          <m:jc m:val="center"/>
        </m:oMathParaPr>
        <m:oMath>
          <m:r>
            <m:t>C</m:t>
          </m:r>
          <m:r>
            <m:t>S</m:t>
          </m:r>
          <m:r>
            <m:t>D</m:t>
          </m:r>
          <m:r>
            <m:t>e</m:t>
          </m:r>
          <m:sSub>
            <m:e>
              <m:r>
                <m:t>v</m:t>
              </m:r>
            </m:e>
            <m:sub>
              <m:r>
                <m:t>i</m:t>
              </m:r>
              <m:r>
                <m:rPr>
                  <m:sty m:val="p"/>
                </m:rPr>
                <m:t>,</m:t>
              </m:r>
              <m:r>
                <m:t>t</m:t>
              </m:r>
            </m:sub>
          </m:sSub>
          <m:r>
            <m:rPr>
              <m:sty m:val="p"/>
            </m:rPr>
            <m:t>=</m:t>
          </m:r>
          <m:r>
            <m:t>T</m:t>
          </m:r>
          <m:r>
            <m:t>D</m:t>
          </m:r>
          <m:sSub>
            <m:e>
              <m:r>
                <m:t>A</m:t>
              </m:r>
            </m:e>
            <m:sub>
              <m:r>
                <m:t>i</m:t>
              </m:r>
              <m:r>
                <m:rPr>
                  <m:sty m:val="p"/>
                </m:rPr>
                <m:t>,</m:t>
              </m:r>
              <m:r>
                <m:t>t</m:t>
              </m:r>
            </m:sub>
          </m:sSub>
          <m:r>
            <m:rPr>
              <m:sty m:val="p"/>
            </m:rPr>
            <m:t>−</m:t>
          </m:r>
          <m:sSubSup>
            <m:e>
              <m:acc>
                <m:accPr>
                  <m:chr m:val="̂"/>
                </m:accPr>
                <m:e>
                  <m:r>
                    <m:t>T</m:t>
                  </m:r>
                  <m:r>
                    <m:t>D</m:t>
                  </m:r>
                  <m:r>
                    <m:t>A</m:t>
                  </m:r>
                </m:e>
              </m:acc>
            </m:e>
            <m:sub>
              <m:r>
                <m:t>i</m:t>
              </m:r>
              <m:r>
                <m:rPr>
                  <m:sty m:val="p"/>
                </m:rPr>
                <m:t>,</m:t>
              </m:r>
              <m:r>
                <m:t>t</m:t>
              </m:r>
            </m:sub>
            <m:sup>
              <m:r>
                <m:rPr>
                  <m:sty m:val="p"/>
                </m:rPr>
                <m:t>*</m:t>
              </m:r>
            </m:sup>
          </m:sSubSup>
          <m:r>
            <m:t>  </m:t>
          </m:r>
          <m:r>
            <m:rPr>
              <m:sty m:val="p"/>
            </m:rPr>
            <m:t>(</m:t>
          </m:r>
          <m:r>
            <m:t>3</m:t>
          </m:r>
          <m:r>
            <m:rPr>
              <m:sty m:val="p"/>
            </m:rPr>
            <m:t>)</m:t>
          </m:r>
        </m:oMath>
      </m:oMathPara>
    </w:p>
    <w:p>
      <w:pPr>
        <w:pStyle w:val="FirstParagraph"/>
      </w:pPr>
      <w:r>
        <w:t xml:space="preserve">A positive CSDev indicates over-leverage and a negative CSDev indicates under-leverage. The hypotheses predict effects of opposite direction and possibly different size on the two sides of the target, so CSDev is decomposed into two non-negative magnitudes:</w:t>
      </w:r>
    </w:p>
    <w:p>
      <w:pPr>
        <w:pStyle w:val="BodyText"/>
      </w:pPr>
      <m:oMathPara>
        <m:oMathParaPr>
          <m:jc m:val="center"/>
        </m:oMathParaPr>
        <m:oMath>
          <m:r>
            <m:t>C</m:t>
          </m:r>
          <m:r>
            <m:t>S</m:t>
          </m:r>
          <m:sSubSup>
            <m:e>
              <m:r>
                <m:t>D</m:t>
              </m:r>
            </m:e>
            <m:sub>
              <m:r>
                <m:t>i</m:t>
              </m:r>
              <m:r>
                <m:rPr>
                  <m:sty m:val="p"/>
                </m:rPr>
                <m:t>,</m:t>
              </m:r>
              <m:r>
                <m:t>t</m:t>
              </m:r>
            </m:sub>
            <m:sup>
              <m:r>
                <m:rPr>
                  <m:sty m:val="p"/>
                </m:rPr>
                <m:t>+</m:t>
              </m:r>
            </m:sup>
          </m:sSubSup>
          <m:r>
            <m:rPr>
              <m:sty m:val="p"/>
            </m:rPr>
            <m:t>=</m:t>
          </m:r>
          <m:r>
            <m:rPr>
              <m:sty m:val="p"/>
            </m:rPr>
            <m:t>max</m:t>
          </m:r>
          <m:r>
            <m:rPr>
              <m:sty m:val="p"/>
            </m:rPr>
            <m:t>(</m:t>
          </m:r>
          <m:r>
            <m:t>C</m:t>
          </m:r>
          <m:r>
            <m:t>S</m:t>
          </m:r>
          <m:r>
            <m:t>D</m:t>
          </m:r>
          <m:r>
            <m:t>e</m:t>
          </m:r>
          <m:sSub>
            <m:e>
              <m:r>
                <m:t>v</m:t>
              </m:r>
            </m:e>
            <m:sub>
              <m:r>
                <m:t>i</m:t>
              </m:r>
              <m:r>
                <m:rPr>
                  <m:sty m:val="p"/>
                </m:rPr>
                <m:t>,</m:t>
              </m:r>
              <m:r>
                <m:t>t</m:t>
              </m:r>
            </m:sub>
          </m:sSub>
          <m:r>
            <m:rPr>
              <m:sty m:val="p"/>
            </m:rPr>
            <m:t>,</m:t>
          </m:r>
          <m:r>
            <m:t> </m:t>
          </m:r>
          <m:r>
            <m:t>0</m:t>
          </m:r>
          <m:r>
            <m:rPr>
              <m:sty m:val="p"/>
            </m:rPr>
            <m:t>)</m:t>
          </m:r>
          <m:r>
            <m:rPr>
              <m:sty m:val="p"/>
            </m:rPr>
            <m:t>,</m:t>
          </m:r>
          <m:r>
            <m:t>  </m:t>
          </m:r>
          <m:r>
            <m:t>C</m:t>
          </m:r>
          <m:r>
            <m:t>S</m:t>
          </m:r>
          <m:sSubSup>
            <m:e>
              <m:r>
                <m:t>D</m:t>
              </m:r>
            </m:e>
            <m:sub>
              <m:r>
                <m:t>i</m:t>
              </m:r>
              <m:r>
                <m:rPr>
                  <m:sty m:val="p"/>
                </m:rPr>
                <m:t>,</m:t>
              </m:r>
              <m:r>
                <m:t>t</m:t>
              </m:r>
            </m:sub>
            <m:sup>
              <m:r>
                <m:rPr>
                  <m:sty m:val="p"/>
                </m:rPr>
                <m:t>−</m:t>
              </m:r>
            </m:sup>
          </m:sSubSup>
          <m:r>
            <m:rPr>
              <m:sty m:val="p"/>
            </m:rPr>
            <m:t>=</m:t>
          </m:r>
          <m:r>
            <m:rPr>
              <m:sty m:val="p"/>
            </m:rPr>
            <m:t>max</m:t>
          </m:r>
          <m:r>
            <m:rPr>
              <m:sty m:val="p"/>
            </m:rPr>
            <m:t>(</m:t>
          </m:r>
          <m:r>
            <m:rPr>
              <m:sty m:val="p"/>
            </m:rPr>
            <m:t>−</m:t>
          </m:r>
          <m:r>
            <m:t>C</m:t>
          </m:r>
          <m:r>
            <m:t>S</m:t>
          </m:r>
          <m:r>
            <m:t>D</m:t>
          </m:r>
          <m:r>
            <m:t>e</m:t>
          </m:r>
          <m:sSub>
            <m:e>
              <m:r>
                <m:t>v</m:t>
              </m:r>
            </m:e>
            <m:sub>
              <m:r>
                <m:t>i</m:t>
              </m:r>
              <m:r>
                <m:rPr>
                  <m:sty m:val="p"/>
                </m:rPr>
                <m:t>,</m:t>
              </m:r>
              <m:r>
                <m:t>t</m:t>
              </m:r>
            </m:sub>
          </m:sSub>
          <m:r>
            <m:rPr>
              <m:sty m:val="p"/>
            </m:rPr>
            <m:t>,</m:t>
          </m:r>
          <m:r>
            <m:t> </m:t>
          </m:r>
          <m:r>
            <m:t>0</m:t>
          </m:r>
          <m:r>
            <m:rPr>
              <m:sty m:val="p"/>
            </m:rPr>
            <m:t>)</m:t>
          </m:r>
          <m:r>
            <m:t>  </m:t>
          </m:r>
          <m:r>
            <m:rPr>
              <m:sty m:val="p"/>
            </m:rPr>
            <m:t>(</m:t>
          </m:r>
          <m:r>
            <m:t>4</m:t>
          </m:r>
          <m:r>
            <m:rPr>
              <m:sty m:val="p"/>
            </m:rPr>
            <m:t>)</m:t>
          </m:r>
        </m:oMath>
      </m:oMathPara>
    </w:p>
    <w:p>
      <w:pPr>
        <w:pStyle w:val="FirstParagraph"/>
      </w:pPr>
      <w:r>
        <w:t xml:space="preserve">CSD⁺ measures how far an over-leveraged firm lies above its target and is zero for under-leveraged firms. CSD⁻ measures how far an under-leveraged firm lies below its target and is zero for over-leveraged firms. This piecewise-linear specification lets the slope differ on each side of the target. A single CSDev regressor would impose equal and opposite effects, which is the restriction the asymmetry argument of this study rejects.</w:t>
      </w:r>
    </w:p>
    <w:bookmarkEnd w:id="11"/>
    <w:bookmarkStart w:id="12" w:name="moderating-variable-corporate-life-cycle"/>
    <w:p>
      <w:pPr>
        <w:pStyle w:val="Heading2"/>
      </w:pPr>
      <w:r>
        <w:t xml:space="preserve">3.4 Moderating Variable: Corporate Life Cycle</w:t>
      </w:r>
    </w:p>
    <w:p>
      <w:pPr>
        <w:pStyle w:val="FirstParagraph"/>
      </w:pPr>
      <w:r>
        <w:t xml:space="preserve">Life-cycle stage is classified with the cash-flow pattern approach of Dickinson (2011). The signs of operating (CFO), investing (CFI) and financing (CFF) cash flows jointly reflect a firm’s profitability, growth and financing needs, and the classification does not depend on age or size cut-offs. Dickinson’s five stages are consolidated into the three stages named in the hypotheses: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584"/>
        <w:gridCol w:w="1584"/>
        <w:gridCol w:w="1584"/>
        <w:gridCol w:w="1584"/>
        <w:gridCol w:w="1584"/>
      </w:tblGrid>
      <w:tr>
        <w:trPr>
          <w:tblHeader w:val="on"/>
        </w:trPr>
        <w:tc>
          <w:tcPr>
            <w:shd w:val="clear" w:color="auto" w:fill="E8ECF3"/>
          </w:tcPr>
          <w:p>
            <w:pPr>
              <w:pStyle w:val="Compact"/>
            </w:pPr>
            <w:r>
              <w:rPr>
                <w:b/>
                <w:sz w:val="19"/>
              </w:rPr>
              <w:t xml:space="preserve">Consolidated stage</w:t>
            </w:r>
          </w:p>
        </w:tc>
        <w:tc>
          <w:tcPr>
            <w:shd w:val="clear" w:color="auto" w:fill="E8ECF3"/>
          </w:tcPr>
          <w:p>
            <w:pPr>
              <w:pStyle w:val="Compact"/>
            </w:pPr>
            <w:r>
              <w:rPr>
                <w:b/>
                <w:sz w:val="19"/>
              </w:rPr>
              <w:t xml:space="preserve">Dickinson (2011) stage</w:t>
            </w:r>
          </w:p>
        </w:tc>
        <w:tc>
          <w:tcPr>
            <w:shd w:val="clear" w:color="auto" w:fill="E8ECF3"/>
          </w:tcPr>
          <w:p>
            <w:pPr>
              <w:pStyle w:val="Compact"/>
            </w:pPr>
            <w:r>
              <w:rPr>
                <w:b/>
                <w:sz w:val="19"/>
              </w:rPr>
              <w:t xml:space="preserve">CFO</w:t>
            </w:r>
          </w:p>
        </w:tc>
        <w:tc>
          <w:tcPr>
            <w:shd w:val="clear" w:color="auto" w:fill="E8ECF3"/>
          </w:tcPr>
          <w:p>
            <w:pPr>
              <w:pStyle w:val="Compact"/>
            </w:pPr>
            <w:r>
              <w:rPr>
                <w:b/>
                <w:sz w:val="19"/>
              </w:rPr>
              <w:t xml:space="preserve">CFI</w:t>
            </w:r>
          </w:p>
        </w:tc>
        <w:tc>
          <w:tcPr>
            <w:shd w:val="clear" w:color="auto" w:fill="E8ECF3"/>
          </w:tcPr>
          <w:p>
            <w:pPr>
              <w:pStyle w:val="Compact"/>
            </w:pPr>
            <w:r>
              <w:rPr>
                <w:b/>
                <w:sz w:val="19"/>
              </w:rPr>
              <w:t xml:space="preserve">CFF</w:t>
            </w:r>
          </w:p>
        </w:tc>
      </w:tr>
      <w:tr>
        <w:tc>
          <w:tcPr/>
          <w:p>
            <w:pPr>
              <w:pStyle w:val="Compact"/>
            </w:pPr>
            <w:r>
              <w:rPr>
                <w:sz w:val="19"/>
              </w:rPr>
              <w:t xml:space="preserve">Growth (GROW)</w:t>
            </w:r>
          </w:p>
        </w:tc>
        <w:tc>
          <w:tcPr/>
          <w:p>
            <w:pPr>
              <w:pStyle w:val="Compact"/>
            </w:pPr>
            <w:r>
              <w:rPr>
                <w:sz w:val="19"/>
              </w:rPr>
              <w:t xml:space="preserve">Introduction</w:t>
            </w:r>
          </w:p>
        </w:tc>
        <w:tc>
          <w:tcPr/>
          <w:p>
            <w:pPr>
              <w:pStyle w:val="Compact"/>
            </w:pPr>
            <w:r>
              <w:rPr>
                <w:sz w:val="19"/>
              </w:rPr>
              <w:t xml:space="preserve">−</w:t>
            </w:r>
          </w:p>
        </w:tc>
        <w:tc>
          <w:tcPr/>
          <w:p>
            <w:pPr>
              <w:pStyle w:val="Compact"/>
            </w:pPr>
            <w:r>
              <w:rPr>
                <w:sz w:val="19"/>
              </w:rPr>
              <w:t xml:space="preserve">−</w:t>
            </w:r>
          </w:p>
        </w:tc>
        <w:tc>
          <w:tcPr/>
          <w:p>
            <w:pPr>
              <w:pStyle w:val="Compact"/>
            </w:pPr>
            <w:r>
              <w:rPr>
                <w:sz w:val="19"/>
              </w:rPr>
              <w:t xml:space="preserve">+</w:t>
            </w:r>
          </w:p>
        </w:tc>
      </w:tr>
      <w:tr>
        <w:tc>
          <w:tcPr/>
          <w:p>
            <w:pPr>
              <w:pStyle w:val="Compact"/>
            </w:pPr>
            <w:r>
              <w:rPr>
                <w:sz w:val="19"/>
              </w:rPr>
              <w:t xml:space="preserve">Growth (GROW)</w:t>
            </w:r>
          </w:p>
        </w:tc>
        <w:tc>
          <w:tcPr/>
          <w:p>
            <w:pPr>
              <w:pStyle w:val="Compact"/>
            </w:pPr>
            <w:r>
              <w:rPr>
                <w:sz w:val="19"/>
              </w:rPr>
              <w:t xml:space="preserve">Growth</w:t>
            </w:r>
          </w:p>
        </w:tc>
        <w:tc>
          <w:tcPr/>
          <w:p>
            <w:pPr>
              <w:pStyle w:val="Compact"/>
            </w:pPr>
            <w:r>
              <w:rPr>
                <w:sz w:val="19"/>
              </w:rPr>
              <w:t xml:space="preserve">+</w:t>
            </w:r>
          </w:p>
        </w:tc>
        <w:tc>
          <w:tcPr/>
          <w:p>
            <w:pPr>
              <w:pStyle w:val="Compact"/>
            </w:pPr>
            <w:r>
              <w:rPr>
                <w:sz w:val="19"/>
              </w:rPr>
              <w:t xml:space="preserve">−</w:t>
            </w:r>
          </w:p>
        </w:tc>
        <w:tc>
          <w:tcPr/>
          <w:p>
            <w:pPr>
              <w:pStyle w:val="Compact"/>
            </w:pPr>
            <w:r>
              <w:rPr>
                <w:sz w:val="19"/>
              </w:rPr>
              <w:t xml:space="preserve">+</w:t>
            </w:r>
          </w:p>
        </w:tc>
      </w:tr>
      <w:tr>
        <w:tc>
          <w:tcPr/>
          <w:p>
            <w:pPr>
              <w:pStyle w:val="Compact"/>
            </w:pPr>
            <w:r>
              <w:rPr>
                <w:sz w:val="19"/>
              </w:rPr>
              <w:t xml:space="preserve">Maturity (MAT)</w:t>
            </w:r>
          </w:p>
        </w:tc>
        <w:tc>
          <w:tcPr/>
          <w:p>
            <w:pPr>
              <w:pStyle w:val="Compact"/>
            </w:pPr>
            <w:r>
              <w:rPr>
                <w:sz w:val="19"/>
              </w:rPr>
              <w:t xml:space="preserve">Mature</w:t>
            </w:r>
          </w:p>
        </w:tc>
        <w:tc>
          <w:tcPr/>
          <w:p>
            <w:pPr>
              <w:pStyle w:val="Compact"/>
            </w:pPr>
            <w:r>
              <w:rPr>
                <w:sz w:val="19"/>
              </w:rPr>
              <w:t xml:space="preserve">+</w:t>
            </w:r>
          </w:p>
        </w:tc>
        <w:tc>
          <w:tcPr/>
          <w:p>
            <w:pPr>
              <w:pStyle w:val="Compact"/>
            </w:pPr>
            <w:r>
              <w:rPr>
                <w:sz w:val="19"/>
              </w:rPr>
              <w:t xml:space="preserve">−</w:t>
            </w:r>
          </w:p>
        </w:tc>
        <w:tc>
          <w:tcPr/>
          <w:p>
            <w:pPr>
              <w:pStyle w:val="Compact"/>
            </w:pPr>
            <w:r>
              <w:rPr>
                <w:sz w:val="19"/>
              </w:rPr>
              <w:t xml:space="preserve">−</w:t>
            </w:r>
          </w:p>
        </w:tc>
      </w:tr>
      <w:tr>
        <w:tc>
          <w:tcPr/>
          <w:p>
            <w:pPr>
              <w:pStyle w:val="Compact"/>
            </w:pPr>
            <w:r>
              <w:rPr>
                <w:sz w:val="19"/>
              </w:rPr>
              <w:t xml:space="preserve">Decline (DEC)</w:t>
            </w:r>
          </w:p>
        </w:tc>
        <w:tc>
          <w:tcPr/>
          <w:p>
            <w:pPr>
              <w:pStyle w:val="Compact"/>
            </w:pPr>
            <w:r>
              <w:rPr>
                <w:sz w:val="19"/>
              </w:rPr>
              <w:t xml:space="preserve">Shake-out</w:t>
            </w:r>
          </w:p>
        </w:tc>
        <w:tc>
          <w:tcPr/>
          <w:p>
            <w:pPr>
              <w:pStyle w:val="Compact"/>
            </w:pPr>
            <w:r>
              <w:rPr>
                <w:sz w:val="19"/>
              </w:rPr>
              <w:t xml:space="preserve">− − −, + + +, or + + −</w:t>
            </w:r>
          </w:p>
        </w:tc>
        <w:tc>
          <w:tcPr/>
          <w:p>
            <w:pPr>
              <w:pStyle w:val="Compact"/>
            </w:pPr>
          </w:p>
        </w:tc>
        <w:tc>
          <w:tcPr/>
          <w:p>
            <w:pPr>
              <w:pStyle w:val="Compact"/>
            </w:pPr>
          </w:p>
        </w:tc>
      </w:tr>
      <w:tr>
        <w:tc>
          <w:tcPr/>
          <w:p>
            <w:pPr>
              <w:pStyle w:val="Compact"/>
            </w:pPr>
            <w:r>
              <w:rPr>
                <w:sz w:val="19"/>
              </w:rPr>
              <w:t xml:space="preserve">Decline (DEC)</w:t>
            </w:r>
          </w:p>
        </w:tc>
        <w:tc>
          <w:tcPr/>
          <w:p>
            <w:pPr>
              <w:pStyle w:val="Compact"/>
            </w:pPr>
            <w:r>
              <w:rPr>
                <w:sz w:val="19"/>
              </w:rPr>
              <w:t xml:space="preserve">Decline</w:t>
            </w:r>
          </w:p>
        </w:tc>
        <w:tc>
          <w:tcPr/>
          <w:p>
            <w:pPr>
              <w:pStyle w:val="Compact"/>
            </w:pPr>
            <w:r>
              <w:rPr>
                <w:sz w:val="19"/>
              </w:rPr>
              <w:t xml:space="preserve">−</w:t>
            </w:r>
          </w:p>
        </w:tc>
        <w:tc>
          <w:tcPr/>
          <w:p>
            <w:pPr>
              <w:pStyle w:val="Compact"/>
            </w:pPr>
            <w:r>
              <w:rPr>
                <w:sz w:val="19"/>
              </w:rPr>
              <w:t xml:space="preserve">+</w:t>
            </w:r>
          </w:p>
        </w:tc>
        <w:tc>
          <w:tcPr/>
          <w:p>
            <w:pPr>
              <w:pStyle w:val="Compact"/>
            </w:pPr>
            <w:r>
              <w:rPr>
                <w:sz w:val="19"/>
              </w:rPr>
              <w:t xml:space="preserve">+ or −</w:t>
            </w:r>
          </w:p>
        </w:tc>
      </w:tr>
    </w:tbl>
    <w:p>
      <w:pPr>
        <w:pStyle w:val="BodyText"/>
      </w:pPr>
      <w:r>
        <w:t xml:space="preserve">Two features of the TSE motivate the consolidation. Few introduction-stage firms meet listing requirements, so the introduction stage is too thin to estimate separately, and introduction and growth firms share the defining feature relevant here: financing needs exceed internal cash flow. The shake-out stage has no consistent cash-flow signature (Dickinson, 2011), and its firms share the declining investment opportunities of decline-stage firms. The frequency of each original stage is reported in the descriptive statistics, and the results are re-estimated with Dickinson’s original five stages (Section 3.11).</w:t>
      </w:r>
    </w:p>
    <w:p>
      <w:pPr>
        <w:pStyle w:val="BodyText"/>
      </w:pPr>
      <w:r>
        <w:t xml:space="preserve">Stage is measured at</w:t>
      </w:r>
      <w:r>
        <w:t xml:space="preserve"> </w:t>
      </w:r>
      <w:r>
        <w:rPr>
          <w:b/>
          <w:bCs/>
        </w:rPr>
        <w:t xml:space="preserve">t−1</w:t>
      </w:r>
      <w:r>
        <w:t xml:space="preserve">. Dickinson’s classification uses the sign of CFI, and investing cash flow is a component of investment itself. A stage measured in year t would therefore be mechanically related to the dependent variable; the lagged stage is predetermined with respect to investment in year t. Three indicators are formed (GROW, MAT, DEC), and one is omitted as the reference category in each model.</w:t>
      </w:r>
    </w:p>
    <w:bookmarkEnd w:id="12"/>
    <w:bookmarkStart w:id="13" w:name="moderating-variable-managerial-ability"/>
    <w:p>
      <w:pPr>
        <w:pStyle w:val="Heading2"/>
      </w:pPr>
      <w:r>
        <w:t xml:space="preserve">3.5 Moderating Variable: Managerial Ability</w:t>
      </w:r>
    </w:p>
    <w:p>
      <w:pPr>
        <w:pStyle w:val="FirstParagraph"/>
      </w:pPr>
      <w:r>
        <w:t xml:space="preserve">Managerial ability is measured with the two-stage approach of Demerjian, Lev and McVay (2012). The approach separates the efficiency with which a firm converts resources into revenue into a part attributable to the firm and a part attributable to its managers.</w:t>
      </w:r>
    </w:p>
    <w:p>
      <w:pPr>
        <w:pStyle w:val="BodyText"/>
      </w:pPr>
      <w:r>
        <w:rPr>
          <w:b/>
          <w:bCs/>
        </w:rPr>
        <w:t xml:space="preserve">Stage 1: firm efficiency.</w:t>
      </w:r>
      <w:r>
        <w:t xml:space="preserve"> </w:t>
      </w:r>
      <w:r>
        <w:t xml:space="preserve">Data envelopment analysis (DEA) estimates the efficiency with which each firm converts inputs into sales, relative to the efficient frontier of its peers. The model is input-oriented with variable returns to scale. The output is sales. The inputs are cost of goods sold, selling, general and administrative expenses, net PP&amp;E at t−1 and intangible assets at t−1. Lagged capital stocks are used because they are the resources available to managers during the year. The frontier is estimated for each industry over all sample years, with monetary values deflated to 1392 prices with the consumer price index; industries with fewer than five firms are pooled into one group. Industry-year frontiers are too small in this sample: with four inputs and few firms per industry-year, more than half of the firm-years lie on the frontier, so efficiency does not discriminate between firms. The industry frontier provides many more units than the rule of thumb of three times the number of inputs and outputs (Cooper, Seiford &amp; Tone, 2007). Deflation makes values comparable across years under high inflation. Industry-year frontiers are reported as a sensitivity test. The efficiency score FE lies in (0, 1].</w:t>
      </w:r>
    </w:p>
    <w:p>
      <w:pPr>
        <w:pStyle w:val="BodyText"/>
      </w:pPr>
      <w:r>
        <w:rPr>
          <w:b/>
          <w:bCs/>
        </w:rPr>
        <w:t xml:space="preserve">Stage 2: removing firm-level drivers.</w:t>
      </w:r>
      <w:r>
        <w:t xml:space="preserve"> </w:t>
      </w:r>
      <w:r>
        <w:t xml:space="preserve">Firm efficiency is regressed on characteristics that make efficiency easier or harder to achieve regardless of who manages the firm:</w:t>
      </w:r>
    </w:p>
    <w:p>
      <w:pPr>
        <w:pStyle w:val="BodyText"/>
      </w:pPr>
      <m:oMathPara>
        <m:oMathParaPr>
          <m:jc m:val="center"/>
        </m:oMathParaPr>
        <m:oMath>
          <m:r>
            <m:t>F</m:t>
          </m:r>
          <m:sSub>
            <m:e>
              <m:r>
                <m:t>E</m:t>
              </m:r>
            </m:e>
            <m:sub>
              <m:r>
                <m:t>i</m:t>
              </m:r>
              <m:r>
                <m:rPr>
                  <m:sty m:val="p"/>
                </m:rPr>
                <m:t>,</m:t>
              </m:r>
              <m:r>
                <m:t>t</m:t>
              </m:r>
            </m:sub>
          </m:sSub>
          <m:r>
            <m:rPr>
              <m:sty m:val="p"/>
            </m:rPr>
            <m:t>=</m:t>
          </m:r>
          <m:sSub>
            <m:e>
              <m:r>
                <m:t>θ</m:t>
              </m:r>
            </m:e>
            <m:sub>
              <m:r>
                <m:t>0</m:t>
              </m:r>
            </m:sub>
          </m:sSub>
          <m:r>
            <m:rPr>
              <m:sty m:val="p"/>
            </m:rPr>
            <m:t>+</m:t>
          </m:r>
          <m:sSub>
            <m:e>
              <m:r>
                <m:t>θ</m:t>
              </m:r>
            </m:e>
            <m:sub>
              <m:r>
                <m:t>1</m:t>
              </m:r>
            </m:sub>
          </m:sSub>
          <m:r>
            <m:t>L</m:t>
          </m:r>
          <m:r>
            <m:t>T</m:t>
          </m:r>
          <m:sSub>
            <m:e>
              <m:r>
                <m:t>A</m:t>
              </m:r>
            </m:e>
            <m:sub>
              <m:r>
                <m:t>i</m:t>
              </m:r>
              <m:r>
                <m:rPr>
                  <m:sty m:val="p"/>
                </m:rPr>
                <m:t>,</m:t>
              </m:r>
              <m:r>
                <m:t>t</m:t>
              </m:r>
            </m:sub>
          </m:sSub>
          <m:r>
            <m:rPr>
              <m:sty m:val="p"/>
            </m:rPr>
            <m:t>+</m:t>
          </m:r>
          <m:sSub>
            <m:e>
              <m:r>
                <m:t>θ</m:t>
              </m:r>
            </m:e>
            <m:sub>
              <m:r>
                <m:t>2</m:t>
              </m:r>
            </m:sub>
          </m:sSub>
          <m:r>
            <m:t>M</m:t>
          </m:r>
          <m:r>
            <m:t>k</m:t>
          </m:r>
          <m:r>
            <m:t>t</m:t>
          </m:r>
          <m:r>
            <m:t>S</m:t>
          </m:r>
          <m:r>
            <m:t>h</m:t>
          </m:r>
          <m:r>
            <m:t>a</m:t>
          </m:r>
          <m:r>
            <m:t>r</m:t>
          </m:r>
          <m:sSub>
            <m:e>
              <m:r>
                <m:t>e</m:t>
              </m:r>
            </m:e>
            <m:sub>
              <m:r>
                <m:t>i</m:t>
              </m:r>
              <m:r>
                <m:rPr>
                  <m:sty m:val="p"/>
                </m:rPr>
                <m:t>,</m:t>
              </m:r>
              <m:r>
                <m:t>t</m:t>
              </m:r>
            </m:sub>
          </m:sSub>
          <m:r>
            <m:rPr>
              <m:sty m:val="p"/>
            </m:rPr>
            <m:t>+</m:t>
          </m:r>
          <m:sSub>
            <m:e>
              <m:r>
                <m:t>θ</m:t>
              </m:r>
            </m:e>
            <m:sub>
              <m:r>
                <m:t>3</m:t>
              </m:r>
            </m:sub>
          </m:sSub>
          <m:r>
            <m:t>F</m:t>
          </m:r>
          <m:r>
            <m:t>C</m:t>
          </m:r>
          <m:sSubSup>
            <m:e>
              <m:r>
                <m:t>F</m:t>
              </m:r>
            </m:e>
            <m:sub>
              <m:r>
                <m:t>i</m:t>
              </m:r>
              <m:r>
                <m:rPr>
                  <m:sty m:val="p"/>
                </m:rPr>
                <m:t>,</m:t>
              </m:r>
              <m:r>
                <m:t>t</m:t>
              </m:r>
            </m:sub>
            <m:sup>
              <m:r>
                <m:rPr>
                  <m:sty m:val="p"/>
                </m:rPr>
                <m:t>+</m:t>
              </m:r>
            </m:sup>
          </m:sSubSup>
          <m:r>
            <m:rPr>
              <m:sty m:val="p"/>
            </m:rPr>
            <m:t>+</m:t>
          </m:r>
          <m:sSub>
            <m:e>
              <m:r>
                <m:t>θ</m:t>
              </m:r>
            </m:e>
            <m:sub>
              <m:r>
                <m:t>4</m:t>
              </m:r>
            </m:sub>
          </m:sSub>
          <m:r>
            <m:rPr>
              <m:sty m:val="p"/>
            </m:rPr>
            <m:t>ln</m:t>
          </m:r>
          <m:r>
            <m:rPr>
              <m:sty m:val="p"/>
            </m:rPr>
            <m:t>(</m:t>
          </m:r>
          <m:r>
            <m:t>A</m:t>
          </m:r>
          <m:r>
            <m:t>g</m:t>
          </m:r>
          <m:sSub>
            <m:e>
              <m:r>
                <m:t>e</m:t>
              </m:r>
            </m:e>
            <m:sub>
              <m:r>
                <m:t>i</m:t>
              </m:r>
              <m:r>
                <m:rPr>
                  <m:sty m:val="p"/>
                </m:rPr>
                <m:t>,</m:t>
              </m:r>
              <m:r>
                <m:t>t</m:t>
              </m:r>
            </m:sub>
          </m:sSub>
          <m:r>
            <m:rPr>
              <m:sty m:val="p"/>
            </m:rPr>
            <m:t>)</m:t>
          </m:r>
          <m:r>
            <m:rPr>
              <m:sty m:val="p"/>
            </m:rPr>
            <m:t>+</m:t>
          </m:r>
          <m:sSub>
            <m:e>
              <m:r>
                <m:t>ν</m:t>
              </m:r>
            </m:e>
            <m:sub>
              <m:r>
                <m:t>t</m:t>
              </m:r>
            </m:sub>
          </m:sSub>
          <m:r>
            <m:rPr>
              <m:sty m:val="p"/>
            </m:rPr>
            <m:t>+</m:t>
          </m:r>
          <m:sSub>
            <m:e>
              <m:r>
                <m:t>λ</m:t>
              </m:r>
            </m:e>
            <m:sub>
              <m:r>
                <m:t>j</m:t>
              </m:r>
            </m:sub>
          </m:sSub>
          <m:r>
            <m:rPr>
              <m:sty m:val="p"/>
            </m:rPr>
            <m:t>+</m:t>
          </m:r>
          <m:sSub>
            <m:e>
              <m:r>
                <m:t>ω</m:t>
              </m:r>
            </m:e>
            <m:sub>
              <m:r>
                <m:t>i</m:t>
              </m:r>
              <m:r>
                <m:rPr>
                  <m:sty m:val="p"/>
                </m:rPr>
                <m:t>,</m:t>
              </m:r>
              <m:r>
                <m:t>t</m:t>
              </m:r>
            </m:sub>
          </m:sSub>
          <m:r>
            <m:t>  </m:t>
          </m:r>
          <m:r>
            <m:rPr>
              <m:sty m:val="p"/>
            </m:rPr>
            <m:t>(</m:t>
          </m:r>
          <m:r>
            <m:t>5</m:t>
          </m:r>
          <m:r>
            <m:rPr>
              <m:sty m:val="p"/>
            </m:rPr>
            <m:t>)</m:t>
          </m:r>
        </m:oMath>
      </m:oMathPara>
    </w:p>
    <w:p>
      <w:pPr>
        <w:pStyle w:val="FirstParagraph"/>
      </w:pPr>
      <w:r>
        <w:t xml:space="preserve">MktShare is the firm’s share of industry sales. FCF⁺ equals 1 if free cash flow is positive and 0 otherwise. Eq. (5) is estimated as a Tobit model censored from above at 1, because DEA scores have a mass at the efficient frontier. Segment diversification and foreign-operations indicators in the original specification are omitted because they are not available for TSE firms. Managerial ability,</w:t>
      </w:r>
      <w:r>
        <w:t xml:space="preserve"> </w:t>
      </w:r>
      <w:r>
        <w:rPr>
          <w:b/>
          <w:bCs/>
        </w:rPr>
        <w:t xml:space="preserve">MA</w:t>
      </w:r>
      <w:r>
        <w:t xml:space="preserve">, is the residual ω̂: the part of efficiency not explained by firm characteristics. MA is mean-centered before entering any interaction.</w:t>
      </w:r>
    </w:p>
    <w:bookmarkEnd w:id="13"/>
    <w:bookmarkStart w:id="14" w:name="control-variables"/>
    <w:p>
      <w:pPr>
        <w:pStyle w:val="Heading2"/>
      </w:pPr>
      <w:r>
        <w:t xml:space="preserve">3.6 Control Variables</w:t>
      </w:r>
    </w:p>
    <w:p>
      <w:pPr>
        <w:pStyle w:val="FirstParagraph"/>
      </w:pPr>
      <w:r>
        <w:t xml:space="preserve">Following Biddle et al. (2009), the models control for firm characteristics that are associated with investment levels and with the accuracy of the investment-expectation model:</w:t>
      </w:r>
    </w:p>
    <w:p>
      <w:pPr>
        <w:pStyle w:val="Compact"/>
        <w:numPr>
          <w:ilvl w:val="0"/>
          <w:numId w:val="1003"/>
        </w:numPr>
      </w:pPr>
      <w:r>
        <w:rPr>
          <w:b/>
          <w:bCs/>
        </w:rPr>
        <w:t xml:space="preserve">LTA</w:t>
      </w:r>
      <w:r>
        <w:t xml:space="preserve">: firm size. Larger firms have better access to finance and more stable investment.</w:t>
      </w:r>
    </w:p>
    <w:p>
      <w:pPr>
        <w:pStyle w:val="Compact"/>
        <w:numPr>
          <w:ilvl w:val="0"/>
          <w:numId w:val="1003"/>
        </w:numPr>
      </w:pPr>
      <w:r>
        <w:rPr>
          <w:b/>
          <w:bCs/>
        </w:rPr>
        <w:t xml:space="preserve">MTB</w:t>
      </w:r>
      <w:r>
        <w:t xml:space="preserve">: growth opportunities not captured by past sales growth.</w:t>
      </w:r>
    </w:p>
    <w:p>
      <w:pPr>
        <w:pStyle w:val="Compact"/>
        <w:numPr>
          <w:ilvl w:val="0"/>
          <w:numId w:val="1003"/>
        </w:numPr>
      </w:pPr>
      <w:r>
        <w:rPr>
          <w:b/>
          <w:bCs/>
        </w:rPr>
        <w:t xml:space="preserve">PROFIT</w:t>
      </w:r>
      <w:r>
        <w:t xml:space="preserve">: operating income / total assets. More profitable firms can fund investment internally.</w:t>
      </w:r>
    </w:p>
    <w:p>
      <w:pPr>
        <w:pStyle w:val="Compact"/>
        <w:numPr>
          <w:ilvl w:val="0"/>
          <w:numId w:val="1003"/>
        </w:numPr>
      </w:pPr>
      <w:r>
        <w:rPr>
          <w:b/>
          <w:bCs/>
        </w:rPr>
        <w:t xml:space="preserve">FCF</w:t>
      </w:r>
      <w:r>
        <w:t xml:space="preserve">: operating cash flow / total assets, which captures internal funds available for investment (Jensen, 1986). Operating rather than post-investment free cash flow is used because investing cash flow is part of the dependent variable.</w:t>
      </w:r>
    </w:p>
    <w:p>
      <w:pPr>
        <w:pStyle w:val="Compact"/>
        <w:numPr>
          <w:ilvl w:val="0"/>
          <w:numId w:val="1003"/>
        </w:numPr>
      </w:pPr>
      <w:r>
        <w:rPr>
          <w:b/>
          <w:bCs/>
        </w:rPr>
        <w:t xml:space="preserve">TANG</w:t>
      </w:r>
      <w:r>
        <w:t xml:space="preserve">: net PP&amp;E / total assets. Asset tangibility determines the scope for collateralised financing and the share of investment that is lumpy and irreversible.</w:t>
      </w:r>
    </w:p>
    <w:p>
      <w:pPr>
        <w:pStyle w:val="Compact"/>
        <w:numPr>
          <w:ilvl w:val="0"/>
          <w:numId w:val="1003"/>
        </w:numPr>
      </w:pPr>
      <w:r>
        <w:rPr>
          <w:b/>
          <w:bCs/>
        </w:rPr>
        <w:t xml:space="preserve">LOSS</w:t>
      </w:r>
      <w:r>
        <w:t xml:space="preserve">: 1 if operating income is negative, 0 otherwise. Loss firms face tighter financing constraints and are more likely to cut investment.</w:t>
      </w:r>
    </w:p>
    <w:p>
      <w:pPr>
        <w:pStyle w:val="Compact"/>
        <w:numPr>
          <w:ilvl w:val="0"/>
          <w:numId w:val="1003"/>
        </w:numPr>
      </w:pPr>
      <w:r>
        <w:rPr>
          <w:b/>
          <w:bCs/>
        </w:rPr>
        <w:t xml:space="preserve">σ(CFO)</w:t>
      </w:r>
      <w:r>
        <w:t xml:space="preserve">: standard deviation of CFO / TA over t−3 to t−1. Volatile operating cash flows raise the cost of external finance and make investment harder to plan.</w:t>
      </w:r>
    </w:p>
    <w:p>
      <w:pPr>
        <w:pStyle w:val="Compact"/>
        <w:numPr>
          <w:ilvl w:val="0"/>
          <w:numId w:val="1003"/>
        </w:numPr>
      </w:pPr>
      <w:r>
        <w:rPr>
          <w:b/>
          <w:bCs/>
        </w:rPr>
        <w:t xml:space="preserve">σ(Sales)</w:t>
      </w:r>
      <w:r>
        <w:t xml:space="preserve">: standard deviation of Sales / TA over t−3 to t−1. Volatile demand reduces the accuracy of the expectation model, Eq. (1), and therefore the size of the residual.</w:t>
      </w:r>
    </w:p>
    <w:p>
      <w:pPr>
        <w:pStyle w:val="FirstParagraph"/>
      </w:pPr>
      <w:r>
        <w:t xml:space="preserve">The control set reproduces the firm-level controls of Biddle et al. (2009) that can be built from the data available for TSE firms; Z-score, dividend payout, slack and operating cycle are not included because the required items are not available. All controls are measured at t−1, as in Biddle et al. (2009); the volatility measures use the three years ending at t−1. Current-year size and profitability are mechanically affected by the investment being explained (new assets raise total assets in the same year), so contemporaneous controls would be endogenous. All models include year dummies (ν</w:t>
      </w:r>
      <w:r>
        <w:rPr>
          <w:vertAlign w:val="subscript"/>
        </w:rPr>
        <w:t xml:space="preserve">t</w:t>
      </w:r>
      <w:r>
        <w:t xml:space="preserve">) and industry dummies (λ</w:t>
      </w:r>
      <w:r>
        <w:rPr>
          <w:vertAlign w:val="subscript"/>
        </w:rPr>
        <w:t xml:space="preserve">j</w:t>
      </w:r>
      <w:r>
        <w:t xml:space="preserve">); Section 3.8 explains how each is identified. Firm age and inflation are not used as controls in the investment models. Inflation is constant across firms within a year and is perfectly collinear with the year dummies. Age increases by exactly one each year, so its first difference is collinear with the year dummies in the differenced GMM equation. Age enters only the levels equation of the GMM system (Section 3.8), and inflation enters the analysis through the target leverage model, Eq. (2). Appendix A defines every variable.</w:t>
      </w:r>
    </w:p>
    <w:bookmarkEnd w:id="14"/>
    <w:bookmarkStart w:id="19" w:name="empirical-models"/>
    <w:p>
      <w:pPr>
        <w:pStyle w:val="Heading2"/>
      </w:pPr>
      <w:r>
        <w:t xml:space="preserve">3.7 Empirical Models</w:t>
      </w:r>
    </w:p>
    <w:p>
      <w:pPr>
        <w:pStyle w:val="FirstParagraph"/>
      </w:pPr>
      <w:r>
        <w:t xml:space="preserve">Each hypothesis is tested with its own dynamic panel model, and each prediction is stated as a sign restriction on a named coefficient. Because InvEff is signed, a negative coefficient indicates a shift toward under-investment and a positive coefficient a shift toward over-investment. In all equations, X is the vector of controls (LTA, MTB, PROFIT, FCF, TANG, LOSS, σ(CFO), σ(Sales)) measured at t−1, η</w:t>
      </w:r>
      <w:r>
        <w:rPr>
          <w:vertAlign w:val="subscript"/>
        </w:rPr>
        <w:t xml:space="preserve">i</w:t>
      </w:r>
      <w:r>
        <w:t xml:space="preserve"> </w:t>
      </w:r>
      <w:r>
        <w:t xml:space="preserve">is the unobserved firm effect, ν</w:t>
      </w:r>
      <w:r>
        <w:rPr>
          <w:vertAlign w:val="subscript"/>
        </w:rPr>
        <w:t xml:space="preserve">t</w:t>
      </w:r>
      <w:r>
        <w:t xml:space="preserve"> </w:t>
      </w:r>
      <w:r>
        <w:t xml:space="preserve">are year dummies, λ</w:t>
      </w:r>
      <w:r>
        <w:rPr>
          <w:vertAlign w:val="subscript"/>
        </w:rPr>
        <w:t xml:space="preserve">j</w:t>
      </w:r>
      <w:r>
        <w:t xml:space="preserve"> </w:t>
      </w:r>
      <w:r>
        <w:t xml:space="preserve">are industry dummies and ε is the idiosyncratic error.</w:t>
      </w:r>
    </w:p>
    <w:p>
      <w:pPr>
        <w:pStyle w:val="BodyText"/>
      </w:pPr>
      <w:r>
        <w:rPr>
          <w:b/>
          <w:bCs/>
        </w:rPr>
        <w:t xml:space="preserve">Timing.</w:t>
      </w:r>
      <w:r>
        <w:t xml:space="preserve"> </w:t>
      </w:r>
      <w:r>
        <w:t xml:space="preserve">Capital structure deviation and managerial ability enter every model at t−1, the start of the year in which the investment is made. The hypotheses concern the effect of a firm’s position relative to its target on the investment decisions that follow: debt overhang (Myers, 1977) constrains the investment of a firm that is already over-leveraged, and free cash flow (Jensen, 1986) is available to the managers of a firm that is already under-leveraged. Measured in year t, the deviation would partly reflect the financing of the investment being explained: investment financed with new debt raises TDA</w:t>
      </w:r>
      <w:r>
        <w:rPr>
          <w:vertAlign w:val="subscript"/>
        </w:rPr>
        <w:t xml:space="preserve">t</w:t>
      </w:r>
      <w:r>
        <w:t xml:space="preserve"> </w:t>
      </w:r>
      <w:r>
        <w:t xml:space="preserve">and therefore CSD⁺</w:t>
      </w:r>
      <w:r>
        <w:rPr>
          <w:vertAlign w:val="subscript"/>
        </w:rPr>
        <w:t xml:space="preserve">t</w:t>
      </w:r>
      <w:r>
        <w:t xml:space="preserve"> </w:t>
      </w:r>
      <w:r>
        <w:t xml:space="preserve">in the same year, which creates a positive mechanical relation that works against H1a. The same argument applies to MA, whose DEA inputs and output (cost of goods sold, SG&amp;A and sales) move with current-year investment. Measuring both at t−1 matches the timing of the life-cycle stage (Section 3.4) and of the controls (Section 3.6), so every explanatory variable is observed before the investment year begins. The contemporaneous specification is reported as robustness test R4.</w:t>
      </w:r>
    </w:p>
    <w:bookmarkStart w:id="15" w:name="X3083588f728d44c3e377ccffda16ca22702e55f"/>
    <w:p>
      <w:pPr>
        <w:pStyle w:val="Heading3"/>
      </w:pPr>
      <w:r>
        <w:t xml:space="preserve">3.7.1 Direct effects of capital structure deviation (H1a, H1b)</w:t>
      </w:r>
    </w:p>
    <w:p>
      <w:pPr>
        <w:pStyle w:val="FirstParagraph"/>
      </w:pPr>
      <w:r>
        <w:t xml:space="preserve">Each direct-effect hypothesis is tested in its own model. H1a is tested with:</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sSub>
            <m:e>
              <m:r>
                <m:t>γ</m:t>
              </m:r>
            </m:e>
            <m:sub>
              <m:r>
                <m:t>0</m:t>
              </m:r>
            </m:sub>
          </m:sSub>
          <m:r>
            <m:rPr>
              <m:sty m:val="p"/>
            </m:rPr>
            <m:t>+</m:t>
          </m:r>
          <m:sSub>
            <m:e>
              <m:r>
                <m:t>γ</m:t>
              </m:r>
            </m:e>
            <m:sub>
              <m:r>
                <m:t>1</m:t>
              </m:r>
            </m:sub>
          </m:sSub>
          <m:r>
            <m:t>I</m:t>
          </m:r>
          <m:r>
            <m:t>n</m:t>
          </m:r>
          <m:r>
            <m:t>v</m:t>
          </m:r>
          <m:r>
            <m:t>E</m:t>
          </m:r>
          <m:r>
            <m:t>f</m:t>
          </m:r>
          <m:sSub>
            <m:e>
              <m:r>
                <m:t>f</m:t>
              </m:r>
            </m:e>
            <m:sub>
              <m:r>
                <m:t>i</m:t>
              </m:r>
              <m:r>
                <m:rPr>
                  <m:sty m:val="p"/>
                </m:rPr>
                <m:t>,</m:t>
              </m:r>
              <m:r>
                <m:t>t</m:t>
              </m:r>
              <m:r>
                <m:rPr>
                  <m:sty m:val="p"/>
                </m:rPr>
                <m:t>−</m:t>
              </m:r>
              <m:r>
                <m:t>1</m:t>
              </m:r>
            </m:sub>
          </m:sSub>
          <m:r>
            <m:rPr>
              <m:sty m:val="p"/>
            </m:rPr>
            <m:t>+</m:t>
          </m:r>
          <m:sSub>
            <m:e>
              <m:r>
                <m:t>β</m:t>
              </m:r>
            </m:e>
            <m:sub>
              <m:r>
                <m:t>1</m:t>
              </m:r>
            </m:sub>
          </m:sSub>
          <m:r>
            <m:t>C</m:t>
          </m:r>
          <m:r>
            <m:t>S</m:t>
          </m:r>
          <m:sSubSup>
            <m:e>
              <m:r>
                <m:t>D</m:t>
              </m:r>
            </m:e>
            <m:sub>
              <m:r>
                <m:t>i</m:t>
              </m:r>
              <m:r>
                <m:rPr>
                  <m:sty m:val="p"/>
                </m:rPr>
                <m:t>,</m:t>
              </m:r>
              <m:r>
                <m:t>t</m:t>
              </m:r>
              <m:r>
                <m:rPr>
                  <m:sty m:val="p"/>
                </m:rPr>
                <m:t>−</m:t>
              </m:r>
              <m:r>
                <m:t>1</m:t>
              </m:r>
            </m:sub>
            <m:sup>
              <m:r>
                <m:rPr>
                  <m:sty m:val="p"/>
                </m:rPr>
                <m:t>+</m:t>
              </m:r>
            </m:sup>
          </m:sSubSup>
          <m:r>
            <m:rPr>
              <m:sty m:val="p"/>
            </m:rPr>
            <m:t>+</m:t>
          </m:r>
          <m:r>
            <m:t>ϕ</m:t>
          </m:r>
          <m:r>
            <m:t> </m:t>
          </m:r>
          <m:r>
            <m:t>U</m:t>
          </m:r>
          <m:r>
            <m:t>N</m:t>
          </m:r>
          <m:r>
            <m:t>D</m:t>
          </m:r>
          <m:r>
            <m:t>E</m:t>
          </m:r>
          <m:sSub>
            <m:e>
              <m:r>
                <m:t>R</m:t>
              </m:r>
            </m:e>
            <m:sub>
              <m:r>
                <m:t>i</m:t>
              </m:r>
              <m:r>
                <m:rPr>
                  <m:sty m:val="p"/>
                </m:rPr>
                <m:t>,</m:t>
              </m:r>
              <m:r>
                <m:t>t</m:t>
              </m:r>
              <m:r>
                <m:rPr>
                  <m:sty m:val="p"/>
                </m:rPr>
                <m:t>−</m:t>
              </m:r>
              <m:r>
                <m:t>1</m:t>
              </m:r>
            </m:sub>
          </m:sSub>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λ</m:t>
              </m:r>
            </m:e>
            <m:sub>
              <m:r>
                <m:t>j</m:t>
              </m:r>
            </m:sub>
          </m:sSub>
          <m:r>
            <m:rPr>
              <m:sty m:val="p"/>
            </m:rPr>
            <m:t>+</m:t>
          </m:r>
          <m:sSub>
            <m:e>
              <m:r>
                <m:t>ε</m:t>
              </m:r>
            </m:e>
            <m:sub>
              <m:r>
                <m:t>i</m:t>
              </m:r>
              <m:r>
                <m:rPr>
                  <m:sty m:val="p"/>
                </m:rPr>
                <m:t>,</m:t>
              </m:r>
              <m:r>
                <m:t>t</m:t>
              </m:r>
            </m:sub>
          </m:sSub>
          <m:r>
            <m:t>  </m:t>
          </m:r>
          <m:r>
            <m:rPr>
              <m:sty m:val="p"/>
            </m:rPr>
            <m:t>(</m:t>
          </m:r>
          <m:r>
            <m:t>6</m:t>
          </m:r>
          <m:r>
            <m:t>a</m:t>
          </m:r>
          <m:r>
            <m:rPr>
              <m:sty m:val="p"/>
            </m:rPr>
            <m:t>)</m:t>
          </m:r>
        </m:oMath>
      </m:oMathPara>
    </w:p>
    <w:p>
      <w:pPr>
        <w:pStyle w:val="FirstParagraph"/>
      </w:pPr>
      <w:r>
        <w:t xml:space="preserve">H1b is tested with:</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sSub>
            <m:e>
              <m:r>
                <m:t>γ</m:t>
              </m:r>
            </m:e>
            <m:sub>
              <m:r>
                <m:t>0</m:t>
              </m:r>
            </m:sub>
          </m:sSub>
          <m:r>
            <m:rPr>
              <m:sty m:val="p"/>
            </m:rPr>
            <m:t>+</m:t>
          </m:r>
          <m:sSub>
            <m:e>
              <m:r>
                <m:t>γ</m:t>
              </m:r>
            </m:e>
            <m:sub>
              <m:r>
                <m:t>1</m:t>
              </m:r>
            </m:sub>
          </m:sSub>
          <m:r>
            <m:t>I</m:t>
          </m:r>
          <m:r>
            <m:t>n</m:t>
          </m:r>
          <m:r>
            <m:t>v</m:t>
          </m:r>
          <m:r>
            <m:t>E</m:t>
          </m:r>
          <m:r>
            <m:t>f</m:t>
          </m:r>
          <m:sSub>
            <m:e>
              <m:r>
                <m:t>f</m:t>
              </m:r>
            </m:e>
            <m:sub>
              <m:r>
                <m:t>i</m:t>
              </m:r>
              <m:r>
                <m:rPr>
                  <m:sty m:val="p"/>
                </m:rPr>
                <m:t>,</m:t>
              </m:r>
              <m:r>
                <m:t>t</m:t>
              </m:r>
              <m:r>
                <m:rPr>
                  <m:sty m:val="p"/>
                </m:rPr>
                <m:t>−</m:t>
              </m:r>
              <m:r>
                <m:t>1</m:t>
              </m:r>
            </m:sub>
          </m:sSub>
          <m:r>
            <m:rPr>
              <m:sty m:val="p"/>
            </m:rPr>
            <m:t>+</m:t>
          </m:r>
          <m:sSub>
            <m:e>
              <m:r>
                <m:t>β</m:t>
              </m:r>
            </m:e>
            <m:sub>
              <m:r>
                <m:t>2</m:t>
              </m:r>
            </m:sub>
          </m:sSub>
          <m:r>
            <m:t>C</m:t>
          </m:r>
          <m:r>
            <m:t>S</m:t>
          </m:r>
          <m:sSubSup>
            <m:e>
              <m:r>
                <m:t>D</m:t>
              </m:r>
            </m:e>
            <m:sub>
              <m:r>
                <m:t>i</m:t>
              </m:r>
              <m:r>
                <m:rPr>
                  <m:sty m:val="p"/>
                </m:rPr>
                <m:t>,</m:t>
              </m:r>
              <m:r>
                <m:t>t</m:t>
              </m:r>
              <m:r>
                <m:rPr>
                  <m:sty m:val="p"/>
                </m:rPr>
                <m:t>−</m:t>
              </m:r>
              <m:r>
                <m:t>1</m:t>
              </m:r>
            </m:sub>
            <m:sup>
              <m:r>
                <m:rPr>
                  <m:sty m:val="p"/>
                </m:rPr>
                <m:t>−</m:t>
              </m:r>
            </m:sup>
          </m:sSubSup>
          <m:r>
            <m:rPr>
              <m:sty m:val="p"/>
            </m:rPr>
            <m:t>+</m:t>
          </m:r>
          <m:r>
            <m:t>ϕ</m:t>
          </m:r>
          <m:r>
            <m:t> </m:t>
          </m:r>
          <m:r>
            <m:t>O</m:t>
          </m:r>
          <m:r>
            <m:t>V</m:t>
          </m:r>
          <m:r>
            <m:t>E</m:t>
          </m:r>
          <m:sSub>
            <m:e>
              <m:r>
                <m:t>R</m:t>
              </m:r>
            </m:e>
            <m:sub>
              <m:r>
                <m:t>i</m:t>
              </m:r>
              <m:r>
                <m:rPr>
                  <m:sty m:val="p"/>
                </m:rPr>
                <m:t>,</m:t>
              </m:r>
              <m:r>
                <m:t>t</m:t>
              </m:r>
              <m:r>
                <m:rPr>
                  <m:sty m:val="p"/>
                </m:rPr>
                <m:t>−</m:t>
              </m:r>
              <m:r>
                <m:t>1</m:t>
              </m:r>
            </m:sub>
          </m:sSub>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λ</m:t>
              </m:r>
            </m:e>
            <m:sub>
              <m:r>
                <m:t>j</m:t>
              </m:r>
            </m:sub>
          </m:sSub>
          <m:r>
            <m:rPr>
              <m:sty m:val="p"/>
            </m:rPr>
            <m:t>+</m:t>
          </m:r>
          <m:sSub>
            <m:e>
              <m:r>
                <m:t>ε</m:t>
              </m:r>
            </m:e>
            <m:sub>
              <m:r>
                <m:t>i</m:t>
              </m:r>
              <m:r>
                <m:rPr>
                  <m:sty m:val="p"/>
                </m:rPr>
                <m:t>,</m:t>
              </m:r>
              <m:r>
                <m:t>t</m:t>
              </m:r>
            </m:sub>
          </m:sSub>
          <m:r>
            <m:t>  </m:t>
          </m:r>
          <m:r>
            <m:rPr>
              <m:sty m:val="p"/>
            </m:rPr>
            <m:t>(</m:t>
          </m:r>
          <m:r>
            <m:t>6</m:t>
          </m:r>
          <m:r>
            <m:t>b</m:t>
          </m:r>
          <m:r>
            <m:rPr>
              <m:sty m:val="p"/>
            </m:rPr>
            <m:t>)</m:t>
          </m:r>
        </m:oMath>
      </m:oMathPara>
    </w:p>
    <w:p>
      <w:pPr>
        <w:pStyle w:val="FirstParagraph"/>
      </w:pPr>
      <w:r>
        <w:t xml:space="preserve">UNDER (OVER) equals 1 for under-leveraged (over-leveraged) firm-years. The indicator absorbs the mean investment of firms on the other side of the target, so the slope on CSD⁺ in Eq. (6a) is identified only from over-leveraged firms, and the slope on CSD⁻ in Eq. (6b) only from under-leveraged firms. Because CSD⁺ is zero for every firm with UNDER = 1 and CSD⁻ is zero for every firm with UNDER = 0, omitting the other side’s slope does not bias the tested coefficient.</w:t>
      </w:r>
    </w:p>
    <w:p>
      <w:pPr>
        <w:pStyle w:val="BodyText"/>
      </w:pPr>
      <w:r>
        <w:t xml:space="preserve">H1a predicts β₁ &lt; 0: the further a firm lies above its target, the further its investment falls below the expected level, consistent with debt overhang (Myers, 1977). H1b predicts β₂ &gt; 0: the further a firm lies below its target, the further its investment rises above the expected level, consistent with free-cash-flow problems when debt discipline is weak (Jensen, 1986).</w:t>
      </w:r>
    </w:p>
    <w:p>
      <w:pPr>
        <w:pStyle w:val="BodyText"/>
      </w:pPr>
      <w:r>
        <w:t xml:space="preserve">Asymmetry, the central claim of the study, compares the two slopes and therefore requires both in one equation:</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sSub>
            <m:e>
              <m:r>
                <m:t>γ</m:t>
              </m:r>
            </m:e>
            <m:sub>
              <m:r>
                <m:t>0</m:t>
              </m:r>
            </m:sub>
          </m:sSub>
          <m:r>
            <m:rPr>
              <m:sty m:val="p"/>
            </m:rPr>
            <m:t>+</m:t>
          </m:r>
          <m:sSub>
            <m:e>
              <m:r>
                <m:t>γ</m:t>
              </m:r>
            </m:e>
            <m:sub>
              <m:r>
                <m:t>1</m:t>
              </m:r>
            </m:sub>
          </m:sSub>
          <m:r>
            <m:t>I</m:t>
          </m:r>
          <m:r>
            <m:t>n</m:t>
          </m:r>
          <m:r>
            <m:t>v</m:t>
          </m:r>
          <m:r>
            <m:t>E</m:t>
          </m:r>
          <m:r>
            <m:t>f</m:t>
          </m:r>
          <m:sSub>
            <m:e>
              <m:r>
                <m:t>f</m:t>
              </m:r>
            </m:e>
            <m:sub>
              <m:r>
                <m:t>i</m:t>
              </m:r>
              <m:r>
                <m:rPr>
                  <m:sty m:val="p"/>
                </m:rPr>
                <m:t>,</m:t>
              </m:r>
              <m:r>
                <m:t>t</m:t>
              </m:r>
              <m:r>
                <m:rPr>
                  <m:sty m:val="p"/>
                </m:rPr>
                <m:t>−</m:t>
              </m:r>
              <m:r>
                <m:t>1</m:t>
              </m:r>
            </m:sub>
          </m:sSub>
          <m:r>
            <m:rPr>
              <m:sty m:val="p"/>
            </m:rPr>
            <m:t>+</m:t>
          </m:r>
          <m:sSub>
            <m:e>
              <m:r>
                <m:t>β</m:t>
              </m:r>
            </m:e>
            <m:sub>
              <m:r>
                <m:t>1</m:t>
              </m:r>
            </m:sub>
          </m:sSub>
          <m:r>
            <m:t>C</m:t>
          </m:r>
          <m:r>
            <m:t>S</m:t>
          </m:r>
          <m:sSubSup>
            <m:e>
              <m:r>
                <m:t>D</m:t>
              </m:r>
            </m:e>
            <m:sub>
              <m:r>
                <m:t>i</m:t>
              </m:r>
              <m:r>
                <m:rPr>
                  <m:sty m:val="p"/>
                </m:rPr>
                <m:t>,</m:t>
              </m:r>
              <m:r>
                <m:t>t</m:t>
              </m:r>
              <m:r>
                <m:rPr>
                  <m:sty m:val="p"/>
                </m:rPr>
                <m:t>−</m:t>
              </m:r>
              <m:r>
                <m:t>1</m:t>
              </m:r>
            </m:sub>
            <m:sup>
              <m:r>
                <m:rPr>
                  <m:sty m:val="p"/>
                </m:rPr>
                <m:t>+</m:t>
              </m:r>
            </m:sup>
          </m:sSubSup>
          <m:r>
            <m:rPr>
              <m:sty m:val="p"/>
            </m:rPr>
            <m:t>+</m:t>
          </m:r>
          <m:sSub>
            <m:e>
              <m:r>
                <m:t>β</m:t>
              </m:r>
            </m:e>
            <m:sub>
              <m:r>
                <m:t>2</m:t>
              </m:r>
            </m:sub>
          </m:sSub>
          <m:r>
            <m:t>C</m:t>
          </m:r>
          <m:r>
            <m:t>S</m:t>
          </m:r>
          <m:sSubSup>
            <m:e>
              <m:r>
                <m:t>D</m:t>
              </m:r>
            </m:e>
            <m:sub>
              <m:r>
                <m:t>i</m:t>
              </m:r>
              <m:r>
                <m:rPr>
                  <m:sty m:val="p"/>
                </m:rPr>
                <m:t>,</m:t>
              </m:r>
              <m:r>
                <m:t>t</m:t>
              </m:r>
              <m:r>
                <m:rPr>
                  <m:sty m:val="p"/>
                </m:rPr>
                <m:t>−</m:t>
              </m:r>
              <m:r>
                <m:t>1</m:t>
              </m:r>
            </m:sub>
            <m:sup>
              <m:r>
                <m:rPr>
                  <m:sty m:val="p"/>
                </m:rPr>
                <m:t>−</m:t>
              </m:r>
            </m:sup>
          </m:sSubSup>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λ</m:t>
              </m:r>
            </m:e>
            <m:sub>
              <m:r>
                <m:t>j</m:t>
              </m:r>
            </m:sub>
          </m:sSub>
          <m:r>
            <m:rPr>
              <m:sty m:val="p"/>
            </m:rPr>
            <m:t>+</m:t>
          </m:r>
          <m:sSub>
            <m:e>
              <m:r>
                <m:t>ε</m:t>
              </m:r>
            </m:e>
            <m:sub>
              <m:r>
                <m:t>i</m:t>
              </m:r>
              <m:r>
                <m:rPr>
                  <m:sty m:val="p"/>
                </m:rPr>
                <m:t>,</m:t>
              </m:r>
              <m:r>
                <m:t>t</m:t>
              </m:r>
            </m:sub>
          </m:sSub>
          <m:r>
            <m:t>  </m:t>
          </m:r>
          <m:r>
            <m:rPr>
              <m:sty m:val="p"/>
            </m:rPr>
            <m:t>(</m:t>
          </m:r>
          <m:r>
            <m:t>6</m:t>
          </m:r>
          <m:r>
            <m:rPr>
              <m:sty m:val="p"/>
            </m:rPr>
            <m:t>)</m:t>
          </m:r>
        </m:oMath>
      </m:oMathPara>
    </w:p>
    <w:p>
      <w:pPr>
        <w:pStyle w:val="FirstParagraph"/>
      </w:pPr>
      <w:r>
        <w:t xml:space="preserve">Asymmetry is tested with a Wald test of β₁ + β₂ = 0 in Eq. (6).</w:t>
      </w:r>
    </w:p>
    <w:bookmarkEnd w:id="15"/>
    <w:bookmarkStart w:id="16" w:name="life-cycle-moderation-h2a-h2b"/>
    <w:p>
      <w:pPr>
        <w:pStyle w:val="Heading3"/>
      </w:pPr>
      <w:r>
        <w:t xml:space="preserve">3.7.2 Life-cycle moderation (H2a, H2b)</w:t>
      </w:r>
    </w:p>
    <w:p>
      <w:pPr>
        <w:pStyle w:val="FirstParagraph"/>
      </w:pPr>
      <w:r>
        <w:t xml:space="preserve">H2a is tested with maturity as the reference stage:</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sSub>
            <m:e>
              <m:r>
                <m:t>γ</m:t>
              </m:r>
            </m:e>
            <m:sub>
              <m:r>
                <m:t>0</m:t>
              </m:r>
            </m:sub>
          </m:sSub>
          <m:r>
            <m:rPr>
              <m:sty m:val="p"/>
            </m:rPr>
            <m:t>+</m:t>
          </m:r>
          <m:sSub>
            <m:e>
              <m:r>
                <m:t>γ</m:t>
              </m:r>
            </m:e>
            <m:sub>
              <m:r>
                <m:t>1</m:t>
              </m:r>
            </m:sub>
          </m:sSub>
          <m:r>
            <m:t>I</m:t>
          </m:r>
          <m:r>
            <m:t>n</m:t>
          </m:r>
          <m:r>
            <m:t>v</m:t>
          </m:r>
          <m:r>
            <m:t>E</m:t>
          </m:r>
          <m:r>
            <m:t>f</m:t>
          </m:r>
          <m:sSub>
            <m:e>
              <m:r>
                <m:t>f</m:t>
              </m:r>
            </m:e>
            <m:sub>
              <m:r>
                <m:t>i</m:t>
              </m:r>
              <m:r>
                <m:rPr>
                  <m:sty m:val="p"/>
                </m:rPr>
                <m:t>,</m:t>
              </m:r>
              <m:r>
                <m:t>t</m:t>
              </m:r>
              <m:r>
                <m:rPr>
                  <m:sty m:val="p"/>
                </m:rPr>
                <m:t>−</m:t>
              </m:r>
              <m:r>
                <m:t>1</m:t>
              </m:r>
            </m:sub>
          </m:sSub>
          <m:r>
            <m:rPr>
              <m:sty m:val="p"/>
            </m:rPr>
            <m:t>+</m:t>
          </m:r>
          <m:sSub>
            <m:e>
              <m:r>
                <m:t>β</m:t>
              </m:r>
            </m:e>
            <m:sub>
              <m:r>
                <m:t>1</m:t>
              </m:r>
            </m:sub>
          </m:sSub>
          <m:r>
            <m:t>C</m:t>
          </m:r>
          <m:r>
            <m:t>S</m:t>
          </m:r>
          <m:sSubSup>
            <m:e>
              <m:r>
                <m:t>D</m:t>
              </m:r>
            </m:e>
            <m:sub>
              <m:r>
                <m:t>i</m:t>
              </m:r>
              <m:r>
                <m:rPr>
                  <m:sty m:val="p"/>
                </m:rPr>
                <m:t>,</m:t>
              </m:r>
              <m:r>
                <m:t>t</m:t>
              </m:r>
              <m:r>
                <m:rPr>
                  <m:sty m:val="p"/>
                </m:rPr>
                <m:t>−</m:t>
              </m:r>
              <m:r>
                <m:t>1</m:t>
              </m:r>
            </m:sub>
            <m:sup>
              <m:r>
                <m:rPr>
                  <m:sty m:val="p"/>
                </m:rPr>
                <m:t>+</m:t>
              </m:r>
            </m:sup>
          </m:sSubSup>
          <m:r>
            <m:rPr>
              <m:sty m:val="p"/>
            </m:rPr>
            <m:t>+</m:t>
          </m:r>
          <m:sSub>
            <m:e>
              <m:r>
                <m:t>β</m:t>
              </m:r>
            </m:e>
            <m:sub>
              <m:r>
                <m:t>2</m:t>
              </m:r>
            </m:sub>
          </m:sSub>
          <m:r>
            <m:t>C</m:t>
          </m:r>
          <m:r>
            <m:t>S</m:t>
          </m:r>
          <m:sSubSup>
            <m:e>
              <m:r>
                <m:t>D</m:t>
              </m:r>
            </m:e>
            <m:sub>
              <m:r>
                <m:t>i</m:t>
              </m:r>
              <m:r>
                <m:rPr>
                  <m:sty m:val="p"/>
                </m:rPr>
                <m:t>,</m:t>
              </m:r>
              <m:r>
                <m:t>t</m:t>
              </m:r>
              <m:r>
                <m:rPr>
                  <m:sty m:val="p"/>
                </m:rPr>
                <m:t>−</m:t>
              </m:r>
              <m:r>
                <m:t>1</m:t>
              </m:r>
            </m:sub>
            <m:sup>
              <m:r>
                <m:rPr>
                  <m:sty m:val="p"/>
                </m:rPr>
                <m:t>−</m:t>
              </m:r>
            </m:sup>
          </m:sSubSup>
          <m:r>
            <m:rPr>
              <m:sty m:val="p"/>
            </m:rPr>
            <m:t>+</m:t>
          </m:r>
          <m:sSub>
            <m:e>
              <m:r>
                <m:t>ϕ</m:t>
              </m:r>
            </m:e>
            <m:sub>
              <m:r>
                <m:t>1</m:t>
              </m:r>
            </m:sub>
          </m:sSub>
          <m:r>
            <m:t>G</m:t>
          </m:r>
          <m:r>
            <m:t>R</m:t>
          </m:r>
          <m:r>
            <m:t>O</m:t>
          </m:r>
          <m:sSub>
            <m:e>
              <m:r>
                <m:t>W</m:t>
              </m:r>
            </m:e>
            <m:sub>
              <m:r>
                <m:t>i</m:t>
              </m:r>
              <m:r>
                <m:rPr>
                  <m:sty m:val="p"/>
                </m:rPr>
                <m:t>,</m:t>
              </m:r>
              <m:r>
                <m:t>t</m:t>
              </m:r>
              <m:r>
                <m:rPr>
                  <m:sty m:val="p"/>
                </m:rPr>
                <m:t>−</m:t>
              </m:r>
              <m:r>
                <m:t>1</m:t>
              </m:r>
            </m:sub>
          </m:sSub>
          <m:r>
            <m:rPr>
              <m:sty m:val="p"/>
            </m:rPr>
            <m:t>+</m:t>
          </m:r>
          <m:sSub>
            <m:e>
              <m:r>
                <m:t>ϕ</m:t>
              </m:r>
            </m:e>
            <m:sub>
              <m:r>
                <m:t>2</m:t>
              </m:r>
            </m:sub>
          </m:sSub>
          <m:r>
            <m:t>D</m:t>
          </m:r>
          <m:r>
            <m:t>E</m:t>
          </m:r>
          <m:sSub>
            <m:e>
              <m:r>
                <m:t>C</m:t>
              </m:r>
            </m:e>
            <m:sub>
              <m:r>
                <m:t>i</m:t>
              </m:r>
              <m:r>
                <m:rPr>
                  <m:sty m:val="p"/>
                </m:rPr>
                <m:t>,</m:t>
              </m:r>
              <m:r>
                <m:t>t</m:t>
              </m:r>
              <m:r>
                <m:rPr>
                  <m:sty m:val="p"/>
                </m:rPr>
                <m:t>−</m:t>
              </m:r>
              <m:r>
                <m:t>1</m:t>
              </m:r>
            </m:sub>
          </m:sSub>
          <m:r>
            <m:rPr>
              <m:sty m:val="p"/>
            </m:rPr>
            <m:t>+</m:t>
          </m:r>
          <m:sSub>
            <m:e>
              <m:r>
                <m:t>β</m:t>
              </m:r>
            </m:e>
            <m:sub>
              <m:r>
                <m:t>3</m:t>
              </m:r>
            </m:sub>
          </m:sSub>
          <m:r>
            <m:t> </m:t>
          </m:r>
          <m:r>
            <m:t>C</m:t>
          </m:r>
          <m:r>
            <m:t>S</m:t>
          </m:r>
          <m:sSubSup>
            <m:e>
              <m:r>
                <m:t>D</m:t>
              </m:r>
            </m:e>
            <m:sub>
              <m:r>
                <m:t>i</m:t>
              </m:r>
              <m:r>
                <m:rPr>
                  <m:sty m:val="p"/>
                </m:rPr>
                <m:t>,</m:t>
              </m:r>
              <m:r>
                <m:t>t</m:t>
              </m:r>
              <m:r>
                <m:rPr>
                  <m:sty m:val="p"/>
                </m:rPr>
                <m:t>−</m:t>
              </m:r>
              <m:r>
                <m:t>1</m:t>
              </m:r>
            </m:sub>
            <m:sup>
              <m:r>
                <m:rPr>
                  <m:sty m:val="p"/>
                </m:rPr>
                <m:t>+</m:t>
              </m:r>
            </m:sup>
          </m:sSubSup>
          <m:r>
            <m:rPr>
              <m:sty m:val="p"/>
            </m:rPr>
            <m:t>×</m:t>
          </m:r>
          <m:r>
            <m:t>G</m:t>
          </m:r>
          <m:r>
            <m:t>R</m:t>
          </m:r>
          <m:r>
            <m:t>O</m:t>
          </m:r>
          <m:sSub>
            <m:e>
              <m:r>
                <m:t>W</m:t>
              </m:r>
            </m:e>
            <m:sub>
              <m:r>
                <m:t>i</m:t>
              </m:r>
              <m:r>
                <m:rPr>
                  <m:sty m:val="p"/>
                </m:rPr>
                <m:t>,</m:t>
              </m:r>
              <m:r>
                <m:t>t</m:t>
              </m:r>
              <m:r>
                <m:rPr>
                  <m:sty m:val="p"/>
                </m:rPr>
                <m:t>−</m:t>
              </m:r>
              <m:r>
                <m:t>1</m:t>
              </m:r>
            </m:sub>
          </m:sSub>
          <m:r>
            <m:rPr>
              <m:sty m:val="p"/>
            </m:rPr>
            <m:t>+</m:t>
          </m:r>
          <m:sSub>
            <m:e>
              <m:r>
                <m:t>β</m:t>
              </m:r>
            </m:e>
            <m:sub>
              <m:r>
                <m:t>4</m:t>
              </m:r>
            </m:sub>
          </m:sSub>
          <m:r>
            <m:t> </m:t>
          </m:r>
          <m:r>
            <m:t>C</m:t>
          </m:r>
          <m:r>
            <m:t>S</m:t>
          </m:r>
          <m:sSubSup>
            <m:e>
              <m:r>
                <m:t>D</m:t>
              </m:r>
            </m:e>
            <m:sub>
              <m:r>
                <m:t>i</m:t>
              </m:r>
              <m:r>
                <m:rPr>
                  <m:sty m:val="p"/>
                </m:rPr>
                <m:t>,</m:t>
              </m:r>
              <m:r>
                <m:t>t</m:t>
              </m:r>
              <m:r>
                <m:rPr>
                  <m:sty m:val="p"/>
                </m:rPr>
                <m:t>−</m:t>
              </m:r>
              <m:r>
                <m:t>1</m:t>
              </m:r>
            </m:sub>
            <m:sup>
              <m:r>
                <m:rPr>
                  <m:sty m:val="p"/>
                </m:rPr>
                <m:t>+</m:t>
              </m:r>
            </m:sup>
          </m:sSubSup>
          <m:r>
            <m:rPr>
              <m:sty m:val="p"/>
            </m:rPr>
            <m:t>×</m:t>
          </m:r>
          <m:r>
            <m:t>D</m:t>
          </m:r>
          <m:r>
            <m:t>E</m:t>
          </m:r>
          <m:sSub>
            <m:e>
              <m:r>
                <m:t>C</m:t>
              </m:r>
            </m:e>
            <m:sub>
              <m:r>
                <m:t>i</m:t>
              </m:r>
              <m:r>
                <m:rPr>
                  <m:sty m:val="p"/>
                </m:rPr>
                <m:t>,</m:t>
              </m:r>
              <m:r>
                <m:t>t</m:t>
              </m:r>
              <m:r>
                <m:rPr>
                  <m:sty m:val="p"/>
                </m:rPr>
                <m:t>−</m:t>
              </m:r>
              <m:r>
                <m:t>1</m:t>
              </m:r>
            </m:sub>
          </m:sSub>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λ</m:t>
              </m:r>
            </m:e>
            <m:sub>
              <m:r>
                <m:t>j</m:t>
              </m:r>
            </m:sub>
          </m:sSub>
          <m:r>
            <m:rPr>
              <m:sty m:val="p"/>
            </m:rPr>
            <m:t>+</m:t>
          </m:r>
          <m:sSub>
            <m:e>
              <m:r>
                <m:t>ε</m:t>
              </m:r>
            </m:e>
            <m:sub>
              <m:r>
                <m:t>i</m:t>
              </m:r>
              <m:r>
                <m:rPr>
                  <m:sty m:val="p"/>
                </m:rPr>
                <m:t>,</m:t>
              </m:r>
              <m:r>
                <m:t>t</m:t>
              </m:r>
            </m:sub>
          </m:sSub>
          <m:r>
            <m:t>  </m:t>
          </m:r>
          <m:r>
            <m:rPr>
              <m:sty m:val="p"/>
            </m:rPr>
            <m:t>(</m:t>
          </m:r>
          <m:r>
            <m:t>7</m:t>
          </m:r>
          <m:r>
            <m:rPr>
              <m:sty m:val="p"/>
            </m:rPr>
            <m:t>)</m:t>
          </m:r>
        </m:oMath>
      </m:oMathPara>
    </w:p>
    <w:p>
      <w:pPr>
        <w:pStyle w:val="FirstParagraph"/>
      </w:pPr>
      <w:r>
        <w:t xml:space="preserve">Here β₁ is the effect of over-leverage in maturity. H2a predicts β₃ &lt; 0 and β₄ &lt; 0, so that the effect is more negative in growth (β₁ + β₃) and in decline (β₁ + β₄) than in maturity. A joint Wald test of β₃ = β₄ = 0 is also reported.</w:t>
      </w:r>
    </w:p>
    <w:p>
      <w:pPr>
        <w:pStyle w:val="BodyText"/>
      </w:pPr>
      <w:r>
        <w:t xml:space="preserve">H2b is tested with growth and decline together as the reference:</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sSub>
            <m:e>
              <m:r>
                <m:t>γ</m:t>
              </m:r>
            </m:e>
            <m:sub>
              <m:r>
                <m:t>0</m:t>
              </m:r>
            </m:sub>
          </m:sSub>
          <m:r>
            <m:rPr>
              <m:sty m:val="p"/>
            </m:rPr>
            <m:t>+</m:t>
          </m:r>
          <m:sSub>
            <m:e>
              <m:r>
                <m:t>γ</m:t>
              </m:r>
            </m:e>
            <m:sub>
              <m:r>
                <m:t>1</m:t>
              </m:r>
            </m:sub>
          </m:sSub>
          <m:r>
            <m:t>I</m:t>
          </m:r>
          <m:r>
            <m:t>n</m:t>
          </m:r>
          <m:r>
            <m:t>v</m:t>
          </m:r>
          <m:r>
            <m:t>E</m:t>
          </m:r>
          <m:r>
            <m:t>f</m:t>
          </m:r>
          <m:sSub>
            <m:e>
              <m:r>
                <m:t>f</m:t>
              </m:r>
            </m:e>
            <m:sub>
              <m:r>
                <m:t>i</m:t>
              </m:r>
              <m:r>
                <m:rPr>
                  <m:sty m:val="p"/>
                </m:rPr>
                <m:t>,</m:t>
              </m:r>
              <m:r>
                <m:t>t</m:t>
              </m:r>
              <m:r>
                <m:rPr>
                  <m:sty m:val="p"/>
                </m:rPr>
                <m:t>−</m:t>
              </m:r>
              <m:r>
                <m:t>1</m:t>
              </m:r>
            </m:sub>
          </m:sSub>
          <m:r>
            <m:rPr>
              <m:sty m:val="p"/>
            </m:rPr>
            <m:t>+</m:t>
          </m:r>
          <m:sSub>
            <m:e>
              <m:r>
                <m:t>β</m:t>
              </m:r>
            </m:e>
            <m:sub>
              <m:r>
                <m:t>1</m:t>
              </m:r>
            </m:sub>
          </m:sSub>
          <m:r>
            <m:t>C</m:t>
          </m:r>
          <m:r>
            <m:t>S</m:t>
          </m:r>
          <m:sSubSup>
            <m:e>
              <m:r>
                <m:t>D</m:t>
              </m:r>
            </m:e>
            <m:sub>
              <m:r>
                <m:t>i</m:t>
              </m:r>
              <m:r>
                <m:rPr>
                  <m:sty m:val="p"/>
                </m:rPr>
                <m:t>,</m:t>
              </m:r>
              <m:r>
                <m:t>t</m:t>
              </m:r>
              <m:r>
                <m:rPr>
                  <m:sty m:val="p"/>
                </m:rPr>
                <m:t>−</m:t>
              </m:r>
              <m:r>
                <m:t>1</m:t>
              </m:r>
            </m:sub>
            <m:sup>
              <m:r>
                <m:rPr>
                  <m:sty m:val="p"/>
                </m:rPr>
                <m:t>+</m:t>
              </m:r>
            </m:sup>
          </m:sSubSup>
          <m:r>
            <m:rPr>
              <m:sty m:val="p"/>
            </m:rPr>
            <m:t>+</m:t>
          </m:r>
          <m:sSub>
            <m:e>
              <m:r>
                <m:t>β</m:t>
              </m:r>
            </m:e>
            <m:sub>
              <m:r>
                <m:t>2</m:t>
              </m:r>
            </m:sub>
          </m:sSub>
          <m:r>
            <m:t>C</m:t>
          </m:r>
          <m:r>
            <m:t>S</m:t>
          </m:r>
          <m:sSubSup>
            <m:e>
              <m:r>
                <m:t>D</m:t>
              </m:r>
            </m:e>
            <m:sub>
              <m:r>
                <m:t>i</m:t>
              </m:r>
              <m:r>
                <m:rPr>
                  <m:sty m:val="p"/>
                </m:rPr>
                <m:t>,</m:t>
              </m:r>
              <m:r>
                <m:t>t</m:t>
              </m:r>
              <m:r>
                <m:rPr>
                  <m:sty m:val="p"/>
                </m:rPr>
                <m:t>−</m:t>
              </m:r>
              <m:r>
                <m:t>1</m:t>
              </m:r>
            </m:sub>
            <m:sup>
              <m:r>
                <m:rPr>
                  <m:sty m:val="p"/>
                </m:rPr>
                <m:t>−</m:t>
              </m:r>
            </m:sup>
          </m:sSubSup>
          <m:r>
            <m:rPr>
              <m:sty m:val="p"/>
            </m:rPr>
            <m:t>+</m:t>
          </m:r>
          <m:sSub>
            <m:e>
              <m:r>
                <m:t>ϕ</m:t>
              </m:r>
            </m:e>
            <m:sub>
              <m:r>
                <m:t>1</m:t>
              </m:r>
            </m:sub>
          </m:sSub>
          <m:r>
            <m:t>M</m:t>
          </m:r>
          <m:r>
            <m:t>A</m:t>
          </m:r>
          <m:sSub>
            <m:e>
              <m:r>
                <m:t>T</m:t>
              </m:r>
            </m:e>
            <m:sub>
              <m:r>
                <m:t>i</m:t>
              </m:r>
              <m:r>
                <m:rPr>
                  <m:sty m:val="p"/>
                </m:rPr>
                <m:t>,</m:t>
              </m:r>
              <m:r>
                <m:t>t</m:t>
              </m:r>
              <m:r>
                <m:rPr>
                  <m:sty m:val="p"/>
                </m:rPr>
                <m:t>−</m:t>
              </m:r>
              <m:r>
                <m:t>1</m:t>
              </m:r>
            </m:sub>
          </m:sSub>
          <m:r>
            <m:rPr>
              <m:sty m:val="p"/>
            </m:rPr>
            <m:t>+</m:t>
          </m:r>
          <m:sSub>
            <m:e>
              <m:r>
                <m:t>β</m:t>
              </m:r>
            </m:e>
            <m:sub>
              <m:r>
                <m:t>5</m:t>
              </m:r>
            </m:sub>
          </m:sSub>
          <m:r>
            <m:t> </m:t>
          </m:r>
          <m:r>
            <m:t>C</m:t>
          </m:r>
          <m:r>
            <m:t>S</m:t>
          </m:r>
          <m:sSubSup>
            <m:e>
              <m:r>
                <m:t>D</m:t>
              </m:r>
            </m:e>
            <m:sub>
              <m:r>
                <m:t>i</m:t>
              </m:r>
              <m:r>
                <m:rPr>
                  <m:sty m:val="p"/>
                </m:rPr>
                <m:t>,</m:t>
              </m:r>
              <m:r>
                <m:t>t</m:t>
              </m:r>
              <m:r>
                <m:rPr>
                  <m:sty m:val="p"/>
                </m:rPr>
                <m:t>−</m:t>
              </m:r>
              <m:r>
                <m:t>1</m:t>
              </m:r>
            </m:sub>
            <m:sup>
              <m:r>
                <m:rPr>
                  <m:sty m:val="p"/>
                </m:rPr>
                <m:t>−</m:t>
              </m:r>
            </m:sup>
          </m:sSubSup>
          <m:r>
            <m:rPr>
              <m:sty m:val="p"/>
            </m:rPr>
            <m:t>×</m:t>
          </m:r>
          <m:r>
            <m:t>M</m:t>
          </m:r>
          <m:r>
            <m:t>A</m:t>
          </m:r>
          <m:sSub>
            <m:e>
              <m:r>
                <m:t>T</m:t>
              </m:r>
            </m:e>
            <m:sub>
              <m:r>
                <m:t>i</m:t>
              </m:r>
              <m:r>
                <m:rPr>
                  <m:sty m:val="p"/>
                </m:rPr>
                <m:t>,</m:t>
              </m:r>
              <m:r>
                <m:t>t</m:t>
              </m:r>
              <m:r>
                <m:rPr>
                  <m:sty m:val="p"/>
                </m:rPr>
                <m:t>−</m:t>
              </m:r>
              <m:r>
                <m:t>1</m:t>
              </m:r>
            </m:sub>
          </m:sSub>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λ</m:t>
              </m:r>
            </m:e>
            <m:sub>
              <m:r>
                <m:t>j</m:t>
              </m:r>
            </m:sub>
          </m:sSub>
          <m:r>
            <m:rPr>
              <m:sty m:val="p"/>
            </m:rPr>
            <m:t>+</m:t>
          </m:r>
          <m:sSub>
            <m:e>
              <m:r>
                <m:t>ε</m:t>
              </m:r>
            </m:e>
            <m:sub>
              <m:r>
                <m:t>i</m:t>
              </m:r>
              <m:r>
                <m:rPr>
                  <m:sty m:val="p"/>
                </m:rPr>
                <m:t>,</m:t>
              </m:r>
              <m:r>
                <m:t>t</m:t>
              </m:r>
            </m:sub>
          </m:sSub>
          <m:r>
            <m:t>  </m:t>
          </m:r>
          <m:r>
            <m:rPr>
              <m:sty m:val="p"/>
            </m:rPr>
            <m:t>(</m:t>
          </m:r>
          <m:r>
            <m:t>8</m:t>
          </m:r>
          <m:r>
            <m:rPr>
              <m:sty m:val="p"/>
            </m:rPr>
            <m:t>)</m:t>
          </m:r>
        </m:oMath>
      </m:oMathPara>
    </w:p>
    <w:p>
      <w:pPr>
        <w:pStyle w:val="FirstParagraph"/>
      </w:pPr>
      <w:r>
        <w:t xml:space="preserve">H2b predicts β₅ &gt; 0: the over-investment effect of under-leverage is stronger in maturity (β₂ + β₅) than in growth and decline (β₂).</w:t>
      </w:r>
    </w:p>
    <w:bookmarkEnd w:id="16"/>
    <w:bookmarkStart w:id="17" w:name="X420d5b88753e873b4db52d96be6d1de9ec8e292"/>
    <w:p>
      <w:pPr>
        <w:pStyle w:val="Heading3"/>
      </w:pPr>
      <w:r>
        <w:t xml:space="preserve">3.7.3 Managerial ability within the life cycle (H3a, H3b)</w:t>
      </w:r>
    </w:p>
    <w:p>
      <w:pPr>
        <w:pStyle w:val="FirstParagraph"/>
      </w:pPr>
      <w:r>
        <w:t xml:space="preserve">H3a is tested first with a two-way interaction:</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sSub>
            <m:e>
              <m:r>
                <m:t>γ</m:t>
              </m:r>
            </m:e>
            <m:sub>
              <m:r>
                <m:t>0</m:t>
              </m:r>
            </m:sub>
          </m:sSub>
          <m:r>
            <m:rPr>
              <m:sty m:val="p"/>
            </m:rPr>
            <m:t>+</m:t>
          </m:r>
          <m:sSub>
            <m:e>
              <m:r>
                <m:t>γ</m:t>
              </m:r>
            </m:e>
            <m:sub>
              <m:r>
                <m:t>1</m:t>
              </m:r>
            </m:sub>
          </m:sSub>
          <m:r>
            <m:t>I</m:t>
          </m:r>
          <m:r>
            <m:t>n</m:t>
          </m:r>
          <m:r>
            <m:t>v</m:t>
          </m:r>
          <m:r>
            <m:t>E</m:t>
          </m:r>
          <m:r>
            <m:t>f</m:t>
          </m:r>
          <m:sSub>
            <m:e>
              <m:r>
                <m:t>f</m:t>
              </m:r>
            </m:e>
            <m:sub>
              <m:r>
                <m:t>i</m:t>
              </m:r>
              <m:r>
                <m:rPr>
                  <m:sty m:val="p"/>
                </m:rPr>
                <m:t>,</m:t>
              </m:r>
              <m:r>
                <m:t>t</m:t>
              </m:r>
              <m:r>
                <m:rPr>
                  <m:sty m:val="p"/>
                </m:rPr>
                <m:t>−</m:t>
              </m:r>
              <m:r>
                <m:t>1</m:t>
              </m:r>
            </m:sub>
          </m:sSub>
          <m:r>
            <m:rPr>
              <m:sty m:val="p"/>
            </m:rPr>
            <m:t>+</m:t>
          </m:r>
          <m:sSub>
            <m:e>
              <m:r>
                <m:t>β</m:t>
              </m:r>
            </m:e>
            <m:sub>
              <m:r>
                <m:t>1</m:t>
              </m:r>
            </m:sub>
          </m:sSub>
          <m:r>
            <m:t>C</m:t>
          </m:r>
          <m:r>
            <m:t>S</m:t>
          </m:r>
          <m:sSubSup>
            <m:e>
              <m:r>
                <m:t>D</m:t>
              </m:r>
            </m:e>
            <m:sub>
              <m:r>
                <m:t>i</m:t>
              </m:r>
              <m:r>
                <m:rPr>
                  <m:sty m:val="p"/>
                </m:rPr>
                <m:t>,</m:t>
              </m:r>
              <m:r>
                <m:t>t</m:t>
              </m:r>
              <m:r>
                <m:rPr>
                  <m:sty m:val="p"/>
                </m:rPr>
                <m:t>−</m:t>
              </m:r>
              <m:r>
                <m:t>1</m:t>
              </m:r>
            </m:sub>
            <m:sup>
              <m:r>
                <m:rPr>
                  <m:sty m:val="p"/>
                </m:rPr>
                <m:t>+</m:t>
              </m:r>
            </m:sup>
          </m:sSubSup>
          <m:r>
            <m:rPr>
              <m:sty m:val="p"/>
            </m:rPr>
            <m:t>+</m:t>
          </m:r>
          <m:sSub>
            <m:e>
              <m:r>
                <m:t>β</m:t>
              </m:r>
            </m:e>
            <m:sub>
              <m:r>
                <m:t>2</m:t>
              </m:r>
            </m:sub>
          </m:sSub>
          <m:r>
            <m:t>C</m:t>
          </m:r>
          <m:r>
            <m:t>S</m:t>
          </m:r>
          <m:sSubSup>
            <m:e>
              <m:r>
                <m:t>D</m:t>
              </m:r>
            </m:e>
            <m:sub>
              <m:r>
                <m:t>i</m:t>
              </m:r>
              <m:r>
                <m:rPr>
                  <m:sty m:val="p"/>
                </m:rPr>
                <m:t>,</m:t>
              </m:r>
              <m:r>
                <m:t>t</m:t>
              </m:r>
              <m:r>
                <m:rPr>
                  <m:sty m:val="p"/>
                </m:rPr>
                <m:t>−</m:t>
              </m:r>
              <m:r>
                <m:t>1</m:t>
              </m:r>
            </m:sub>
            <m:sup>
              <m:r>
                <m:rPr>
                  <m:sty m:val="p"/>
                </m:rPr>
                <m:t>−</m:t>
              </m:r>
            </m:sup>
          </m:sSubSup>
          <m:r>
            <m:rPr>
              <m:sty m:val="p"/>
            </m:rPr>
            <m:t>+</m:t>
          </m:r>
          <m:sSub>
            <m:e>
              <m:r>
                <m:t>β</m:t>
              </m:r>
            </m:e>
            <m:sub>
              <m:r>
                <m:t>3</m:t>
              </m:r>
            </m:sub>
          </m:sSub>
          <m:r>
            <m:t>M</m:t>
          </m:r>
          <m:sSub>
            <m:e>
              <m:r>
                <m:t>A</m:t>
              </m:r>
            </m:e>
            <m:sub>
              <m:r>
                <m:t>i</m:t>
              </m:r>
              <m:r>
                <m:rPr>
                  <m:sty m:val="p"/>
                </m:rPr>
                <m:t>,</m:t>
              </m:r>
              <m:r>
                <m:t>t</m:t>
              </m:r>
              <m:r>
                <m:rPr>
                  <m:sty m:val="p"/>
                </m:rPr>
                <m:t>−</m:t>
              </m:r>
              <m:r>
                <m:t>1</m:t>
              </m:r>
            </m:sub>
          </m:sSub>
          <m:r>
            <m:rPr>
              <m:sty m:val="p"/>
            </m:rPr>
            <m:t>+</m:t>
          </m:r>
          <m:sSub>
            <m:e>
              <m:r>
                <m:t>β</m:t>
              </m:r>
            </m:e>
            <m:sub>
              <m:r>
                <m:t>4</m:t>
              </m:r>
            </m:sub>
          </m:sSub>
          <m:r>
            <m:t> </m:t>
          </m:r>
          <m:r>
            <m:t>C</m:t>
          </m:r>
          <m:r>
            <m:t>S</m:t>
          </m:r>
          <m:sSubSup>
            <m:e>
              <m:r>
                <m:t>D</m:t>
              </m:r>
            </m:e>
            <m:sub>
              <m:r>
                <m:t>i</m:t>
              </m:r>
              <m:r>
                <m:rPr>
                  <m:sty m:val="p"/>
                </m:rPr>
                <m:t>,</m:t>
              </m:r>
              <m:r>
                <m:t>t</m:t>
              </m:r>
              <m:r>
                <m:rPr>
                  <m:sty m:val="p"/>
                </m:rPr>
                <m:t>−</m:t>
              </m:r>
              <m:r>
                <m:t>1</m:t>
              </m:r>
            </m:sub>
            <m:sup>
              <m:r>
                <m:rPr>
                  <m:sty m:val="p"/>
                </m:rPr>
                <m:t>+</m:t>
              </m:r>
            </m:sup>
          </m:sSubSup>
          <m:r>
            <m:rPr>
              <m:sty m:val="p"/>
            </m:rPr>
            <m:t>×</m:t>
          </m:r>
          <m:r>
            <m:t>M</m:t>
          </m:r>
          <m:sSub>
            <m:e>
              <m:r>
                <m:t>A</m:t>
              </m:r>
            </m:e>
            <m:sub>
              <m:r>
                <m:t>i</m:t>
              </m:r>
              <m:r>
                <m:rPr>
                  <m:sty m:val="p"/>
                </m:rPr>
                <m:t>,</m:t>
              </m:r>
              <m:r>
                <m:t>t</m:t>
              </m:r>
              <m:r>
                <m:rPr>
                  <m:sty m:val="p"/>
                </m:rPr>
                <m:t>−</m:t>
              </m:r>
              <m:r>
                <m:t>1</m:t>
              </m:r>
            </m:sub>
          </m:sSub>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λ</m:t>
              </m:r>
            </m:e>
            <m:sub>
              <m:r>
                <m:t>j</m:t>
              </m:r>
            </m:sub>
          </m:sSub>
          <m:r>
            <m:rPr>
              <m:sty m:val="p"/>
            </m:rPr>
            <m:t>+</m:t>
          </m:r>
          <m:sSub>
            <m:e>
              <m:r>
                <m:t>ε</m:t>
              </m:r>
            </m:e>
            <m:sub>
              <m:r>
                <m:t>i</m:t>
              </m:r>
              <m:r>
                <m:rPr>
                  <m:sty m:val="p"/>
                </m:rPr>
                <m:t>,</m:t>
              </m:r>
              <m:r>
                <m:t>t</m:t>
              </m:r>
            </m:sub>
          </m:sSub>
          <m:r>
            <m:t>  </m:t>
          </m:r>
          <m:r>
            <m:rPr>
              <m:sty m:val="p"/>
            </m:rPr>
            <m:t>(</m:t>
          </m:r>
          <m:r>
            <m:t>9</m:t>
          </m:r>
          <m:r>
            <m:rPr>
              <m:sty m:val="p"/>
            </m:rPr>
            <m:t>)</m:t>
          </m:r>
        </m:oMath>
      </m:oMathPara>
    </w:p>
    <w:p>
      <w:pPr>
        <w:pStyle w:val="FirstParagraph"/>
      </w:pPr>
      <w:r>
        <w:t xml:space="preserve">The marginal effect of over-leverage is β₁ + β₄·MA. H3a predicts β₄ &gt; 0: higher ability makes the negative effect smaller. To test</w:t>
      </w:r>
      <w:r>
        <w:t xml:space="preserve"> </w:t>
      </w:r>
      <w:r>
        <w:t xml:space="preserve">“especially in growth and decline”</w:t>
      </w:r>
      <w:r>
        <w:t xml:space="preserve">, GD (= 1 for growth or decline at t−1, 0 for maturity) is added with all lower-order terms:</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r>
            <m:rPr>
              <m:sty m:val="p"/>
            </m:rPr>
            <m:t>…</m:t>
          </m:r>
          <m:r>
            <m:rPr>
              <m:sty m:val="p"/>
            </m:rPr>
            <m:t>+</m:t>
          </m:r>
          <m:sSub>
            <m:e>
              <m:r>
                <m:t>β</m:t>
              </m:r>
            </m:e>
            <m:sub>
              <m:r>
                <m:t>4</m:t>
              </m:r>
            </m:sub>
          </m:sSub>
          <m:r>
            <m:t> </m:t>
          </m:r>
          <m:r>
            <m:t>C</m:t>
          </m:r>
          <m:r>
            <m:t>S</m:t>
          </m:r>
          <m:sSup>
            <m:e>
              <m:r>
                <m:t>D</m:t>
              </m:r>
            </m:e>
            <m:sup>
              <m:r>
                <m:rPr>
                  <m:sty m:val="p"/>
                </m:rPr>
                <m:t>+</m:t>
              </m:r>
            </m:sup>
          </m:sSup>
          <m:r>
            <m:rPr>
              <m:sty m:val="p"/>
            </m:rPr>
            <m:t>×</m:t>
          </m:r>
          <m:r>
            <m:t>M</m:t>
          </m:r>
          <m:r>
            <m:t>A</m:t>
          </m:r>
          <m:r>
            <m:rPr>
              <m:sty m:val="p"/>
            </m:rPr>
            <m:t>+</m:t>
          </m:r>
          <m:r>
            <m:t>ϕ</m:t>
          </m:r>
          <m:r>
            <m:t> </m:t>
          </m:r>
          <m:r>
            <m:t>G</m:t>
          </m:r>
          <m:r>
            <m:t>D</m:t>
          </m:r>
          <m:r>
            <m:rPr>
              <m:sty m:val="p"/>
            </m:rPr>
            <m:t>+</m:t>
          </m:r>
          <m:sSub>
            <m:e>
              <m:r>
                <m:t>β</m:t>
              </m:r>
            </m:e>
            <m:sub>
              <m:r>
                <m:t>5</m:t>
              </m:r>
            </m:sub>
          </m:sSub>
          <m:r>
            <m:t> </m:t>
          </m:r>
          <m:r>
            <m:t>C</m:t>
          </m:r>
          <m:r>
            <m:t>S</m:t>
          </m:r>
          <m:sSup>
            <m:e>
              <m:r>
                <m:t>D</m:t>
              </m:r>
            </m:e>
            <m:sup>
              <m:r>
                <m:rPr>
                  <m:sty m:val="p"/>
                </m:rPr>
                <m:t>+</m:t>
              </m:r>
            </m:sup>
          </m:sSup>
          <m:r>
            <m:rPr>
              <m:sty m:val="p"/>
            </m:rPr>
            <m:t>×</m:t>
          </m:r>
          <m:r>
            <m:t>G</m:t>
          </m:r>
          <m:r>
            <m:t>D</m:t>
          </m:r>
          <m:r>
            <m:rPr>
              <m:sty m:val="p"/>
            </m:rPr>
            <m:t>+</m:t>
          </m:r>
          <m:sSub>
            <m:e>
              <m:r>
                <m:t>β</m:t>
              </m:r>
            </m:e>
            <m:sub>
              <m:r>
                <m:t>6</m:t>
              </m:r>
            </m:sub>
          </m:sSub>
          <m:r>
            <m:t> </m:t>
          </m:r>
          <m:r>
            <m:t>M</m:t>
          </m:r>
          <m:r>
            <m:t>A</m:t>
          </m:r>
          <m:r>
            <m:rPr>
              <m:sty m:val="p"/>
            </m:rPr>
            <m:t>×</m:t>
          </m:r>
          <m:r>
            <m:t>G</m:t>
          </m:r>
          <m:r>
            <m:t>D</m:t>
          </m:r>
          <m:r>
            <m:rPr>
              <m:sty m:val="p"/>
            </m:rPr>
            <m:t>+</m:t>
          </m:r>
          <m:sSub>
            <m:e>
              <m:r>
                <m:t>β</m:t>
              </m:r>
            </m:e>
            <m:sub>
              <m:r>
                <m:t>7</m:t>
              </m:r>
            </m:sub>
          </m:sSub>
          <m:r>
            <m:t> </m:t>
          </m:r>
          <m:r>
            <m:t>C</m:t>
          </m:r>
          <m:r>
            <m:t>S</m:t>
          </m:r>
          <m:sSup>
            <m:e>
              <m:r>
                <m:t>D</m:t>
              </m:r>
            </m:e>
            <m:sup>
              <m:r>
                <m:rPr>
                  <m:sty m:val="p"/>
                </m:rPr>
                <m:t>+</m:t>
              </m:r>
            </m:sup>
          </m:sSup>
          <m:r>
            <m:rPr>
              <m:sty m:val="p"/>
            </m:rPr>
            <m:t>×</m:t>
          </m:r>
          <m:r>
            <m:t>M</m:t>
          </m:r>
          <m:r>
            <m:t>A</m:t>
          </m:r>
          <m:r>
            <m:rPr>
              <m:sty m:val="p"/>
            </m:rPr>
            <m:t>×</m:t>
          </m:r>
          <m:r>
            <m:t>G</m:t>
          </m:r>
          <m:r>
            <m:t>D</m:t>
          </m:r>
          <m:r>
            <m:rPr>
              <m:sty m:val="p"/>
            </m:rPr>
            <m:t>+</m:t>
          </m:r>
          <m:r>
            <m:rPr>
              <m:sty m:val="p"/>
            </m:rPr>
            <m:t>…</m:t>
          </m:r>
          <m:r>
            <m:t>  </m:t>
          </m:r>
          <m:r>
            <m:rPr>
              <m:sty m:val="p"/>
            </m:rPr>
            <m:t>(</m:t>
          </m:r>
          <m:r>
            <m:t>10</m:t>
          </m:r>
          <m:r>
            <m:rPr>
              <m:sty m:val="p"/>
            </m:rPr>
            <m:t>)</m:t>
          </m:r>
        </m:oMath>
      </m:oMathPara>
    </w:p>
    <w:p>
      <w:pPr>
        <w:pStyle w:val="FirstParagraph"/>
      </w:pPr>
      <w:r>
        <w:t xml:space="preserve">H3a predicts β₇ &gt; 0: mitigation is stronger in growth and decline (β₄ + β₇) than in maturity (β₄).</w:t>
      </w:r>
    </w:p>
    <w:p>
      <w:pPr>
        <w:pStyle w:val="BodyText"/>
      </w:pPr>
      <w:r>
        <w:t xml:space="preserve">H3b is tested in the same way for under-leverage:</w:t>
      </w:r>
    </w:p>
    <w:p>
      <w:pPr>
        <w:pStyle w:val="BodyText"/>
      </w:pPr>
      <m:oMathPara>
        <m:oMathParaPr>
          <m:jc m:val="center"/>
        </m:oMathParaPr>
        <m:oMath>
          <m:r>
            <m:t>I</m:t>
          </m:r>
          <m:r>
            <m:t>n</m:t>
          </m:r>
          <m:r>
            <m:t>v</m:t>
          </m:r>
          <m:r>
            <m:t>E</m:t>
          </m:r>
          <m:r>
            <m:t>f</m:t>
          </m:r>
          <m:sSub>
            <m:e>
              <m:r>
                <m:t>f</m:t>
              </m:r>
            </m:e>
            <m:sub>
              <m:r>
                <m:t>i</m:t>
              </m:r>
              <m:r>
                <m:rPr>
                  <m:sty m:val="p"/>
                </m:rPr>
                <m:t>,</m:t>
              </m:r>
              <m:r>
                <m:t>t</m:t>
              </m:r>
            </m:sub>
          </m:sSub>
          <m:r>
            <m:rPr>
              <m:sty m:val="p"/>
            </m:rPr>
            <m:t>=</m:t>
          </m:r>
          <m:sSub>
            <m:e>
              <m:r>
                <m:t>γ</m:t>
              </m:r>
            </m:e>
            <m:sub>
              <m:r>
                <m:t>0</m:t>
              </m:r>
            </m:sub>
          </m:sSub>
          <m:r>
            <m:rPr>
              <m:sty m:val="p"/>
            </m:rPr>
            <m:t>+</m:t>
          </m:r>
          <m:sSub>
            <m:e>
              <m:r>
                <m:t>γ</m:t>
              </m:r>
            </m:e>
            <m:sub>
              <m:r>
                <m:t>1</m:t>
              </m:r>
            </m:sub>
          </m:sSub>
          <m:r>
            <m:t>I</m:t>
          </m:r>
          <m:r>
            <m:t>n</m:t>
          </m:r>
          <m:r>
            <m:t>v</m:t>
          </m:r>
          <m:r>
            <m:t>E</m:t>
          </m:r>
          <m:r>
            <m:t>f</m:t>
          </m:r>
          <m:sSub>
            <m:e>
              <m:r>
                <m:t>f</m:t>
              </m:r>
            </m:e>
            <m:sub>
              <m:r>
                <m:t>i</m:t>
              </m:r>
              <m:r>
                <m:rPr>
                  <m:sty m:val="p"/>
                </m:rPr>
                <m:t>,</m:t>
              </m:r>
              <m:r>
                <m:t>t</m:t>
              </m:r>
              <m:r>
                <m:rPr>
                  <m:sty m:val="p"/>
                </m:rPr>
                <m:t>−</m:t>
              </m:r>
              <m:r>
                <m:t>1</m:t>
              </m:r>
            </m:sub>
          </m:sSub>
          <m:r>
            <m:rPr>
              <m:sty m:val="p"/>
            </m:rPr>
            <m:t>+</m:t>
          </m:r>
          <m:sSub>
            <m:e>
              <m:r>
                <m:t>β</m:t>
              </m:r>
            </m:e>
            <m:sub>
              <m:r>
                <m:t>1</m:t>
              </m:r>
            </m:sub>
          </m:sSub>
          <m:r>
            <m:t>C</m:t>
          </m:r>
          <m:r>
            <m:t>S</m:t>
          </m:r>
          <m:sSubSup>
            <m:e>
              <m:r>
                <m:t>D</m:t>
              </m:r>
            </m:e>
            <m:sub>
              <m:r>
                <m:t>i</m:t>
              </m:r>
              <m:r>
                <m:rPr>
                  <m:sty m:val="p"/>
                </m:rPr>
                <m:t>,</m:t>
              </m:r>
              <m:r>
                <m:t>t</m:t>
              </m:r>
              <m:r>
                <m:rPr>
                  <m:sty m:val="p"/>
                </m:rPr>
                <m:t>−</m:t>
              </m:r>
              <m:r>
                <m:t>1</m:t>
              </m:r>
            </m:sub>
            <m:sup>
              <m:r>
                <m:rPr>
                  <m:sty m:val="p"/>
                </m:rPr>
                <m:t>+</m:t>
              </m:r>
            </m:sup>
          </m:sSubSup>
          <m:r>
            <m:rPr>
              <m:sty m:val="p"/>
            </m:rPr>
            <m:t>+</m:t>
          </m:r>
          <m:sSub>
            <m:e>
              <m:r>
                <m:t>β</m:t>
              </m:r>
            </m:e>
            <m:sub>
              <m:r>
                <m:t>2</m:t>
              </m:r>
            </m:sub>
          </m:sSub>
          <m:r>
            <m:t>C</m:t>
          </m:r>
          <m:r>
            <m:t>S</m:t>
          </m:r>
          <m:sSubSup>
            <m:e>
              <m:r>
                <m:t>D</m:t>
              </m:r>
            </m:e>
            <m:sub>
              <m:r>
                <m:t>i</m:t>
              </m:r>
              <m:r>
                <m:rPr>
                  <m:sty m:val="p"/>
                </m:rPr>
                <m:t>,</m:t>
              </m:r>
              <m:r>
                <m:t>t</m:t>
              </m:r>
              <m:r>
                <m:rPr>
                  <m:sty m:val="p"/>
                </m:rPr>
                <m:t>−</m:t>
              </m:r>
              <m:r>
                <m:t>1</m:t>
              </m:r>
            </m:sub>
            <m:sup>
              <m:r>
                <m:rPr>
                  <m:sty m:val="p"/>
                </m:rPr>
                <m:t>−</m:t>
              </m:r>
            </m:sup>
          </m:sSubSup>
          <m:r>
            <m:rPr>
              <m:sty m:val="p"/>
            </m:rPr>
            <m:t>+</m:t>
          </m:r>
          <m:sSub>
            <m:e>
              <m:r>
                <m:t>β</m:t>
              </m:r>
            </m:e>
            <m:sub>
              <m:r>
                <m:t>3</m:t>
              </m:r>
            </m:sub>
          </m:sSub>
          <m:r>
            <m:t>M</m:t>
          </m:r>
          <m:sSub>
            <m:e>
              <m:r>
                <m:t>A</m:t>
              </m:r>
            </m:e>
            <m:sub>
              <m:r>
                <m:t>i</m:t>
              </m:r>
              <m:r>
                <m:rPr>
                  <m:sty m:val="p"/>
                </m:rPr>
                <m:t>,</m:t>
              </m:r>
              <m:r>
                <m:t>t</m:t>
              </m:r>
              <m:r>
                <m:rPr>
                  <m:sty m:val="p"/>
                </m:rPr>
                <m:t>−</m:t>
              </m:r>
              <m:r>
                <m:t>1</m:t>
              </m:r>
            </m:sub>
          </m:sSub>
          <m:r>
            <m:rPr>
              <m:sty m:val="p"/>
            </m:rPr>
            <m:t>+</m:t>
          </m:r>
          <m:sSub>
            <m:e>
              <m:r>
                <m:t>β</m:t>
              </m:r>
            </m:e>
            <m:sub>
              <m:r>
                <m:t>8</m:t>
              </m:r>
            </m:sub>
          </m:sSub>
          <m:r>
            <m:t> </m:t>
          </m:r>
          <m:r>
            <m:t>C</m:t>
          </m:r>
          <m:r>
            <m:t>S</m:t>
          </m:r>
          <m:sSubSup>
            <m:e>
              <m:r>
                <m:t>D</m:t>
              </m:r>
            </m:e>
            <m:sub>
              <m:r>
                <m:t>i</m:t>
              </m:r>
              <m:r>
                <m:rPr>
                  <m:sty m:val="p"/>
                </m:rPr>
                <m:t>,</m:t>
              </m:r>
              <m:r>
                <m:t>t</m:t>
              </m:r>
              <m:r>
                <m:rPr>
                  <m:sty m:val="p"/>
                </m:rPr>
                <m:t>−</m:t>
              </m:r>
              <m:r>
                <m:t>1</m:t>
              </m:r>
            </m:sub>
            <m:sup>
              <m:r>
                <m:rPr>
                  <m:sty m:val="p"/>
                </m:rPr>
                <m:t>−</m:t>
              </m:r>
            </m:sup>
          </m:sSubSup>
          <m:r>
            <m:rPr>
              <m:sty m:val="p"/>
            </m:rPr>
            <m:t>×</m:t>
          </m:r>
          <m:r>
            <m:t>M</m:t>
          </m:r>
          <m:sSub>
            <m:e>
              <m:r>
                <m:t>A</m:t>
              </m:r>
            </m:e>
            <m:sub>
              <m:r>
                <m:t>i</m:t>
              </m:r>
              <m:r>
                <m:rPr>
                  <m:sty m:val="p"/>
                </m:rPr>
                <m:t>,</m:t>
              </m:r>
              <m:r>
                <m:t>t</m:t>
              </m:r>
              <m:r>
                <m:rPr>
                  <m:sty m:val="p"/>
                </m:rPr>
                <m:t>−</m:t>
              </m:r>
              <m:r>
                <m:t>1</m:t>
              </m:r>
            </m:sub>
          </m:sSub>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λ</m:t>
              </m:r>
            </m:e>
            <m:sub>
              <m:r>
                <m:t>j</m:t>
              </m:r>
            </m:sub>
          </m:sSub>
          <m:r>
            <m:rPr>
              <m:sty m:val="p"/>
            </m:rPr>
            <m:t>+</m:t>
          </m:r>
          <m:sSub>
            <m:e>
              <m:r>
                <m:t>ε</m:t>
              </m:r>
            </m:e>
            <m:sub>
              <m:r>
                <m:t>i</m:t>
              </m:r>
              <m:r>
                <m:rPr>
                  <m:sty m:val="p"/>
                </m:rPr>
                <m:t>,</m:t>
              </m:r>
              <m:r>
                <m:t>t</m:t>
              </m:r>
            </m:sub>
          </m:sSub>
          <m:r>
            <m:t>  </m:t>
          </m:r>
          <m:r>
            <m:rPr>
              <m:sty m:val="p"/>
            </m:rPr>
            <m:t>(</m:t>
          </m:r>
          <m:r>
            <m:t>11</m:t>
          </m:r>
          <m:r>
            <m:rPr>
              <m:sty m:val="p"/>
            </m:rPr>
            <m:t>)</m:t>
          </m:r>
        </m:oMath>
      </m:oMathPara>
    </w:p>
    <w:p>
      <w:pPr>
        <w:pStyle w:val="FirstParagraph"/>
      </w:pPr>
      <m:oMathPara>
        <m:oMathParaPr>
          <m:jc m:val="center"/>
        </m:oMathParaPr>
        <m:oMath>
          <m:r>
            <m:t>I</m:t>
          </m:r>
          <m:r>
            <m:t>n</m:t>
          </m:r>
          <m:r>
            <m:t>v</m:t>
          </m:r>
          <m:r>
            <m:t>E</m:t>
          </m:r>
          <m:r>
            <m:t>f</m:t>
          </m:r>
          <m:sSub>
            <m:e>
              <m:r>
                <m:t>f</m:t>
              </m:r>
            </m:e>
            <m:sub>
              <m:r>
                <m:t>i</m:t>
              </m:r>
              <m:r>
                <m:rPr>
                  <m:sty m:val="p"/>
                </m:rPr>
                <m:t>,</m:t>
              </m:r>
              <m:r>
                <m:t>t</m:t>
              </m:r>
            </m:sub>
          </m:sSub>
          <m:r>
            <m:rPr>
              <m:sty m:val="p"/>
            </m:rPr>
            <m:t>=</m:t>
          </m:r>
          <m:r>
            <m:rPr>
              <m:sty m:val="p"/>
            </m:rPr>
            <m:t>…</m:t>
          </m:r>
          <m:r>
            <m:rPr>
              <m:sty m:val="p"/>
            </m:rPr>
            <m:t>+</m:t>
          </m:r>
          <m:sSub>
            <m:e>
              <m:r>
                <m:t>β</m:t>
              </m:r>
            </m:e>
            <m:sub>
              <m:r>
                <m:t>8</m:t>
              </m:r>
            </m:sub>
          </m:sSub>
          <m:r>
            <m:t> </m:t>
          </m:r>
          <m:r>
            <m:t>C</m:t>
          </m:r>
          <m:r>
            <m:t>S</m:t>
          </m:r>
          <m:sSup>
            <m:e>
              <m:r>
                <m:t>D</m:t>
              </m:r>
            </m:e>
            <m:sup>
              <m:r>
                <m:rPr>
                  <m:sty m:val="p"/>
                </m:rPr>
                <m:t>−</m:t>
              </m:r>
            </m:sup>
          </m:sSup>
          <m:r>
            <m:rPr>
              <m:sty m:val="p"/>
            </m:rPr>
            <m:t>×</m:t>
          </m:r>
          <m:r>
            <m:t>M</m:t>
          </m:r>
          <m:r>
            <m:t>A</m:t>
          </m:r>
          <m:r>
            <m:rPr>
              <m:sty m:val="p"/>
            </m:rPr>
            <m:t>+</m:t>
          </m:r>
          <m:r>
            <m:t>ϕ</m:t>
          </m:r>
          <m:r>
            <m:t> </m:t>
          </m:r>
          <m:r>
            <m:t>M</m:t>
          </m:r>
          <m:r>
            <m:t>A</m:t>
          </m:r>
          <m:r>
            <m:t>T</m:t>
          </m:r>
          <m:r>
            <m:rPr>
              <m:sty m:val="p"/>
            </m:rPr>
            <m:t>+</m:t>
          </m:r>
          <m:sSub>
            <m:e>
              <m:r>
                <m:t>β</m:t>
              </m:r>
            </m:e>
            <m:sub>
              <m:r>
                <m:t>9</m:t>
              </m:r>
            </m:sub>
          </m:sSub>
          <m:r>
            <m:t> </m:t>
          </m:r>
          <m:r>
            <m:t>C</m:t>
          </m:r>
          <m:r>
            <m:t>S</m:t>
          </m:r>
          <m:sSup>
            <m:e>
              <m:r>
                <m:t>D</m:t>
              </m:r>
            </m:e>
            <m:sup>
              <m:r>
                <m:rPr>
                  <m:sty m:val="p"/>
                </m:rPr>
                <m:t>−</m:t>
              </m:r>
            </m:sup>
          </m:sSup>
          <m:r>
            <m:rPr>
              <m:sty m:val="p"/>
            </m:rPr>
            <m:t>×</m:t>
          </m:r>
          <m:r>
            <m:t>M</m:t>
          </m:r>
          <m:r>
            <m:t>A</m:t>
          </m:r>
          <m:r>
            <m:t>T</m:t>
          </m:r>
          <m:r>
            <m:rPr>
              <m:sty m:val="p"/>
            </m:rPr>
            <m:t>+</m:t>
          </m:r>
          <m:sSub>
            <m:e>
              <m:r>
                <m:t>β</m:t>
              </m:r>
            </m:e>
            <m:sub>
              <m:r>
                <m:t>10</m:t>
              </m:r>
            </m:sub>
          </m:sSub>
          <m:r>
            <m:t> </m:t>
          </m:r>
          <m:r>
            <m:t>M</m:t>
          </m:r>
          <m:r>
            <m:t>A</m:t>
          </m:r>
          <m:r>
            <m:rPr>
              <m:sty m:val="p"/>
            </m:rPr>
            <m:t>×</m:t>
          </m:r>
          <m:r>
            <m:t>M</m:t>
          </m:r>
          <m:r>
            <m:t>A</m:t>
          </m:r>
          <m:r>
            <m:t>T</m:t>
          </m:r>
          <m:r>
            <m:rPr>
              <m:sty m:val="p"/>
            </m:rPr>
            <m:t>+</m:t>
          </m:r>
          <m:sSub>
            <m:e>
              <m:r>
                <m:t>β</m:t>
              </m:r>
            </m:e>
            <m:sub>
              <m:r>
                <m:t>11</m:t>
              </m:r>
            </m:sub>
          </m:sSub>
          <m:r>
            <m:t> </m:t>
          </m:r>
          <m:r>
            <m:t>C</m:t>
          </m:r>
          <m:r>
            <m:t>S</m:t>
          </m:r>
          <m:sSup>
            <m:e>
              <m:r>
                <m:t>D</m:t>
              </m:r>
            </m:e>
            <m:sup>
              <m:r>
                <m:rPr>
                  <m:sty m:val="p"/>
                </m:rPr>
                <m:t>−</m:t>
              </m:r>
            </m:sup>
          </m:sSup>
          <m:r>
            <m:rPr>
              <m:sty m:val="p"/>
            </m:rPr>
            <m:t>×</m:t>
          </m:r>
          <m:r>
            <m:t>M</m:t>
          </m:r>
          <m:r>
            <m:t>A</m:t>
          </m:r>
          <m:r>
            <m:rPr>
              <m:sty m:val="p"/>
            </m:rPr>
            <m:t>×</m:t>
          </m:r>
          <m:r>
            <m:t>M</m:t>
          </m:r>
          <m:r>
            <m:t>A</m:t>
          </m:r>
          <m:r>
            <m:t>T</m:t>
          </m:r>
          <m:r>
            <m:rPr>
              <m:sty m:val="p"/>
            </m:rPr>
            <m:t>+</m:t>
          </m:r>
          <m:r>
            <m:rPr>
              <m:sty m:val="p"/>
            </m:rPr>
            <m:t>…</m:t>
          </m:r>
          <m:r>
            <m:t>  </m:t>
          </m:r>
          <m:r>
            <m:rPr>
              <m:sty m:val="p"/>
            </m:rPr>
            <m:t>(</m:t>
          </m:r>
          <m:r>
            <m:t>12</m:t>
          </m:r>
          <m:r>
            <m:rPr>
              <m:sty m:val="p"/>
            </m:rPr>
            <m:t>)</m:t>
          </m:r>
        </m:oMath>
      </m:oMathPara>
    </w:p>
    <w:p>
      <w:pPr>
        <w:pStyle w:val="FirstParagraph"/>
      </w:pPr>
      <w:r>
        <w:t xml:space="preserve">H3b predicts β₈ &lt; 0 (higher ability reduces over-investment from under-leverage) and β₁₁ &lt; 0 (the reduction is stronger in maturity).</w:t>
      </w:r>
    </w:p>
    <w:bookmarkEnd w:id="17"/>
    <w:bookmarkStart w:id="18" w:name="summary-of-predictions"/>
    <w:p>
      <w:pPr>
        <w:pStyle w:val="Heading3"/>
      </w:pPr>
      <w:r>
        <w:t xml:space="preserve">3.7.4 Summary of predictions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980"/>
        <w:gridCol w:w="1980"/>
        <w:gridCol w:w="1980"/>
        <w:gridCol w:w="1980"/>
      </w:tblGrid>
      <w:tr>
        <w:trPr>
          <w:tblHeader w:val="on"/>
        </w:trPr>
        <w:tc>
          <w:tcPr>
            <w:shd w:val="clear" w:color="auto" w:fill="E8ECF3"/>
          </w:tcPr>
          <w:p>
            <w:pPr>
              <w:pStyle w:val="Compact"/>
            </w:pPr>
            <w:r>
              <w:rPr>
                <w:b/>
                <w:sz w:val="19"/>
              </w:rPr>
              <w:t xml:space="preserve">Hypothesis</w:t>
            </w:r>
          </w:p>
        </w:tc>
        <w:tc>
          <w:tcPr>
            <w:shd w:val="clear" w:color="auto" w:fill="E8ECF3"/>
          </w:tcPr>
          <w:p>
            <w:pPr>
              <w:pStyle w:val="Compact"/>
            </w:pPr>
            <w:r>
              <w:rPr>
                <w:b/>
                <w:sz w:val="19"/>
              </w:rPr>
              <w:t xml:space="preserve">Equation</w:t>
            </w:r>
          </w:p>
        </w:tc>
        <w:tc>
          <w:tcPr>
            <w:shd w:val="clear" w:color="auto" w:fill="E8ECF3"/>
          </w:tcPr>
          <w:p>
            <w:pPr>
              <w:pStyle w:val="Compact"/>
            </w:pPr>
            <w:r>
              <w:rPr>
                <w:b/>
                <w:sz w:val="19"/>
              </w:rPr>
              <w:t xml:space="preserve">Coefficient</w:t>
            </w:r>
          </w:p>
        </w:tc>
        <w:tc>
          <w:tcPr>
            <w:shd w:val="clear" w:color="auto" w:fill="E8ECF3"/>
          </w:tcPr>
          <w:p>
            <w:pPr>
              <w:pStyle w:val="Compact"/>
            </w:pPr>
            <w:r>
              <w:rPr>
                <w:b/>
                <w:sz w:val="19"/>
              </w:rPr>
              <w:t xml:space="preserve">Predicted sign</w:t>
            </w:r>
          </w:p>
        </w:tc>
      </w:tr>
      <w:tr>
        <w:tc>
          <w:tcPr/>
          <w:p>
            <w:pPr>
              <w:pStyle w:val="Compact"/>
            </w:pPr>
            <w:r>
              <w:rPr>
                <w:sz w:val="19"/>
              </w:rPr>
              <w:t xml:space="preserve">H1a</w:t>
            </w:r>
          </w:p>
        </w:tc>
        <w:tc>
          <w:tcPr/>
          <w:p>
            <w:pPr>
              <w:pStyle w:val="Compact"/>
            </w:pPr>
            <w:r>
              <w:rPr>
                <w:sz w:val="19"/>
              </w:rPr>
              <w:t xml:space="preserve">(6a)</w:t>
            </w:r>
          </w:p>
        </w:tc>
        <w:tc>
          <w:tcPr/>
          <w:p>
            <w:pPr>
              <w:pStyle w:val="Compact"/>
            </w:pPr>
            <w:r>
              <w:rPr>
                <w:sz w:val="19"/>
              </w:rPr>
              <w:t xml:space="preserve">β₁: CSD⁺</w:t>
            </w:r>
          </w:p>
        </w:tc>
        <w:tc>
          <w:tcPr/>
          <w:p>
            <w:pPr>
              <w:pStyle w:val="Compact"/>
            </w:pPr>
            <w:r>
              <w:rPr>
                <w:sz w:val="19"/>
              </w:rPr>
              <w:t xml:space="preserve">−</w:t>
            </w:r>
          </w:p>
        </w:tc>
      </w:tr>
      <w:tr>
        <w:tc>
          <w:tcPr/>
          <w:p>
            <w:pPr>
              <w:pStyle w:val="Compact"/>
            </w:pPr>
            <w:r>
              <w:rPr>
                <w:sz w:val="19"/>
              </w:rPr>
              <w:t xml:space="preserve">H1b</w:t>
            </w:r>
          </w:p>
        </w:tc>
        <w:tc>
          <w:tcPr/>
          <w:p>
            <w:pPr>
              <w:pStyle w:val="Compact"/>
            </w:pPr>
            <w:r>
              <w:rPr>
                <w:sz w:val="19"/>
              </w:rPr>
              <w:t xml:space="preserve">(6b)</w:t>
            </w:r>
          </w:p>
        </w:tc>
        <w:tc>
          <w:tcPr/>
          <w:p>
            <w:pPr>
              <w:pStyle w:val="Compact"/>
            </w:pPr>
            <w:r>
              <w:rPr>
                <w:sz w:val="19"/>
              </w:rPr>
              <w:t xml:space="preserve">β₂: CSD⁻</w:t>
            </w:r>
          </w:p>
        </w:tc>
        <w:tc>
          <w:tcPr/>
          <w:p>
            <w:pPr>
              <w:pStyle w:val="Compact"/>
            </w:pPr>
            <w:r>
              <w:rPr>
                <w:sz w:val="19"/>
              </w:rPr>
              <w:t xml:space="preserve">+</w:t>
            </w:r>
          </w:p>
        </w:tc>
      </w:tr>
      <w:tr>
        <w:tc>
          <w:tcPr/>
          <w:p>
            <w:pPr>
              <w:pStyle w:val="Compact"/>
            </w:pPr>
            <w:r>
              <w:rPr>
                <w:sz w:val="19"/>
              </w:rPr>
              <w:t xml:space="preserve">Asymmetry</w:t>
            </w:r>
          </w:p>
        </w:tc>
        <w:tc>
          <w:tcPr/>
          <w:p>
            <w:pPr>
              <w:pStyle w:val="Compact"/>
            </w:pPr>
            <w:r>
              <w:rPr>
                <w:sz w:val="19"/>
              </w:rPr>
              <w:t xml:space="preserve">(6)</w:t>
            </w:r>
          </w:p>
        </w:tc>
        <w:tc>
          <w:tcPr/>
          <w:p>
            <w:pPr>
              <w:pStyle w:val="Compact"/>
            </w:pPr>
            <w:r>
              <w:rPr>
                <w:sz w:val="19"/>
              </w:rPr>
              <w:t xml:space="preserve">β₁ + β₂</w:t>
            </w:r>
          </w:p>
        </w:tc>
        <w:tc>
          <w:tcPr/>
          <w:p>
            <w:pPr>
              <w:pStyle w:val="Compact"/>
            </w:pPr>
            <w:r>
              <w:rPr>
                <w:sz w:val="19"/>
              </w:rPr>
              <w:t xml:space="preserve">≠ 0</w:t>
            </w:r>
          </w:p>
        </w:tc>
      </w:tr>
      <w:tr>
        <w:tc>
          <w:tcPr/>
          <w:p>
            <w:pPr>
              <w:pStyle w:val="Compact"/>
            </w:pPr>
            <w:r>
              <w:rPr>
                <w:sz w:val="19"/>
              </w:rPr>
              <w:t xml:space="preserve">H2a</w:t>
            </w:r>
          </w:p>
        </w:tc>
        <w:tc>
          <w:tcPr/>
          <w:p>
            <w:pPr>
              <w:pStyle w:val="Compact"/>
            </w:pPr>
            <w:r>
              <w:rPr>
                <w:sz w:val="19"/>
              </w:rPr>
              <w:t xml:space="preserve">(7)</w:t>
            </w:r>
          </w:p>
        </w:tc>
        <w:tc>
          <w:tcPr/>
          <w:p>
            <w:pPr>
              <w:pStyle w:val="Compact"/>
            </w:pPr>
            <w:r>
              <w:rPr>
                <w:sz w:val="19"/>
              </w:rPr>
              <w:t xml:space="preserve">β₃: CSD⁺ × GROW; β₄: CSD⁺ × DEC</w:t>
            </w:r>
          </w:p>
        </w:tc>
        <w:tc>
          <w:tcPr/>
          <w:p>
            <w:pPr>
              <w:pStyle w:val="Compact"/>
            </w:pPr>
            <w:r>
              <w:rPr>
                <w:sz w:val="19"/>
              </w:rPr>
              <w:t xml:space="preserve">−; −</w:t>
            </w:r>
          </w:p>
        </w:tc>
      </w:tr>
      <w:tr>
        <w:tc>
          <w:tcPr/>
          <w:p>
            <w:pPr>
              <w:pStyle w:val="Compact"/>
            </w:pPr>
            <w:r>
              <w:rPr>
                <w:sz w:val="19"/>
              </w:rPr>
              <w:t xml:space="preserve">H2b</w:t>
            </w:r>
          </w:p>
        </w:tc>
        <w:tc>
          <w:tcPr/>
          <w:p>
            <w:pPr>
              <w:pStyle w:val="Compact"/>
            </w:pPr>
            <w:r>
              <w:rPr>
                <w:sz w:val="19"/>
              </w:rPr>
              <w:t xml:space="preserve">(8)</w:t>
            </w:r>
          </w:p>
        </w:tc>
        <w:tc>
          <w:tcPr/>
          <w:p>
            <w:pPr>
              <w:pStyle w:val="Compact"/>
            </w:pPr>
            <w:r>
              <w:rPr>
                <w:sz w:val="19"/>
              </w:rPr>
              <w:t xml:space="preserve">β₅: CSD⁻ × MAT</w:t>
            </w:r>
          </w:p>
        </w:tc>
        <w:tc>
          <w:tcPr/>
          <w:p>
            <w:pPr>
              <w:pStyle w:val="Compact"/>
            </w:pPr>
            <w:r>
              <w:rPr>
                <w:sz w:val="19"/>
              </w:rPr>
              <w:t xml:space="preserve">+</w:t>
            </w:r>
          </w:p>
        </w:tc>
      </w:tr>
      <w:tr>
        <w:tc>
          <w:tcPr/>
          <w:p>
            <w:pPr>
              <w:pStyle w:val="Compact"/>
            </w:pPr>
            <w:r>
              <w:rPr>
                <w:sz w:val="19"/>
              </w:rPr>
              <w:t xml:space="preserve">H3a</w:t>
            </w:r>
          </w:p>
        </w:tc>
        <w:tc>
          <w:tcPr/>
          <w:p>
            <w:pPr>
              <w:pStyle w:val="Compact"/>
            </w:pPr>
            <w:r>
              <w:rPr>
                <w:sz w:val="19"/>
              </w:rPr>
              <w:t xml:space="preserve">(9), (10)</w:t>
            </w:r>
          </w:p>
        </w:tc>
        <w:tc>
          <w:tcPr/>
          <w:p>
            <w:pPr>
              <w:pStyle w:val="Compact"/>
            </w:pPr>
            <w:r>
              <w:rPr>
                <w:sz w:val="19"/>
              </w:rPr>
              <w:t xml:space="preserve">β₄: CSD⁺ × MA; β₇: CSD⁺ × MA × GD</w:t>
            </w:r>
          </w:p>
        </w:tc>
        <w:tc>
          <w:tcPr/>
          <w:p>
            <w:pPr>
              <w:pStyle w:val="Compact"/>
            </w:pPr>
            <w:r>
              <w:rPr>
                <w:sz w:val="19"/>
              </w:rPr>
              <w:t xml:space="preserve">+; +</w:t>
            </w:r>
          </w:p>
        </w:tc>
      </w:tr>
      <w:tr>
        <w:tc>
          <w:tcPr/>
          <w:p>
            <w:pPr>
              <w:pStyle w:val="Compact"/>
            </w:pPr>
            <w:r>
              <w:rPr>
                <w:sz w:val="19"/>
              </w:rPr>
              <w:t xml:space="preserve">H3b</w:t>
            </w:r>
          </w:p>
        </w:tc>
        <w:tc>
          <w:tcPr/>
          <w:p>
            <w:pPr>
              <w:pStyle w:val="Compact"/>
            </w:pPr>
            <w:r>
              <w:rPr>
                <w:sz w:val="19"/>
              </w:rPr>
              <w:t xml:space="preserve">(11), (12)</w:t>
            </w:r>
          </w:p>
        </w:tc>
        <w:tc>
          <w:tcPr/>
          <w:p>
            <w:pPr>
              <w:pStyle w:val="Compact"/>
            </w:pPr>
            <w:r>
              <w:rPr>
                <w:sz w:val="19"/>
              </w:rPr>
              <w:t xml:space="preserve">β₈: CSD⁻ × MA; β₁₁: CSD⁻ × MA × MAT</w:t>
            </w:r>
          </w:p>
        </w:tc>
        <w:tc>
          <w:tcPr/>
          <w:p>
            <w:pPr>
              <w:pStyle w:val="Compact"/>
            </w:pPr>
            <w:r>
              <w:rPr>
                <w:sz w:val="19"/>
              </w:rPr>
              <w:t xml:space="preserve">−; −</w:t>
            </w:r>
          </w:p>
        </w:tc>
      </w:tr>
    </w:tbl>
    <w:p>
      <w:pPr>
        <w:pStyle w:val="BodyText"/>
      </w:pPr>
      <w:r>
        <w:t xml:space="preserve">Stage differences are inferred only from the interaction terms above. As a descriptive complement, Eqs. (6), (9) and (11) are also estimated within each stage, but these subsample estimates are not used to test H2 or H3: a difference in significance between separate regressions is not a test of a difference in effects (Gelman &amp; Stern, 2006).</w:t>
      </w:r>
    </w:p>
    <w:bookmarkEnd w:id="18"/>
    <w:bookmarkEnd w:id="19"/>
    <w:bookmarkStart w:id="25" w:name="identification-and-estimation"/>
    <w:p>
      <w:pPr>
        <w:pStyle w:val="Heading2"/>
      </w:pPr>
      <w:r>
        <w:t xml:space="preserve">3.8 Identification and Estimation</w:t>
      </w:r>
    </w:p>
    <w:bookmarkStart w:id="20" w:name="sources-of-endogeneity"/>
    <w:p>
      <w:pPr>
        <w:pStyle w:val="Heading3"/>
      </w:pPr>
      <w:r>
        <w:t xml:space="preserve">3.8.1 Sources of endogeneity</w:t>
      </w:r>
    </w:p>
    <w:p>
      <w:pPr>
        <w:pStyle w:val="FirstParagraph"/>
      </w:pPr>
      <w:r>
        <w:t xml:space="preserve">Three sources of endogeneity make static panel estimators inconsistent in this setting (Wintoki, Linck &amp; Netter, 2012):</w:t>
      </w:r>
    </w:p>
    <w:p>
      <w:pPr>
        <w:pStyle w:val="Compact"/>
        <w:numPr>
          <w:ilvl w:val="0"/>
          <w:numId w:val="1004"/>
        </w:numPr>
      </w:pPr>
      <w:r>
        <w:rPr>
          <w:b/>
          <w:bCs/>
        </w:rPr>
        <w:t xml:space="preserve">Dynamic dependence.</w:t>
      </w:r>
      <w:r>
        <w:t xml:space="preserve"> </w:t>
      </w:r>
      <w:r>
        <w:t xml:space="preserve">Investment distortions persist, so InvEff</w:t>
      </w:r>
      <w:r>
        <w:rPr>
          <w:vertAlign w:val="subscript"/>
        </w:rPr>
        <w:t xml:space="preserve">t−1</w:t>
      </w:r>
      <w:r>
        <w:t xml:space="preserve"> </w:t>
      </w:r>
      <w:r>
        <w:t xml:space="preserve">belongs in the model. With a firm effect η</w:t>
      </w:r>
      <w:r>
        <w:rPr>
          <w:vertAlign w:val="subscript"/>
        </w:rPr>
        <w:t xml:space="preserve">i</w:t>
      </w:r>
      <w:r>
        <w:t xml:space="preserve">, pooled OLS biases γ₁ upward and the within estimator biases it downward; the within bias is of order 1/T (Nickell, 1981) and is not negligible with about nine effective years.</w:t>
      </w:r>
    </w:p>
    <w:p>
      <w:pPr>
        <w:pStyle w:val="Compact"/>
        <w:numPr>
          <w:ilvl w:val="0"/>
          <w:numId w:val="1004"/>
        </w:numPr>
      </w:pPr>
      <w:r>
        <w:rPr>
          <w:b/>
          <w:bCs/>
        </w:rPr>
        <w:t xml:space="preserve">Simultaneity.</w:t>
      </w:r>
      <w:r>
        <w:t xml:space="preserve"> </w:t>
      </w:r>
      <w:r>
        <w:t xml:space="preserve">Investment financed with new debt raises leverage in the same year, so contemporaneous CSD⁺ and CSD⁻ would be jointly determined with InvEff. Measuring the deviation at t−1 removes this mechanical link (Section 3.7), but lagged deviation can still respond to past investment shocks, so it is not treated as exogenous.</w:t>
      </w:r>
    </w:p>
    <w:p>
      <w:pPr>
        <w:pStyle w:val="Compact"/>
        <w:numPr>
          <w:ilvl w:val="0"/>
          <w:numId w:val="1004"/>
        </w:numPr>
      </w:pPr>
      <w:r>
        <w:rPr>
          <w:b/>
          <w:bCs/>
        </w:rPr>
        <w:t xml:space="preserve">Unobserved heterogeneity and measurement error.</w:t>
      </w:r>
      <w:r>
        <w:t xml:space="preserve"> </w:t>
      </w:r>
      <w:r>
        <w:t xml:space="preserve">MA is constructed from sales efficiency, which shares shocks with investment, and both MA and CSDev are estimated regressors.</w:t>
      </w:r>
    </w:p>
    <w:bookmarkEnd w:id="20"/>
    <w:bookmarkStart w:id="21" w:name="two-step-system-gmm"/>
    <w:p>
      <w:pPr>
        <w:pStyle w:val="Heading3"/>
      </w:pPr>
      <w:r>
        <w:t xml:space="preserve">3.8.2 Two-step System GMM</w:t>
      </w:r>
    </w:p>
    <w:p>
      <w:pPr>
        <w:pStyle w:val="FirstParagraph"/>
      </w:pPr>
      <w:r>
        <w:t xml:space="preserve">Eqs. (6)–(12) are estimated with the two-step System GMM estimator (Arellano &amp; Bover, 1995; Blundell &amp; Bond, 1998), implemented with xtabond2 (Roodman, 2009b). Standard errors use the Windmeijer (2005) finite-sample correction. System GMM stacks a transformed equation, which removes η</w:t>
      </w:r>
      <w:r>
        <w:rPr>
          <w:vertAlign w:val="subscript"/>
        </w:rPr>
        <w:t xml:space="preserve">i</w:t>
      </w:r>
      <w:r>
        <w:t xml:space="preserve"> </w:t>
      </w:r>
      <w:r>
        <w:t xml:space="preserve">and is instrumented with lagged levels, and the levels equation, instrumented with lagged first differences. The transformation is the forward orthogonal deviation (Arellano &amp; Bover, 1995): each observation is expressed as its deviation from the mean of all future observations of the same firm. The panel has gaps, because firm-years with non-positive book equity are excluded (Section 3.1). First-differencing loses two observations at every gap, while the forward orthogonal deviation loses only one and uses all available future information (Roodman, 2009b). First differences are reported as sensitivity test S9a. The levels equation is valid if changes in the instruments are uncorrelated with the firm effect. It adds information that is valuable when the series are persistent and the panel is short, in which case lagged levels are weak instruments for first differences (Blundell &amp; Bond, 1998).</w:t>
      </w:r>
    </w:p>
    <w:p>
      <w:pPr>
        <w:pStyle w:val="BodyText"/>
      </w:pPr>
      <w:r>
        <w:t xml:space="preserve">Lags in the table refer to the regressor as it enters the model; for example, the instruments of CSD⁺</w:t>
      </w:r>
      <w:r>
        <w:rPr>
          <w:vertAlign w:val="subscript"/>
        </w:rPr>
        <w:t xml:space="preserve">t−1</w:t>
      </w:r>
      <w:r>
        <w:t xml:space="preserve"> </w:t>
      </w:r>
      <w:r>
        <w:t xml:space="preserve">are its own values two and three periods earlier.</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E8ECF3"/>
          </w:tcPr>
          <w:p>
            <w:pPr>
              <w:pStyle w:val="Compact"/>
            </w:pPr>
            <w:r>
              <w:rPr>
                <w:b/>
                <w:sz w:val="19"/>
              </w:rPr>
              <w:t xml:space="preserve">Regressor</w:t>
            </w:r>
          </w:p>
        </w:tc>
        <w:tc>
          <w:tcPr>
            <w:shd w:val="clear" w:color="auto" w:fill="E8ECF3"/>
          </w:tcPr>
          <w:p>
            <w:pPr>
              <w:pStyle w:val="Compact"/>
            </w:pPr>
            <w:r>
              <w:rPr>
                <w:b/>
                <w:sz w:val="19"/>
              </w:rPr>
              <w:t xml:space="preserve">Assumption</w:t>
            </w:r>
          </w:p>
        </w:tc>
        <w:tc>
          <w:tcPr>
            <w:shd w:val="clear" w:color="auto" w:fill="E8ECF3"/>
          </w:tcPr>
          <w:p>
            <w:pPr>
              <w:pStyle w:val="Compact"/>
            </w:pPr>
            <w:r>
              <w:rPr>
                <w:b/>
                <w:sz w:val="19"/>
              </w:rPr>
              <w:t xml:space="preserve">Transformed equation: GMM-style instruments</w:t>
            </w:r>
          </w:p>
        </w:tc>
        <w:tc>
          <w:tcPr>
            <w:shd w:val="clear" w:color="auto" w:fill="E8ECF3"/>
          </w:tcPr>
          <w:p>
            <w:pPr>
              <w:pStyle w:val="Compact"/>
            </w:pPr>
            <w:r>
              <w:rPr>
                <w:b/>
                <w:sz w:val="19"/>
              </w:rPr>
              <w:t xml:space="preserve">Levels equation: instruments</w:t>
            </w:r>
          </w:p>
        </w:tc>
      </w:tr>
      <w:tr>
        <w:tc>
          <w:tcPr/>
          <w:p>
            <w:pPr>
              <w:pStyle w:val="Compact"/>
            </w:pPr>
            <w:r>
              <w:rPr>
                <w:sz w:val="19"/>
              </w:rPr>
              <w:t xml:space="preserve">InvEff</w:t>
            </w:r>
            <w:r>
              <w:rPr>
                <w:sz w:val="19"/>
                <w:vertAlign w:val="subscript"/>
              </w:rPr>
              <w:t xml:space="preserve">t−1</w:t>
            </w:r>
          </w:p>
        </w:tc>
        <w:tc>
          <w:tcPr/>
          <w:p>
            <w:pPr>
              <w:pStyle w:val="Compact"/>
            </w:pPr>
            <w:r>
              <w:rPr>
                <w:sz w:val="19"/>
              </w:rPr>
              <w:t xml:space="preserve">Endogenous</w:t>
            </w:r>
          </w:p>
        </w:tc>
        <w:tc>
          <w:tcPr/>
          <w:p>
            <w:pPr>
              <w:pStyle w:val="Compact"/>
            </w:pPr>
            <w:r>
              <w:rPr>
                <w:sz w:val="19"/>
              </w:rPr>
              <w:t xml:space="preserve">Lags 2 and 3</w:t>
            </w:r>
          </w:p>
        </w:tc>
        <w:tc>
          <w:tcPr/>
          <w:p>
            <w:pPr>
              <w:pStyle w:val="Compact"/>
            </w:pPr>
            <w:r>
              <w:rPr>
                <w:sz w:val="19"/>
              </w:rPr>
              <w:t xml:space="preserve">Δ, lag 1</w:t>
            </w:r>
          </w:p>
        </w:tc>
      </w:tr>
      <w:tr>
        <w:tc>
          <w:tcPr/>
          <w:p>
            <w:pPr>
              <w:pStyle w:val="Compact"/>
            </w:pPr>
            <w:r>
              <w:rPr>
                <w:sz w:val="19"/>
              </w:rPr>
              <w:t xml:space="preserve">CSD⁺, CSD⁻, UNDER, OVER, MA (at t−1)</w:t>
            </w:r>
          </w:p>
        </w:tc>
        <w:tc>
          <w:tcPr/>
          <w:p>
            <w:pPr>
              <w:pStyle w:val="Compact"/>
            </w:pPr>
            <w:r>
              <w:rPr>
                <w:sz w:val="19"/>
              </w:rPr>
              <w:t xml:space="preserve">Endogenous</w:t>
            </w:r>
          </w:p>
        </w:tc>
        <w:tc>
          <w:tcPr/>
          <w:p>
            <w:pPr>
              <w:pStyle w:val="Compact"/>
            </w:pPr>
            <w:r>
              <w:rPr>
                <w:sz w:val="19"/>
              </w:rPr>
              <w:t xml:space="preserve">Lags 2 and 3</w:t>
            </w:r>
          </w:p>
        </w:tc>
        <w:tc>
          <w:tcPr/>
          <w:p>
            <w:pPr>
              <w:pStyle w:val="Compact"/>
            </w:pPr>
            <w:r>
              <w:rPr>
                <w:sz w:val="19"/>
              </w:rPr>
              <w:t xml:space="preserve">Δ, lag 1</w:t>
            </w:r>
          </w:p>
        </w:tc>
      </w:tr>
      <w:tr>
        <w:tc>
          <w:tcPr/>
          <w:p>
            <w:pPr>
              <w:pStyle w:val="Compact"/>
            </w:pPr>
            <w:r>
              <w:rPr>
                <w:sz w:val="19"/>
              </w:rPr>
              <w:t xml:space="preserve">Products with CSD⁺, CSD⁻ or MA</w:t>
            </w:r>
          </w:p>
        </w:tc>
        <w:tc>
          <w:tcPr/>
          <w:p>
            <w:pPr>
              <w:pStyle w:val="Compact"/>
            </w:pPr>
            <w:r>
              <w:rPr>
                <w:sz w:val="19"/>
              </w:rPr>
              <w:t xml:space="preserve">Endogenous; instrumented by lags of the product itself</w:t>
            </w:r>
          </w:p>
        </w:tc>
        <w:tc>
          <w:tcPr/>
          <w:p>
            <w:pPr>
              <w:pStyle w:val="Compact"/>
            </w:pPr>
            <w:r>
              <w:rPr>
                <w:sz w:val="19"/>
              </w:rPr>
              <w:t xml:space="preserve">Lags 2 and 3</w:t>
            </w:r>
          </w:p>
        </w:tc>
        <w:tc>
          <w:tcPr/>
          <w:p>
            <w:pPr>
              <w:pStyle w:val="Compact"/>
            </w:pPr>
            <w:r>
              <w:rPr>
                <w:sz w:val="19"/>
              </w:rPr>
              <w:t xml:space="preserve">Δ, lag 1</w:t>
            </w:r>
          </w:p>
        </w:tc>
      </w:tr>
      <w:tr>
        <w:tc>
          <w:tcPr/>
          <w:p>
            <w:pPr>
              <w:pStyle w:val="Compact"/>
            </w:pPr>
            <w:r>
              <w:rPr>
                <w:sz w:val="19"/>
              </w:rPr>
              <w:t xml:space="preserve">Stage indicators (t−1)</w:t>
            </w:r>
          </w:p>
        </w:tc>
        <w:tc>
          <w:tcPr/>
          <w:p>
            <w:pPr>
              <w:pStyle w:val="Compact"/>
            </w:pPr>
            <w:r>
              <w:rPr>
                <w:sz w:val="19"/>
              </w:rPr>
              <w:t xml:space="preserve">Predetermined</w:t>
            </w:r>
          </w:p>
        </w:tc>
        <w:tc>
          <w:tcPr/>
          <w:p>
            <w:pPr>
              <w:pStyle w:val="Compact"/>
            </w:pPr>
            <w:r>
              <w:rPr>
                <w:sz w:val="19"/>
              </w:rPr>
              <w:t xml:space="preserve">Lags 1 and 2</w:t>
            </w:r>
          </w:p>
        </w:tc>
        <w:tc>
          <w:tcPr/>
          <w:p>
            <w:pPr>
              <w:pStyle w:val="Compact"/>
            </w:pPr>
            <w:r>
              <w:rPr>
                <w:sz w:val="19"/>
              </w:rPr>
              <w:t xml:space="preserve">Δ, current</w:t>
            </w:r>
          </w:p>
        </w:tc>
      </w:tr>
      <w:tr>
        <w:tc>
          <w:tcPr/>
          <w:p>
            <w:pPr>
              <w:pStyle w:val="Compact"/>
            </w:pPr>
            <w:r>
              <w:rPr>
                <w:sz w:val="19"/>
              </w:rPr>
              <w:t xml:space="preserve">Controls (at t−1)</w:t>
            </w:r>
          </w:p>
        </w:tc>
        <w:tc>
          <w:tcPr/>
          <w:p>
            <w:pPr>
              <w:pStyle w:val="Compact"/>
            </w:pPr>
            <w:r>
              <w:rPr>
                <w:sz w:val="19"/>
              </w:rPr>
              <w:t xml:space="preserve">Endogenous</w:t>
            </w:r>
          </w:p>
        </w:tc>
        <w:tc>
          <w:tcPr/>
          <w:p>
            <w:pPr>
              <w:pStyle w:val="Compact"/>
            </w:pPr>
            <w:r>
              <w:rPr>
                <w:sz w:val="19"/>
              </w:rPr>
              <w:t xml:space="preserve">Lags 2 and 3</w:t>
            </w:r>
          </w:p>
        </w:tc>
        <w:tc>
          <w:tcPr/>
          <w:p>
            <w:pPr>
              <w:pStyle w:val="Compact"/>
            </w:pPr>
            <w:r>
              <w:rPr>
                <w:sz w:val="19"/>
              </w:rPr>
              <w:t xml:space="preserve">Δ, lag 1</w:t>
            </w:r>
          </w:p>
        </w:tc>
      </w:tr>
      <w:tr>
        <w:tc>
          <w:tcPr/>
          <w:p>
            <w:pPr>
              <w:pStyle w:val="Compact"/>
            </w:pPr>
            <w:r>
              <w:rPr>
                <w:sz w:val="19"/>
              </w:rPr>
              <w:t xml:space="preserve">Year dummies</w:t>
            </w:r>
          </w:p>
        </w:tc>
        <w:tc>
          <w:tcPr/>
          <w:p>
            <w:pPr>
              <w:pStyle w:val="Compact"/>
            </w:pPr>
            <w:r>
              <w:rPr>
                <w:sz w:val="19"/>
              </w:rPr>
              <w:t xml:space="preserve">Strictly exogenous</w:t>
            </w:r>
          </w:p>
        </w:tc>
        <w:tc>
          <w:tcPr/>
          <w:p>
            <w:pPr>
              <w:pStyle w:val="Compact"/>
            </w:pPr>
            <w:r>
              <w:rPr>
                <w:sz w:val="19"/>
              </w:rPr>
              <w:t xml:space="preserve">IV-style</w:t>
            </w:r>
          </w:p>
        </w:tc>
        <w:tc>
          <w:tcPr/>
          <w:p>
            <w:pPr>
              <w:pStyle w:val="Compact"/>
            </w:pPr>
            <w:r>
              <w:rPr>
                <w:sz w:val="19"/>
              </w:rPr>
              <w:t xml:space="preserve">IV-style</w:t>
            </w:r>
          </w:p>
        </w:tc>
      </w:tr>
      <w:tr>
        <w:tc>
          <w:tcPr/>
          <w:p>
            <w:pPr>
              <w:pStyle w:val="Compact"/>
            </w:pPr>
            <w:r>
              <w:rPr>
                <w:sz w:val="19"/>
              </w:rPr>
              <w:t xml:space="preserve">Industry dummies, ln(Age)</w:t>
            </w:r>
          </w:p>
        </w:tc>
        <w:tc>
          <w:tcPr/>
          <w:p>
            <w:pPr>
              <w:pStyle w:val="Compact"/>
            </w:pPr>
            <w:r>
              <w:rPr>
                <w:sz w:val="19"/>
              </w:rPr>
              <w:t xml:space="preserve">Time-invariant / deterministic trend</w:t>
            </w:r>
          </w:p>
        </w:tc>
        <w:tc>
          <w:tcPr/>
          <w:p>
            <w:pPr>
              <w:pStyle w:val="Compact"/>
            </w:pPr>
            <w:r>
              <w:rPr>
                <w:sz w:val="19"/>
              </w:rPr>
              <w:t xml:space="preserve">Not used</w:t>
            </w:r>
          </w:p>
        </w:tc>
        <w:tc>
          <w:tcPr/>
          <w:p>
            <w:pPr>
              <w:pStyle w:val="Compact"/>
            </w:pPr>
            <w:r>
              <w:rPr>
                <w:sz w:val="19"/>
              </w:rPr>
              <w:t xml:space="preserve">IV-style, levels only</w:t>
            </w:r>
          </w:p>
        </w:tc>
      </w:tr>
    </w:tbl>
    <w:p>
      <w:pPr>
        <w:pStyle w:val="BodyText"/>
      </w:pPr>
      <w:r>
        <w:t xml:space="preserve">The controls are treated as endogenous rather than predetermined. Size, growth opportunities, profitability and cash flow respond to past investment shocks, so even their lagged values may be correlated with the error (Wintoki, Linck &amp; Netter, 2012); in this sample the Hansen test also rejected the weaker predetermined assumption. The instrument matrix is collapsed and lag depth is restricted to two, so that the instrument count stays below the 299 cross-sectional units. Instrument proliferation overfits the endogenous regressors and weakens the Hansen test (Roodman, 2009a). The instrument count is reported for every model.</w:t>
      </w:r>
    </w:p>
    <w:p>
      <w:pPr>
        <w:pStyle w:val="BodyText"/>
      </w:pPr>
      <w:r>
        <w:t xml:space="preserve">Restricting lag depth keeps the instrument count low but can leave the instruments weak, and weak instruments make GMM estimates imprecise and biased toward OLS (Bun &amp; Windmeijer, 2010). Instrument strength is therefore checked before any hypothesis model is estimated. For each main regressor (CSD⁺, CSD⁻, MA), the cluster-robust first-stage F statistic of its collapsed lag instruments is computed for the transformed and levels equations. The lag window is fixed by a rule set in advance: lags 2–3 are kept unless the weakest first-stage F is below 10 (Staiger &amp; Stock, 1997) and the window of lags 2–4 gives stronger instruments, in which case lags 2–4 are used. The F statistics and the window selected are reported in the Online Appendix (OA10). The rule depends only on the first stages, never on the hypothesis tests.</w:t>
      </w:r>
    </w:p>
    <w:bookmarkEnd w:id="21"/>
    <w:bookmarkStart w:id="22" w:name="year-and-industry-effects"/>
    <w:p>
      <w:pPr>
        <w:pStyle w:val="Heading3"/>
      </w:pPr>
      <w:r>
        <w:t xml:space="preserve">3.8.3 Year and industry effects</w:t>
      </w:r>
    </w:p>
    <w:p>
      <w:pPr>
        <w:pStyle w:val="FirstParagraph"/>
      </w:pPr>
      <w:r>
        <w:t xml:space="preserve">Year and industry effects enter every equation in which they are identified:</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pPr>
            <w:r>
              <w:rPr>
                <w:b/>
                <w:sz w:val="19"/>
              </w:rPr>
              <w:t xml:space="preserve">Equation</w:t>
            </w:r>
          </w:p>
        </w:tc>
        <w:tc>
          <w:tcPr>
            <w:shd w:val="clear" w:color="auto" w:fill="E8ECF3"/>
          </w:tcPr>
          <w:p>
            <w:pPr>
              <w:pStyle w:val="Compact"/>
            </w:pPr>
            <w:r>
              <w:rPr>
                <w:b/>
                <w:sz w:val="19"/>
              </w:rPr>
              <w:t xml:space="preserve">Year effects</w:t>
            </w:r>
          </w:p>
        </w:tc>
        <w:tc>
          <w:tcPr>
            <w:shd w:val="clear" w:color="auto" w:fill="E8ECF3"/>
          </w:tcPr>
          <w:p>
            <w:pPr>
              <w:pStyle w:val="Compact"/>
            </w:pPr>
            <w:r>
              <w:rPr>
                <w:b/>
                <w:sz w:val="19"/>
              </w:rPr>
              <w:t xml:space="preserve">Industry effects</w:t>
            </w:r>
          </w:p>
        </w:tc>
      </w:tr>
      <w:tr>
        <w:tc>
          <w:tcPr/>
          <w:p>
            <w:pPr>
              <w:pStyle w:val="Compact"/>
            </w:pPr>
            <w:r>
              <w:rPr>
                <w:sz w:val="19"/>
              </w:rPr>
              <w:t xml:space="preserve">Expectation model, Eq. (1)</w:t>
            </w:r>
          </w:p>
        </w:tc>
        <w:tc>
          <w:tcPr/>
          <w:p>
            <w:pPr>
              <w:pStyle w:val="Compact"/>
            </w:pPr>
            <w:r>
              <w:rPr>
                <w:sz w:val="19"/>
              </w:rPr>
              <w:t xml:space="preserve">Absorbed: separate estimation for each industry-year</w:t>
            </w:r>
          </w:p>
        </w:tc>
        <w:tc>
          <w:tcPr/>
          <w:p>
            <w:pPr>
              <w:pStyle w:val="Compact"/>
            </w:pPr>
            <w:r>
              <w:rPr>
                <w:sz w:val="19"/>
              </w:rPr>
              <w:t xml:space="preserve">Absorbed: separate estimation for each industry-year</w:t>
            </w:r>
          </w:p>
        </w:tc>
      </w:tr>
      <w:tr>
        <w:tc>
          <w:tcPr/>
          <w:p>
            <w:pPr>
              <w:pStyle w:val="Compact"/>
            </w:pPr>
            <w:r>
              <w:rPr>
                <w:sz w:val="19"/>
              </w:rPr>
              <w:t xml:space="preserve">Target leverage, Eq. (2)</w:t>
            </w:r>
          </w:p>
        </w:tc>
        <w:tc>
          <w:tcPr/>
          <w:p>
            <w:pPr>
              <w:pStyle w:val="Compact"/>
            </w:pPr>
            <w:r>
              <w:rPr>
                <w:sz w:val="19"/>
              </w:rPr>
              <w:t xml:space="preserve">Captured by INF (year dummies would absorb INF)</w:t>
            </w:r>
          </w:p>
        </w:tc>
        <w:tc>
          <w:tcPr/>
          <w:p>
            <w:pPr>
              <w:pStyle w:val="Compact"/>
            </w:pPr>
            <w:r>
              <w:rPr>
                <w:sz w:val="19"/>
              </w:rPr>
              <w:t xml:space="preserve">Industry dummies</w:t>
            </w:r>
          </w:p>
        </w:tc>
      </w:tr>
      <w:tr>
        <w:tc>
          <w:tcPr/>
          <w:p>
            <w:pPr>
              <w:pStyle w:val="Compact"/>
            </w:pPr>
            <w:r>
              <w:rPr>
                <w:sz w:val="19"/>
              </w:rPr>
              <w:t xml:space="preserve">DEA frontier</w:t>
            </w:r>
          </w:p>
        </w:tc>
        <w:tc>
          <w:tcPr/>
          <w:p>
            <w:pPr>
              <w:pStyle w:val="Compact"/>
            </w:pPr>
            <w:r>
              <w:rPr>
                <w:sz w:val="19"/>
              </w:rPr>
              <w:t xml:space="preserve">Frontier per industry-year</w:t>
            </w:r>
          </w:p>
        </w:tc>
        <w:tc>
          <w:tcPr/>
          <w:p>
            <w:pPr>
              <w:pStyle w:val="Compact"/>
            </w:pPr>
            <w:r>
              <w:rPr>
                <w:sz w:val="19"/>
              </w:rPr>
              <w:t xml:space="preserve">Frontier per industry-year</w:t>
            </w:r>
          </w:p>
        </w:tc>
      </w:tr>
      <w:tr>
        <w:tc>
          <w:tcPr/>
          <w:p>
            <w:pPr>
              <w:pStyle w:val="Compact"/>
            </w:pPr>
            <w:r>
              <w:rPr>
                <w:sz w:val="19"/>
              </w:rPr>
              <w:t xml:space="preserve">Tobit, Eq. (5)</w:t>
            </w:r>
          </w:p>
        </w:tc>
        <w:tc>
          <w:tcPr/>
          <w:p>
            <w:pPr>
              <w:pStyle w:val="Compact"/>
            </w:pPr>
            <w:r>
              <w:rPr>
                <w:sz w:val="19"/>
              </w:rPr>
              <w:t xml:space="preserve">Year dummies</w:t>
            </w:r>
          </w:p>
        </w:tc>
        <w:tc>
          <w:tcPr/>
          <w:p>
            <w:pPr>
              <w:pStyle w:val="Compact"/>
            </w:pPr>
            <w:r>
              <w:rPr>
                <w:sz w:val="19"/>
              </w:rPr>
              <w:t xml:space="preserve">Industry dummies</w:t>
            </w:r>
          </w:p>
        </w:tc>
      </w:tr>
      <w:tr>
        <w:tc>
          <w:tcPr/>
          <w:p>
            <w:pPr>
              <w:pStyle w:val="Compact"/>
            </w:pPr>
            <w:r>
              <w:rPr>
                <w:sz w:val="19"/>
              </w:rPr>
              <w:t xml:space="preserve">GMM models, Eqs. (6)–(12)</w:t>
            </w:r>
          </w:p>
        </w:tc>
        <w:tc>
          <w:tcPr/>
          <w:p>
            <w:pPr>
              <w:pStyle w:val="Compact"/>
            </w:pPr>
            <w:r>
              <w:rPr>
                <w:sz w:val="19"/>
              </w:rPr>
              <w:t xml:space="preserve">Year dummies in both equations</w:t>
            </w:r>
          </w:p>
        </w:tc>
        <w:tc>
          <w:tcPr/>
          <w:p>
            <w:pPr>
              <w:pStyle w:val="Compact"/>
            </w:pPr>
            <w:r>
              <w:rPr>
                <w:sz w:val="19"/>
              </w:rPr>
              <w:t xml:space="preserve">Industry dummies in the levels equation only</w:t>
            </w:r>
          </w:p>
        </w:tc>
      </w:tr>
    </w:tbl>
    <w:p>
      <w:pPr>
        <w:pStyle w:val="BodyText"/>
      </w:pPr>
      <w:r>
        <w:t xml:space="preserve">In the GMM models, year dummies absorb shocks common to all TSE firms, such as currency devaluations, sanctions and policy-rate changes. Without them, these shocks enter the error term as cross-sectional correlation, which invalidates the autocorrelation tests (Roodman, 2009b). Industry dummies are time-invariant: the forward orthogonal deviation removes them, so they enter only the levels equation. Industry × year dummies are not used because they would add more than a hundred instruments. Industries with fewer than five firms are pooled into one category for the industry dummies, because a dummy for a single-firm industry is not identified in the levels equation.</w:t>
      </w:r>
    </w:p>
    <w:bookmarkEnd w:id="22"/>
    <w:bookmarkStart w:id="23" w:name="specification-tests"/>
    <w:p>
      <w:pPr>
        <w:pStyle w:val="Heading3"/>
      </w:pPr>
      <w:r>
        <w:t xml:space="preserve">3.8.4 Specification tests</w:t>
      </w:r>
    </w:p>
    <w:p>
      <w:pPr>
        <w:pStyle w:val="FirstParagraph"/>
      </w:pPr>
      <w:r>
        <w:t xml:space="preserve">Every GMM model reports the following:</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3960"/>
        <w:gridCol w:w="3960"/>
      </w:tblGrid>
      <w:tr>
        <w:trPr>
          <w:tblHeader w:val="on"/>
        </w:trPr>
        <w:tc>
          <w:tcPr>
            <w:shd w:val="clear" w:color="auto" w:fill="E8ECF3"/>
          </w:tcPr>
          <w:p>
            <w:pPr>
              <w:pStyle w:val="Compact"/>
            </w:pPr>
            <w:r>
              <w:rPr>
                <w:b/>
                <w:sz w:val="19"/>
              </w:rPr>
              <w:t xml:space="preserve">Test</w:t>
            </w:r>
          </w:p>
        </w:tc>
        <w:tc>
          <w:tcPr>
            <w:shd w:val="clear" w:color="auto" w:fill="E8ECF3"/>
          </w:tcPr>
          <w:p>
            <w:pPr>
              <w:pStyle w:val="Compact"/>
            </w:pPr>
            <w:r>
              <w:rPr>
                <w:b/>
                <w:sz w:val="19"/>
              </w:rPr>
              <w:t xml:space="preserve">Requirement</w:t>
            </w:r>
          </w:p>
        </w:tc>
      </w:tr>
      <w:tr>
        <w:tc>
          <w:tcPr/>
          <w:p>
            <w:pPr>
              <w:pStyle w:val="Compact"/>
            </w:pPr>
            <w:r>
              <w:rPr>
                <w:sz w:val="19"/>
              </w:rPr>
              <w:t xml:space="preserve">Arellano–Bond AR(1) in first differences</w:t>
            </w:r>
          </w:p>
        </w:tc>
        <w:tc>
          <w:tcPr/>
          <w:p>
            <w:pPr>
              <w:pStyle w:val="Compact"/>
            </w:pPr>
            <w:r>
              <w:rPr>
                <w:sz w:val="19"/>
              </w:rPr>
              <w:t xml:space="preserve">Rejected (expected by construction)</w:t>
            </w:r>
          </w:p>
        </w:tc>
      </w:tr>
      <w:tr>
        <w:tc>
          <w:tcPr/>
          <w:p>
            <w:pPr>
              <w:pStyle w:val="Compact"/>
            </w:pPr>
            <w:r>
              <w:rPr>
                <w:sz w:val="19"/>
              </w:rPr>
              <w:t xml:space="preserve">Arellano–Bond AR(2) in first differences</w:t>
            </w:r>
          </w:p>
        </w:tc>
        <w:tc>
          <w:tcPr/>
          <w:p>
            <w:pPr>
              <w:pStyle w:val="Compact"/>
            </w:pPr>
            <w:r>
              <w:rPr>
                <w:sz w:val="19"/>
              </w:rPr>
              <w:t xml:space="preserve">Not rejected (p &gt; 0.10)</w:t>
            </w:r>
          </w:p>
        </w:tc>
      </w:tr>
      <w:tr>
        <w:tc>
          <w:tcPr/>
          <w:p>
            <w:pPr>
              <w:pStyle w:val="Compact"/>
            </w:pPr>
            <w:r>
              <w:rPr>
                <w:sz w:val="19"/>
              </w:rPr>
              <w:t xml:space="preserve">Instrument strength (first-stage F of the main regressors)</w:t>
            </w:r>
          </w:p>
        </w:tc>
        <w:tc>
          <w:tcPr/>
          <w:p>
            <w:pPr>
              <w:pStyle w:val="Compact"/>
            </w:pPr>
            <w:r>
              <w:rPr>
                <w:sz w:val="19"/>
              </w:rPr>
              <w:t xml:space="preserve">Reported; lag window chosen by the rule in Section 3.8.2</w:t>
            </w:r>
          </w:p>
        </w:tc>
      </w:tr>
      <w:tr>
        <w:tc>
          <w:tcPr/>
          <w:p>
            <w:pPr>
              <w:pStyle w:val="Compact"/>
            </w:pPr>
            <w:r>
              <w:rPr>
                <w:sz w:val="19"/>
              </w:rPr>
              <w:t xml:space="preserve">Hansen J test of over-identifying restrictions</w:t>
            </w:r>
          </w:p>
        </w:tc>
        <w:tc>
          <w:tcPr/>
          <w:p>
            <w:pPr>
              <w:pStyle w:val="Compact"/>
            </w:pPr>
            <w:r>
              <w:rPr>
                <w:sz w:val="19"/>
              </w:rPr>
              <w:t xml:space="preserve">Not rejected (p &gt; 0.10) and not implausibly close to 1</w:t>
            </w:r>
          </w:p>
        </w:tc>
      </w:tr>
      <w:tr>
        <w:tc>
          <w:tcPr/>
          <w:p>
            <w:pPr>
              <w:pStyle w:val="Compact"/>
            </w:pPr>
            <w:r>
              <w:rPr>
                <w:sz w:val="19"/>
              </w:rPr>
              <w:t xml:space="preserve">Difference-in-Hansen test of the levels-equation instruments</w:t>
            </w:r>
          </w:p>
        </w:tc>
        <w:tc>
          <w:tcPr/>
          <w:p>
            <w:pPr>
              <w:pStyle w:val="Compact"/>
            </w:pPr>
            <w:r>
              <w:rPr>
                <w:sz w:val="19"/>
              </w:rPr>
              <w:t xml:space="preserve">Not rejected</w:t>
            </w:r>
          </w:p>
        </w:tc>
      </w:tr>
      <w:tr>
        <w:tc>
          <w:tcPr/>
          <w:p>
            <w:pPr>
              <w:pStyle w:val="Compact"/>
            </w:pPr>
            <w:r>
              <w:rPr>
                <w:sz w:val="19"/>
              </w:rPr>
              <w:t xml:space="preserve">Instrument count</w:t>
            </w:r>
          </w:p>
        </w:tc>
        <w:tc>
          <w:tcPr/>
          <w:p>
            <w:pPr>
              <w:pStyle w:val="Compact"/>
            </w:pPr>
            <w:r>
              <w:rPr>
                <w:sz w:val="19"/>
              </w:rPr>
              <w:t xml:space="preserve">Below the number of firms</w:t>
            </w:r>
          </w:p>
        </w:tc>
      </w:tr>
      <w:tr>
        <w:tc>
          <w:tcPr/>
          <w:p>
            <w:pPr>
              <w:pStyle w:val="Compact"/>
            </w:pPr>
            <w:r>
              <w:rPr>
                <w:sz w:val="19"/>
              </w:rPr>
              <w:t xml:space="preserve">Bond (2002) bounds</w:t>
            </w:r>
          </w:p>
        </w:tc>
        <w:tc>
          <w:tcPr/>
          <w:p>
            <w:pPr>
              <w:pStyle w:val="Compact"/>
            </w:pPr>
            <w:r>
              <w:rPr>
                <w:sz w:val="19"/>
              </w:rPr>
              <w:t xml:space="preserve">γ̂₁ between the within and pooled-OLS estimates</w:t>
            </w:r>
          </w:p>
        </w:tc>
      </w:tr>
      <w:tr>
        <w:tc>
          <w:tcPr/>
          <w:p>
            <w:pPr>
              <w:pStyle w:val="Compact"/>
            </w:pPr>
            <w:r>
              <w:rPr>
                <w:sz w:val="19"/>
              </w:rPr>
              <w:t xml:space="preserve">Stability</w:t>
            </w:r>
          </w:p>
        </w:tc>
        <w:tc>
          <w:tcPr/>
          <w:p>
            <w:pPr>
              <w:pStyle w:val="Compact"/>
            </w:pPr>
            <w:r>
              <w:rPr>
                <w:sz w:val="19"/>
              </w:rPr>
              <w:t xml:space="preserve">|γ̂₁| &lt; 1</w:t>
            </w:r>
          </w:p>
        </w:tc>
      </w:tr>
    </w:tbl>
    <w:p>
      <w:pPr>
        <w:pStyle w:val="BodyText"/>
      </w:pPr>
      <w:r>
        <w:t xml:space="preserve">Static two-way fixed-effects estimates of every model, with firm-clustered standard errors, are reported alongside the GMM estimates for transparency.</w:t>
      </w:r>
    </w:p>
    <w:bookmarkEnd w:id="23"/>
    <w:bookmarkStart w:id="24" w:name="reverse-causality"/>
    <w:p>
      <w:pPr>
        <w:pStyle w:val="Heading3"/>
      </w:pPr>
      <w:r>
        <w:t xml:space="preserve">3.8.5 Reverse causality</w:t>
      </w:r>
    </w:p>
    <w:p>
      <w:pPr>
        <w:pStyle w:val="FirstParagraph"/>
      </w:pPr>
      <w:r>
        <w:t xml:space="preserve">If investment distortions move leverage away from target, rather than the reverse, the estimated β₁ and β₂ could reflect reverse causality. This is tested directly by reversing the roles of the two constructs:</w:t>
      </w:r>
    </w:p>
    <w:p>
      <w:pPr>
        <w:pStyle w:val="BodyText"/>
      </w:pPr>
      <m:oMathPara>
        <m:oMathParaPr>
          <m:jc m:val="center"/>
        </m:oMathParaPr>
        <m:oMath>
          <m:r>
            <m:t>C</m:t>
          </m:r>
          <m:r>
            <m:t>S</m:t>
          </m:r>
          <m:r>
            <m:t>D</m:t>
          </m:r>
          <m:r>
            <m:t>e</m:t>
          </m:r>
          <m:sSub>
            <m:e>
              <m:r>
                <m:t>v</m:t>
              </m:r>
            </m:e>
            <m:sub>
              <m:r>
                <m:t>i</m:t>
              </m:r>
              <m:r>
                <m:rPr>
                  <m:sty m:val="p"/>
                </m:rPr>
                <m:t>,</m:t>
              </m:r>
              <m:r>
                <m:t>t</m:t>
              </m:r>
            </m:sub>
          </m:sSub>
          <m:r>
            <m:rPr>
              <m:sty m:val="p"/>
            </m:rPr>
            <m:t>=</m:t>
          </m:r>
          <m:sSub>
            <m:e>
              <m:r>
                <m:t>ρ</m:t>
              </m:r>
            </m:e>
            <m:sub>
              <m:r>
                <m:t>0</m:t>
              </m:r>
            </m:sub>
          </m:sSub>
          <m:r>
            <m:rPr>
              <m:sty m:val="p"/>
            </m:rPr>
            <m:t>+</m:t>
          </m:r>
          <m:sSub>
            <m:e>
              <m:r>
                <m:t>ρ</m:t>
              </m:r>
            </m:e>
            <m:sub>
              <m:r>
                <m:t>1</m:t>
              </m:r>
            </m:sub>
          </m:sSub>
          <m:r>
            <m:t>C</m:t>
          </m:r>
          <m:r>
            <m:t>S</m:t>
          </m:r>
          <m:r>
            <m:t>D</m:t>
          </m:r>
          <m:r>
            <m:t>e</m:t>
          </m:r>
          <m:sSub>
            <m:e>
              <m:r>
                <m:t>v</m:t>
              </m:r>
            </m:e>
            <m:sub>
              <m:r>
                <m:t>i</m:t>
              </m:r>
              <m:r>
                <m:rPr>
                  <m:sty m:val="p"/>
                </m:rPr>
                <m:t>,</m:t>
              </m:r>
              <m:r>
                <m:t>t</m:t>
              </m:r>
              <m:r>
                <m:rPr>
                  <m:sty m:val="p"/>
                </m:rPr>
                <m:t>−</m:t>
              </m:r>
              <m:r>
                <m:t>1</m:t>
              </m:r>
            </m:sub>
          </m:sSub>
          <m:r>
            <m:rPr>
              <m:sty m:val="p"/>
            </m:rPr>
            <m:t>+</m:t>
          </m:r>
          <m:r>
            <m:t>θ</m:t>
          </m:r>
          <m:r>
            <m:t> </m:t>
          </m:r>
          <m:r>
            <m:t>I</m:t>
          </m:r>
          <m:r>
            <m:t>n</m:t>
          </m:r>
          <m:r>
            <m:t>v</m:t>
          </m:r>
          <m:r>
            <m:t>E</m:t>
          </m:r>
          <m:r>
            <m:t>f</m:t>
          </m:r>
          <m:sSub>
            <m:e>
              <m:r>
                <m:t>f</m:t>
              </m:r>
            </m:e>
            <m:sub>
              <m:r>
                <m:t>i</m:t>
              </m:r>
              <m:r>
                <m:rPr>
                  <m:sty m:val="p"/>
                </m:rPr>
                <m:t>,</m:t>
              </m:r>
              <m:r>
                <m:t>t</m:t>
              </m:r>
              <m:r>
                <m:rPr>
                  <m:sty m:val="p"/>
                </m:rPr>
                <m:t>−</m:t>
              </m:r>
              <m:r>
                <m:t>1</m:t>
              </m:r>
            </m:sub>
          </m:sSub>
          <m:r>
            <m:rPr>
              <m:sty m:val="p"/>
            </m:rPr>
            <m:t>+</m:t>
          </m:r>
          <m:sSup>
            <m:e>
              <m:r>
                <m:t>δ</m:t>
              </m:r>
            </m:e>
            <m:sup>
              <m:r>
                <m:rPr>
                  <m:sty m:val="p"/>
                </m:rPr>
                <m:t>′</m:t>
              </m:r>
            </m:sup>
          </m:sSup>
          <m:sSub>
            <m:e>
              <m:r>
                <m:t>X</m:t>
              </m:r>
            </m:e>
            <m:sub>
              <m:r>
                <m:t>i</m:t>
              </m:r>
              <m:r>
                <m:rPr>
                  <m:sty m:val="p"/>
                </m:rPr>
                <m:t>,</m:t>
              </m:r>
              <m:r>
                <m:t>t</m:t>
              </m:r>
              <m:r>
                <m:rPr>
                  <m:sty m:val="p"/>
                </m:rPr>
                <m:t>−</m:t>
              </m:r>
              <m:r>
                <m:t>1</m:t>
              </m:r>
            </m:sub>
          </m:sSub>
          <m:r>
            <m:rPr>
              <m:sty m:val="p"/>
            </m:rPr>
            <m:t>+</m:t>
          </m:r>
          <m:sSub>
            <m:e>
              <m:r>
                <m:t>η</m:t>
              </m:r>
            </m:e>
            <m:sub>
              <m:r>
                <m:t>i</m:t>
              </m:r>
            </m:sub>
          </m:sSub>
          <m:r>
            <m:rPr>
              <m:sty m:val="p"/>
            </m:rPr>
            <m:t>+</m:t>
          </m:r>
          <m:sSub>
            <m:e>
              <m:r>
                <m:t>ν</m:t>
              </m:r>
            </m:e>
            <m:sub>
              <m:r>
                <m:t>t</m:t>
              </m:r>
            </m:sub>
          </m:sSub>
          <m:r>
            <m:rPr>
              <m:sty m:val="p"/>
            </m:rPr>
            <m:t>+</m:t>
          </m:r>
          <m:sSub>
            <m:e>
              <m:r>
                <m:t>ε</m:t>
              </m:r>
            </m:e>
            <m:sub>
              <m:r>
                <m:t>i</m:t>
              </m:r>
              <m:r>
                <m:rPr>
                  <m:sty m:val="p"/>
                </m:rPr>
                <m:t>,</m:t>
              </m:r>
              <m:r>
                <m:t>t</m:t>
              </m:r>
            </m:sub>
          </m:sSub>
          <m:r>
            <m:t>  </m:t>
          </m:r>
          <m:r>
            <m:rPr>
              <m:sty m:val="p"/>
            </m:rPr>
            <m:t>(</m:t>
          </m:r>
          <m:r>
            <m:t>13</m:t>
          </m:r>
          <m:r>
            <m:rPr>
              <m:sty m:val="p"/>
            </m:rPr>
            <m:t>)</m:t>
          </m:r>
        </m:oMath>
      </m:oMathPara>
    </w:p>
    <w:p>
      <w:pPr>
        <w:pStyle w:val="FirstParagraph"/>
      </w:pPr>
      <w:r>
        <w:t xml:space="preserve">Eq. (13) is estimated with the same System GMM design. A significant θ indicates feedback from investment to leverage deviation. In that case the GMM treatment of CSD⁺ and CSD⁻ as endogenous in Eqs. (6)–(12) is necessary, and Granger-type evidence on the direction of the relation (Eq. 6 versus Eq. 13) is reported.</w:t>
      </w:r>
    </w:p>
    <w:bookmarkEnd w:id="24"/>
    <w:bookmarkEnd w:id="25"/>
    <w:bookmarkStart w:id="26" w:name="inference-on-moderation-effects"/>
    <w:p>
      <w:pPr>
        <w:pStyle w:val="Heading2"/>
      </w:pPr>
      <w:r>
        <w:t xml:space="preserve">3.9 Inference on Moderation Effects</w:t>
      </w:r>
    </w:p>
    <w:p>
      <w:pPr>
        <w:pStyle w:val="FirstParagraph"/>
      </w:pPr>
      <w:r>
        <w:t xml:space="preserve">The moderation tests follow Aiken and West (1991) and Brambor, Clark and Golder (2006):</w:t>
      </w:r>
    </w:p>
    <w:p>
      <w:pPr>
        <w:pStyle w:val="Compact"/>
        <w:numPr>
          <w:ilvl w:val="0"/>
          <w:numId w:val="1005"/>
        </w:numPr>
      </w:pPr>
      <w:r>
        <w:rPr>
          <w:b/>
          <w:bCs/>
        </w:rPr>
        <w:t xml:space="preserve">Constituent terms.</w:t>
      </w:r>
      <w:r>
        <w:t xml:space="preserve"> </w:t>
      </w:r>
      <w:r>
        <w:t xml:space="preserve">Every product term is accompanied by all of its lower-order terms. In the three-way models this means all three main effects and all three two-way products.</w:t>
      </w:r>
    </w:p>
    <w:p>
      <w:pPr>
        <w:pStyle w:val="Compact"/>
        <w:numPr>
          <w:ilvl w:val="0"/>
          <w:numId w:val="1005"/>
        </w:numPr>
      </w:pPr>
      <w:r>
        <w:rPr>
          <w:b/>
          <w:bCs/>
        </w:rPr>
        <w:t xml:space="preserve">Scaling.</w:t>
      </w:r>
      <w:r>
        <w:t xml:space="preserve"> </w:t>
      </w:r>
      <w:r>
        <w:t xml:space="preserve">MA is mean-centered, so the coefficients on CSD⁺ and CSD⁻ are the effects at average managerial ability. CSD⁺ and CSD⁻ are not centered, because zero is a meaningful value: the firm is at its target.</w:t>
      </w:r>
    </w:p>
    <w:p>
      <w:pPr>
        <w:pStyle w:val="Compact"/>
        <w:numPr>
          <w:ilvl w:val="0"/>
          <w:numId w:val="1005"/>
        </w:numPr>
      </w:pPr>
      <w:r>
        <w:rPr>
          <w:b/>
          <w:bCs/>
        </w:rPr>
        <w:t xml:space="preserve">Reference categories.</w:t>
      </w:r>
      <w:r>
        <w:t xml:space="preserve"> </w:t>
      </w:r>
      <w:r>
        <w:t xml:space="preserve">One stage is omitted in every model, and the omitted stage is stated with each equation.</w:t>
      </w:r>
    </w:p>
    <w:p>
      <w:pPr>
        <w:pStyle w:val="Compact"/>
        <w:numPr>
          <w:ilvl w:val="0"/>
          <w:numId w:val="1005"/>
        </w:numPr>
      </w:pPr>
      <w:r>
        <w:rPr>
          <w:b/>
          <w:bCs/>
        </w:rPr>
        <w:t xml:space="preserve">Marginal effects.</w:t>
      </w:r>
      <w:r>
        <w:t xml:space="preserve"> </w:t>
      </w:r>
      <w:r>
        <w:t xml:space="preserve">Interaction coefficients are not interpreted in isolation. The marginal effect of CSD⁺ (or CSD⁻) on InvEff is computed across the observed range of MA, for example β₁ + β₄·MA in Eq. (9), with 95% confidence intervals from the full covariance matrix of the estimates. It is plotted against MA, separately for growth/decline and maturity in Eqs. (10) and (12). The Johnson–Neyman interval, the range of MA over which the marginal effect is significant, is reported.</w:t>
      </w:r>
    </w:p>
    <w:p>
      <w:pPr>
        <w:pStyle w:val="Compact"/>
        <w:numPr>
          <w:ilvl w:val="0"/>
          <w:numId w:val="1005"/>
        </w:numPr>
      </w:pPr>
      <w:r>
        <w:rPr>
          <w:b/>
          <w:bCs/>
        </w:rPr>
        <w:t xml:space="preserve">Common support.</w:t>
      </w:r>
      <w:r>
        <w:t xml:space="preserve"> </w:t>
      </w:r>
      <w:r>
        <w:t xml:space="preserve">Marginal effects are evaluated only within the observed range of MA in each stage, and a binned estimator is reported to check that the interaction is approximately linear (Hainmueller, Mummolo &amp; Xu, 2019).</w:t>
      </w:r>
    </w:p>
    <w:p>
      <w:pPr>
        <w:pStyle w:val="Compact"/>
        <w:numPr>
          <w:ilvl w:val="0"/>
          <w:numId w:val="1005"/>
        </w:numPr>
      </w:pPr>
      <w:r>
        <w:rPr>
          <w:b/>
          <w:bCs/>
        </w:rPr>
        <w:t xml:space="preserve">Direct tests of differences.</w:t>
      </w:r>
      <w:r>
        <w:t xml:space="preserve"> </w:t>
      </w:r>
      <w:r>
        <w:t xml:space="preserve">Differences across stages are tested with interaction coefficients and joint Wald tests within one model, not by comparing significance across subsamples.</w:t>
      </w:r>
    </w:p>
    <w:p>
      <w:pPr>
        <w:pStyle w:val="Compact"/>
        <w:numPr>
          <w:ilvl w:val="0"/>
          <w:numId w:val="1005"/>
        </w:numPr>
      </w:pPr>
      <w:r>
        <w:rPr>
          <w:b/>
          <w:bCs/>
        </w:rPr>
        <w:t xml:space="preserve">Endogenous products.</w:t>
      </w:r>
      <w:r>
        <w:t xml:space="preserve"> </w:t>
      </w:r>
      <w:r>
        <w:t xml:space="preserve">Products of endogenous variables are endogenous; each is instrumented with lags of the product itself (Section 3.8.2).</w:t>
      </w:r>
    </w:p>
    <w:p>
      <w:pPr>
        <w:pStyle w:val="FirstParagraph"/>
      </w:pPr>
      <w:r>
        <w:t xml:space="preserve">Economic magnitude is reported alongside statistical significance: the change in InvEff associated with a one-standard-deviation increase in CSD⁺ or CSD⁻, computed at low MA (mean − 1 SD) and high MA (mean + 1 SD) and expressed as a percentage of the mean absolute investment residual.</w:t>
      </w:r>
    </w:p>
    <w:bookmarkEnd w:id="26"/>
    <w:bookmarkStart w:id="31" w:name="X4c7f80402268df8105c68b8039577137153f403"/>
    <w:p>
      <w:pPr>
        <w:pStyle w:val="Heading2"/>
      </w:pPr>
      <w:r>
        <w:t xml:space="preserve">3.10 Diagnostics, Multicollinearity and Model Assumptions</w:t>
      </w:r>
    </w:p>
    <w:p>
      <w:pPr>
        <w:pStyle w:val="FirstParagraph"/>
      </w:pPr>
      <w:r>
        <w:t xml:space="preserve">The descriptive analysis reports summary statistics, the Pearson and Spearman correlation matrices, the frequency of each original Dickinson stage, and a cross-tabulation of stage by deviation direction (over- versus under-leveraged). The cross-tabulation shows whether every stage × direction cell contains enough observations to identify the interaction terms.</w:t>
      </w:r>
    </w:p>
    <w:bookmarkStart w:id="27" w:name="multicollinearity"/>
    <w:p>
      <w:pPr>
        <w:pStyle w:val="Heading3"/>
      </w:pPr>
      <w:r>
        <w:t xml:space="preserve">3.10.1 Multicollinearity</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pPr>
            <w:r>
              <w:rPr>
                <w:b/>
                <w:sz w:val="19"/>
              </w:rPr>
              <w:t xml:space="preserve">Source</w:t>
            </w:r>
          </w:p>
        </w:tc>
        <w:tc>
          <w:tcPr>
            <w:shd w:val="clear" w:color="auto" w:fill="E8ECF3"/>
          </w:tcPr>
          <w:p>
            <w:pPr>
              <w:pStyle w:val="Compact"/>
            </w:pPr>
            <w:r>
              <w:rPr>
                <w:b/>
                <w:sz w:val="19"/>
              </w:rPr>
              <w:t xml:space="preserve">Diagnosis</w:t>
            </w:r>
          </w:p>
        </w:tc>
        <w:tc>
          <w:tcPr>
            <w:shd w:val="clear" w:color="auto" w:fill="E8ECF3"/>
          </w:tcPr>
          <w:p>
            <w:pPr>
              <w:pStyle w:val="Compact"/>
            </w:pPr>
            <w:r>
              <w:rPr>
                <w:b/>
                <w:sz w:val="19"/>
              </w:rPr>
              <w:t xml:space="preserve">Treatment</w:t>
            </w:r>
          </w:p>
        </w:tc>
      </w:tr>
      <w:tr>
        <w:tc>
          <w:tcPr/>
          <w:p>
            <w:pPr>
              <w:pStyle w:val="Compact"/>
            </w:pPr>
            <w:r>
              <w:rPr>
                <w:sz w:val="19"/>
              </w:rPr>
              <w:t xml:space="preserve">Main effects</w:t>
            </w:r>
          </w:p>
        </w:tc>
        <w:tc>
          <w:tcPr/>
          <w:p>
            <w:pPr>
              <w:pStyle w:val="Compact"/>
            </w:pPr>
            <w:r>
              <w:rPr>
                <w:sz w:val="19"/>
              </w:rPr>
              <w:t xml:space="preserve">Variance inflation factors from the static, main-effects version of each model</w:t>
            </w:r>
          </w:p>
        </w:tc>
        <w:tc>
          <w:tcPr/>
          <w:p>
            <w:pPr>
              <w:pStyle w:val="Compact"/>
            </w:pPr>
            <w:r>
              <w:rPr>
                <w:sz w:val="19"/>
              </w:rPr>
              <w:t xml:space="preserve">Maximum VIF &lt; 10 and mean VIF &lt; 5</w:t>
            </w:r>
          </w:p>
        </w:tc>
      </w:tr>
      <w:tr>
        <w:tc>
          <w:tcPr/>
          <w:p>
            <w:pPr>
              <w:pStyle w:val="Compact"/>
            </w:pPr>
            <w:r>
              <w:rPr>
                <w:sz w:val="19"/>
              </w:rPr>
              <w:t xml:space="preserve">Product terms</w:t>
            </w:r>
          </w:p>
        </w:tc>
        <w:tc>
          <w:tcPr/>
          <w:p>
            <w:pPr>
              <w:pStyle w:val="Compact"/>
            </w:pPr>
            <w:r>
              <w:rPr>
                <w:sz w:val="19"/>
              </w:rPr>
              <w:t xml:space="preserve">High VIF between a product and its components is structural and does not bias the estimates (Brambor et al., 2006)</w:t>
            </w:r>
          </w:p>
        </w:tc>
        <w:tc>
          <w:tcPr/>
          <w:p>
            <w:pPr>
              <w:pStyle w:val="Compact"/>
            </w:pPr>
            <w:r>
              <w:rPr>
                <w:sz w:val="19"/>
              </w:rPr>
              <w:t xml:space="preserve">MA centered; VIF of product terms not used as a criterion</w:t>
            </w:r>
          </w:p>
        </w:tc>
      </w:tr>
      <w:tr>
        <w:tc>
          <w:tcPr/>
          <w:p>
            <w:pPr>
              <w:pStyle w:val="Compact"/>
            </w:pPr>
            <w:r>
              <w:rPr>
                <w:sz w:val="19"/>
              </w:rPr>
              <w:t xml:space="preserve">INF in investment models</w:t>
            </w:r>
          </w:p>
        </w:tc>
        <w:tc>
          <w:tcPr/>
          <w:p>
            <w:pPr>
              <w:pStyle w:val="Compact"/>
            </w:pPr>
            <w:r>
              <w:rPr>
                <w:sz w:val="19"/>
              </w:rPr>
              <w:t xml:space="preserve">Perfectly collinear with year dummies</w:t>
            </w:r>
          </w:p>
        </w:tc>
        <w:tc>
          <w:tcPr/>
          <w:p>
            <w:pPr>
              <w:pStyle w:val="Compact"/>
            </w:pPr>
            <w:r>
              <w:rPr>
                <w:sz w:val="19"/>
              </w:rPr>
              <w:t xml:space="preserve">Excluded; enters through Eq. (2)</w:t>
            </w:r>
          </w:p>
        </w:tc>
      </w:tr>
      <w:tr>
        <w:tc>
          <w:tcPr/>
          <w:p>
            <w:pPr>
              <w:pStyle w:val="Compact"/>
            </w:pPr>
            <w:r>
              <w:rPr>
                <w:sz w:val="19"/>
              </w:rPr>
              <w:t xml:space="preserve">Age in differenced equation</w:t>
            </w:r>
          </w:p>
        </w:tc>
        <w:tc>
          <w:tcPr/>
          <w:p>
            <w:pPr>
              <w:pStyle w:val="Compact"/>
            </w:pPr>
            <w:r>
              <w:rPr>
                <w:sz w:val="19"/>
              </w:rPr>
              <w:t xml:space="preserve">ΔAge = 1 for every firm-year</w:t>
            </w:r>
          </w:p>
        </w:tc>
        <w:tc>
          <w:tcPr/>
          <w:p>
            <w:pPr>
              <w:pStyle w:val="Compact"/>
            </w:pPr>
            <w:r>
              <w:rPr>
                <w:sz w:val="19"/>
              </w:rPr>
              <w:t xml:space="preserve">Levels equation only</w:t>
            </w:r>
          </w:p>
        </w:tc>
      </w:tr>
      <w:tr>
        <w:tc>
          <w:tcPr/>
          <w:p>
            <w:pPr>
              <w:pStyle w:val="Compact"/>
            </w:pPr>
            <w:r>
              <w:rPr>
                <w:sz w:val="19"/>
              </w:rPr>
              <w:t xml:space="preserve">Stage indicators</w:t>
            </w:r>
          </w:p>
        </w:tc>
        <w:tc>
          <w:tcPr/>
          <w:p>
            <w:pPr>
              <w:pStyle w:val="Compact"/>
            </w:pPr>
            <w:r>
              <w:rPr>
                <w:sz w:val="19"/>
              </w:rPr>
              <w:t xml:space="preserve">Exhaustive categories</w:t>
            </w:r>
          </w:p>
        </w:tc>
        <w:tc>
          <w:tcPr/>
          <w:p>
            <w:pPr>
              <w:pStyle w:val="Compact"/>
            </w:pPr>
            <w:r>
              <w:rPr>
                <w:sz w:val="19"/>
              </w:rPr>
              <w:t xml:space="preserve">One reference category omitted</w:t>
            </w:r>
          </w:p>
        </w:tc>
      </w:tr>
      <w:tr>
        <w:tc>
          <w:tcPr/>
          <w:p>
            <w:pPr>
              <w:pStyle w:val="Compact"/>
            </w:pPr>
            <w:r>
              <w:rPr>
                <w:sz w:val="19"/>
              </w:rPr>
              <w:t xml:space="preserve">CSDev and controls</w:t>
            </w:r>
          </w:p>
        </w:tc>
        <w:tc>
          <w:tcPr/>
          <w:p>
            <w:pPr>
              <w:pStyle w:val="Compact"/>
            </w:pPr>
            <w:r>
              <w:rPr>
                <w:sz w:val="19"/>
              </w:rPr>
              <w:t xml:space="preserve">CSDev is an OLS residual from Eq. (2), orthogonal by construction to its determinants</w:t>
            </w:r>
          </w:p>
        </w:tc>
        <w:tc>
          <w:tcPr/>
          <w:p>
            <w:pPr>
              <w:pStyle w:val="Compact"/>
            </w:pPr>
            <w:r>
              <w:rPr>
                <w:sz w:val="19"/>
              </w:rPr>
              <w:t xml:space="preserve">LTA, MTB and PROFIT can be controls without collinearity</w:t>
            </w:r>
          </w:p>
        </w:tc>
      </w:tr>
      <w:tr>
        <w:tc>
          <w:tcPr/>
          <w:p>
            <w:pPr>
              <w:pStyle w:val="Compact"/>
            </w:pPr>
            <w:r>
              <w:rPr>
                <w:sz w:val="19"/>
              </w:rPr>
              <w:t xml:space="preserve">CSD⁺ and CSD⁻</w:t>
            </w:r>
          </w:p>
        </w:tc>
        <w:tc>
          <w:tcPr/>
          <w:p>
            <w:pPr>
              <w:pStyle w:val="Compact"/>
            </w:pPr>
            <w:r>
              <w:rPr>
                <w:sz w:val="19"/>
              </w:rPr>
              <w:t xml:space="preserve">At most one is non-zero per firm-year, but each varies independently</w:t>
            </w:r>
          </w:p>
        </w:tc>
        <w:tc>
          <w:tcPr/>
          <w:p>
            <w:pPr>
              <w:pStyle w:val="Compact"/>
            </w:pPr>
            <w:r>
              <w:rPr>
                <w:sz w:val="19"/>
              </w:rPr>
              <w:t xml:space="preserve">Not collinear; both included</w:t>
            </w:r>
          </w:p>
        </w:tc>
      </w:tr>
    </w:tbl>
    <w:bookmarkEnd w:id="27"/>
    <w:bookmarkStart w:id="28" w:name="assumptions-of-the-gmm-estimator"/>
    <w:p>
      <w:pPr>
        <w:pStyle w:val="Heading3"/>
      </w:pPr>
      <w:r>
        <w:t xml:space="preserve">3.10.2 Assumptions of the GMM estimator</w:t>
      </w:r>
    </w:p>
    <w:p>
      <w:pPr>
        <w:pStyle w:val="FirstParagraph"/>
      </w:pPr>
      <w:r>
        <w:t xml:space="preserve">GMM does not require normally distributed or homoskedastic errors. Its validity rests on the moment conditions, which are tested as follows: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pPr>
            <w:r>
              <w:rPr>
                <w:b/>
                <w:sz w:val="19"/>
              </w:rPr>
              <w:t xml:space="preserve">Assumption</w:t>
            </w:r>
          </w:p>
        </w:tc>
        <w:tc>
          <w:tcPr>
            <w:shd w:val="clear" w:color="auto" w:fill="E8ECF3"/>
          </w:tcPr>
          <w:p>
            <w:pPr>
              <w:pStyle w:val="Compact"/>
            </w:pPr>
            <w:r>
              <w:rPr>
                <w:b/>
                <w:sz w:val="19"/>
              </w:rPr>
              <w:t xml:space="preserve">Test</w:t>
            </w:r>
          </w:p>
        </w:tc>
        <w:tc>
          <w:tcPr>
            <w:shd w:val="clear" w:color="auto" w:fill="E8ECF3"/>
          </w:tcPr>
          <w:p>
            <w:pPr>
              <w:pStyle w:val="Compact"/>
            </w:pPr>
            <w:r>
              <w:rPr>
                <w:b/>
                <w:sz w:val="19"/>
              </w:rPr>
              <w:t xml:space="preserve">Response if violated</w:t>
            </w:r>
          </w:p>
        </w:tc>
      </w:tr>
      <w:tr>
        <w:tc>
          <w:tcPr/>
          <w:p>
            <w:pPr>
              <w:pStyle w:val="Compact"/>
            </w:pPr>
            <w:r>
              <w:rPr>
                <w:sz w:val="19"/>
              </w:rPr>
              <w:t xml:space="preserve">No second-order serial correlation in differenced errors</w:t>
            </w:r>
          </w:p>
        </w:tc>
        <w:tc>
          <w:tcPr/>
          <w:p>
            <w:pPr>
              <w:pStyle w:val="Compact"/>
            </w:pPr>
            <w:r>
              <w:rPr>
                <w:sz w:val="19"/>
              </w:rPr>
              <w:t xml:space="preserve">Arellano–Bond AR(2)</w:t>
            </w:r>
          </w:p>
        </w:tc>
        <w:tc>
          <w:tcPr/>
          <w:p>
            <w:pPr>
              <w:pStyle w:val="Compact"/>
            </w:pPr>
            <w:r>
              <w:rPr>
                <w:sz w:val="19"/>
              </w:rPr>
              <w:t xml:space="preserve">Start instruments at deeper lags</w:t>
            </w:r>
          </w:p>
        </w:tc>
      </w:tr>
      <w:tr>
        <w:tc>
          <w:tcPr/>
          <w:p>
            <w:pPr>
              <w:pStyle w:val="Compact"/>
            </w:pPr>
            <w:r>
              <w:rPr>
                <w:sz w:val="19"/>
              </w:rPr>
              <w:t xml:space="preserve">Instrument exogeneity</w:t>
            </w:r>
          </w:p>
        </w:tc>
        <w:tc>
          <w:tcPr/>
          <w:p>
            <w:pPr>
              <w:pStyle w:val="Compact"/>
            </w:pPr>
            <w:r>
              <w:rPr>
                <w:sz w:val="19"/>
              </w:rPr>
              <w:t xml:space="preserve">Hansen J; Difference-in-Hansen</w:t>
            </w:r>
          </w:p>
        </w:tc>
        <w:tc>
          <w:tcPr/>
          <w:p>
            <w:pPr>
              <w:pStyle w:val="Compact"/>
            </w:pPr>
            <w:r>
              <w:rPr>
                <w:sz w:val="19"/>
              </w:rPr>
              <w:t xml:space="preserve">Revise the instrument set or the assumed timing of regressors</w:t>
            </w:r>
          </w:p>
        </w:tc>
      </w:tr>
      <w:tr>
        <w:tc>
          <w:tcPr/>
          <w:p>
            <w:pPr>
              <w:pStyle w:val="Compact"/>
            </w:pPr>
            <w:r>
              <w:rPr>
                <w:sz w:val="19"/>
              </w:rPr>
              <w:t xml:space="preserve">Heteroskedasticity and within-firm correlation</w:t>
            </w:r>
          </w:p>
        </w:tc>
        <w:tc>
          <w:tcPr/>
          <w:p>
            <w:pPr>
              <w:pStyle w:val="Compact"/>
            </w:pPr>
            <w:r>
              <w:rPr>
                <w:sz w:val="19"/>
              </w:rPr>
              <w:t xml:space="preserve">Not required</w:t>
            </w:r>
          </w:p>
        </w:tc>
        <w:tc>
          <w:tcPr/>
          <w:p>
            <w:pPr>
              <w:pStyle w:val="Compact"/>
            </w:pPr>
            <w:r>
              <w:rPr>
                <w:sz w:val="19"/>
              </w:rPr>
              <w:t xml:space="preserve">Two-step robust covariance with Windmeijer correction</w:t>
            </w:r>
          </w:p>
        </w:tc>
      </w:tr>
      <w:tr>
        <w:tc>
          <w:tcPr/>
          <w:p>
            <w:pPr>
              <w:pStyle w:val="Compact"/>
            </w:pPr>
            <w:r>
              <w:rPr>
                <w:sz w:val="19"/>
              </w:rPr>
              <w:t xml:space="preserve">Cross-sectional dependence</w:t>
            </w:r>
          </w:p>
        </w:tc>
        <w:tc>
          <w:tcPr/>
          <w:p>
            <w:pPr>
              <w:pStyle w:val="Compact"/>
            </w:pPr>
            <w:r>
              <w:rPr>
                <w:sz w:val="19"/>
              </w:rPr>
              <w:t xml:space="preserve">Pesaran (2015) CD test on residuals</w:t>
            </w:r>
          </w:p>
        </w:tc>
        <w:tc>
          <w:tcPr/>
          <w:p>
            <w:pPr>
              <w:pStyle w:val="Compact"/>
            </w:pPr>
            <w:r>
              <w:rPr>
                <w:sz w:val="19"/>
              </w:rPr>
              <w:t xml:space="preserve">Year dummies absorb common shocks</w:t>
            </w:r>
          </w:p>
        </w:tc>
      </w:tr>
      <w:tr>
        <w:tc>
          <w:tcPr/>
          <w:p>
            <w:pPr>
              <w:pStyle w:val="Compact"/>
            </w:pPr>
            <w:r>
              <w:rPr>
                <w:sz w:val="19"/>
              </w:rPr>
              <w:t xml:space="preserve">Stationarity</w:t>
            </w:r>
          </w:p>
        </w:tc>
        <w:tc>
          <w:tcPr/>
          <w:p>
            <w:pPr>
              <w:pStyle w:val="Compact"/>
            </w:pPr>
            <w:r>
              <w:rPr>
                <w:sz w:val="19"/>
              </w:rPr>
              <w:t xml:space="preserve">With N = 299 and T ≈ 9, asymptotics run in N; Fisher-type panel unit-root tests on InvEff and CSDev are reported for completeness</w:t>
            </w:r>
          </w:p>
        </w:tc>
        <w:tc>
          <w:tcPr/>
          <w:p>
            <w:pPr>
              <w:pStyle w:val="Compact"/>
            </w:pPr>
            <w:r>
              <w:rPr>
                <w:sz w:val="19"/>
              </w:rPr>
              <w:t xml:space="preserve">—</w:t>
            </w:r>
          </w:p>
        </w:tc>
      </w:tr>
      <w:tr>
        <w:tc>
          <w:tcPr/>
          <w:p>
            <w:pPr>
              <w:pStyle w:val="Compact"/>
            </w:pPr>
            <w:r>
              <w:rPr>
                <w:sz w:val="19"/>
              </w:rPr>
              <w:t xml:space="preserve">Influential observations</w:t>
            </w:r>
          </w:p>
        </w:tc>
        <w:tc>
          <w:tcPr/>
          <w:p>
            <w:pPr>
              <w:pStyle w:val="Compact"/>
            </w:pPr>
            <w:r>
              <w:rPr>
                <w:sz w:val="19"/>
              </w:rPr>
              <w:t xml:space="preserve">Distribution checks</w:t>
            </w:r>
          </w:p>
        </w:tc>
        <w:tc>
          <w:tcPr/>
          <w:p>
            <w:pPr>
              <w:pStyle w:val="Compact"/>
            </w:pPr>
            <w:r>
              <w:rPr>
                <w:sz w:val="19"/>
              </w:rPr>
              <w:t xml:space="preserve">1/99 winsorization; trimming in sensitivity tests</w:t>
            </w:r>
          </w:p>
        </w:tc>
      </w:tr>
    </w:tbl>
    <w:bookmarkEnd w:id="28"/>
    <w:bookmarkStart w:id="29" w:name="static-benchmarks"/>
    <w:p>
      <w:pPr>
        <w:pStyle w:val="Heading3"/>
      </w:pPr>
      <w:r>
        <w:t xml:space="preserve">3.10.3 Static benchmarks</w:t>
      </w:r>
    </w:p>
    <w:p>
      <w:pPr>
        <w:pStyle w:val="FirstParagraph"/>
      </w:pPr>
      <w:r>
        <w:t xml:space="preserve">For the static fixed-effects benchmarks, the F test (pooled OLS against fixed effects) and the Hausman (1978) test (random against fixed effects) are reported. The classical assumptions of the static model are also documented with the modified Wald test for groupwise heteroskedasticity, the Wooldridge (2002) test for serial correlation and the skewness–kurtosis test for normality of residuals. Violations motivate the robust two-step GMM covariance and are not required assumptions of the GMM estimator. These estimates also supply the bounds for the Bond (2002) check on γ̂₁.</w:t>
      </w:r>
    </w:p>
    <w:bookmarkEnd w:id="29"/>
    <w:bookmarkStart w:id="30" w:name="generated-regressors"/>
    <w:p>
      <w:pPr>
        <w:pStyle w:val="Heading3"/>
      </w:pPr>
      <w:r>
        <w:t xml:space="preserve">3.10.4 Generated regressors</w:t>
      </w:r>
    </w:p>
    <w:p>
      <w:pPr>
        <w:pStyle w:val="FirstParagraph"/>
      </w:pPr>
      <w:r>
        <w:t xml:space="preserve">InvEff, CSDev and MA are estimated in first-stage models, so conventional second-stage standard errors understate sampling uncertainty (Pagan, 1984). For the main coefficients, standard errors are also computed by a firm-level cluster bootstrap that repeats the entire procedure, from Eqs. (1), (2) and (5) to the GMM models, in each replication.</w:t>
      </w:r>
    </w:p>
    <w:bookmarkEnd w:id="30"/>
    <w:bookmarkEnd w:id="31"/>
    <w:bookmarkStart w:id="36" w:name="robustness-and-sensitivity-analyses"/>
    <w:p>
      <w:pPr>
        <w:pStyle w:val="Heading2"/>
      </w:pPr>
      <w:r>
        <w:t xml:space="preserve">3.11 Robustness and Sensitivity Analyses</w:t>
      </w:r>
    </w:p>
    <w:p>
      <w:pPr>
        <w:pStyle w:val="FirstParagraph"/>
      </w:pPr>
      <w:r>
        <w:t xml:space="preserve">The robustness tests replace one element of the design at a time with an accepted alternative. The sensitivity tests vary the researcher-chosen parameters of the main design. The main text reports the key coefficients (β₁, β₂, β₃, β₄, β₅, β₇, β₈, β₁₁) of every test in one summary table; the full estimates are in the Online Appendix.</w:t>
      </w:r>
    </w:p>
    <w:bookmarkStart w:id="32" w:name="Xcd217612ea5042a1dcb1425ad9dd2e278970d01"/>
    <w:p>
      <w:pPr>
        <w:pStyle w:val="Heading3"/>
      </w:pPr>
      <w:r>
        <w:t xml:space="preserve">3.11.1 Robustness: alternative measures and estimators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pPr>
            <w:r>
              <w:rPr>
                <w:b/>
                <w:sz w:val="19"/>
              </w:rPr>
              <w:t xml:space="preserve">#</w:t>
            </w:r>
          </w:p>
        </w:tc>
        <w:tc>
          <w:tcPr>
            <w:shd w:val="clear" w:color="auto" w:fill="E8ECF3"/>
          </w:tcPr>
          <w:p>
            <w:pPr>
              <w:pStyle w:val="Compact"/>
            </w:pPr>
            <w:r>
              <w:rPr>
                <w:b/>
                <w:sz w:val="19"/>
              </w:rPr>
              <w:t xml:space="preserve">Element replaced</w:t>
            </w:r>
          </w:p>
        </w:tc>
        <w:tc>
          <w:tcPr>
            <w:shd w:val="clear" w:color="auto" w:fill="E8ECF3"/>
          </w:tcPr>
          <w:p>
            <w:pPr>
              <w:pStyle w:val="Compact"/>
            </w:pPr>
            <w:r>
              <w:rPr>
                <w:b/>
                <w:sz w:val="19"/>
              </w:rPr>
              <w:t xml:space="preserve">Alternative</w:t>
            </w:r>
          </w:p>
        </w:tc>
      </w:tr>
      <w:tr>
        <w:tc>
          <w:tcPr/>
          <w:p>
            <w:pPr>
              <w:pStyle w:val="Compact"/>
            </w:pPr>
            <w:r>
              <w:rPr>
                <w:sz w:val="19"/>
              </w:rPr>
              <w:t xml:space="preserve">R1</w:t>
            </w:r>
          </w:p>
        </w:tc>
        <w:tc>
          <w:tcPr/>
          <w:p>
            <w:pPr>
              <w:pStyle w:val="Compact"/>
            </w:pPr>
            <w:r>
              <w:rPr>
                <w:sz w:val="19"/>
              </w:rPr>
              <w:t xml:space="preserve">Target leverage</w:t>
            </w:r>
          </w:p>
        </w:tc>
        <w:tc>
          <w:tcPr/>
          <w:p>
            <w:pPr>
              <w:pStyle w:val="Compact"/>
            </w:pPr>
            <w:r>
              <w:rPr>
                <w:sz w:val="19"/>
              </w:rPr>
              <w:t xml:space="preserve">Eq. (2) without IOB, because financial expense is approximately the interest rate times debt and may mechanically absorb part of actual leverage</w:t>
            </w:r>
          </w:p>
        </w:tc>
      </w:tr>
      <w:tr>
        <w:tc>
          <w:tcPr/>
          <w:p>
            <w:pPr>
              <w:pStyle w:val="Compact"/>
            </w:pPr>
            <w:r>
              <w:rPr>
                <w:sz w:val="19"/>
              </w:rPr>
              <w:t xml:space="preserve">R2</w:t>
            </w:r>
          </w:p>
        </w:tc>
        <w:tc>
          <w:tcPr/>
          <w:p>
            <w:pPr>
              <w:pStyle w:val="Compact"/>
            </w:pPr>
            <w:r>
              <w:rPr>
                <w:sz w:val="19"/>
              </w:rPr>
              <w:t xml:space="preserve">Leverage definition</w:t>
            </w:r>
          </w:p>
        </w:tc>
        <w:tc>
          <w:tcPr/>
          <w:p>
            <w:pPr>
              <w:pStyle w:val="Compact"/>
            </w:pPr>
            <w:r>
              <w:rPr>
                <w:sz w:val="19"/>
              </w:rPr>
              <w:t xml:space="preserve">Market leverage, TD / (TD + MV)</w:t>
            </w:r>
          </w:p>
        </w:tc>
      </w:tr>
      <w:tr>
        <w:tc>
          <w:tcPr/>
          <w:p>
            <w:pPr>
              <w:pStyle w:val="Compact"/>
            </w:pPr>
            <w:r>
              <w:rPr>
                <w:sz w:val="19"/>
              </w:rPr>
              <w:t xml:space="preserve">R3</w:t>
            </w:r>
          </w:p>
        </w:tc>
        <w:tc>
          <w:tcPr/>
          <w:p>
            <w:pPr>
              <w:pStyle w:val="Compact"/>
            </w:pPr>
            <w:r>
              <w:rPr>
                <w:sz w:val="19"/>
              </w:rPr>
              <w:t xml:space="preserve">Target-leverage estimator</w:t>
            </w:r>
          </w:p>
        </w:tc>
        <w:tc>
          <w:tcPr/>
          <w:p>
            <w:pPr>
              <w:pStyle w:val="Compact"/>
            </w:pPr>
            <w:r>
              <w:rPr>
                <w:sz w:val="19"/>
              </w:rPr>
              <w:t xml:space="preserve">Eq. (2) with firm fixed effects, isolating transitory deviation from a firm-specific target</w:t>
            </w:r>
          </w:p>
        </w:tc>
      </w:tr>
      <w:tr>
        <w:tc>
          <w:tcPr/>
          <w:p>
            <w:pPr>
              <w:pStyle w:val="Compact"/>
            </w:pPr>
            <w:r>
              <w:rPr>
                <w:sz w:val="19"/>
              </w:rPr>
              <w:t xml:space="preserve">R4</w:t>
            </w:r>
          </w:p>
        </w:tc>
        <w:tc>
          <w:tcPr/>
          <w:p>
            <w:pPr>
              <w:pStyle w:val="Compact"/>
            </w:pPr>
            <w:r>
              <w:rPr>
                <w:sz w:val="19"/>
              </w:rPr>
              <w:t xml:space="preserve">Timing of deviation and ability</w:t>
            </w:r>
          </w:p>
        </w:tc>
        <w:tc>
          <w:tcPr/>
          <w:p>
            <w:pPr>
              <w:pStyle w:val="Compact"/>
            </w:pPr>
            <w:r>
              <w:rPr>
                <w:sz w:val="19"/>
              </w:rPr>
              <w:t xml:space="preserve">CSD⁺, CSD⁻ and MA measured at t (contemporaneous) instead of t−1</w:t>
            </w:r>
          </w:p>
        </w:tc>
      </w:tr>
      <w:tr>
        <w:tc>
          <w:tcPr/>
          <w:p>
            <w:pPr>
              <w:pStyle w:val="Compact"/>
            </w:pPr>
            <w:r>
              <w:rPr>
                <w:sz w:val="19"/>
              </w:rPr>
              <w:t xml:space="preserve">R5</w:t>
            </w:r>
          </w:p>
        </w:tc>
        <w:tc>
          <w:tcPr/>
          <w:p>
            <w:pPr>
              <w:pStyle w:val="Compact"/>
            </w:pPr>
            <w:r>
              <w:rPr>
                <w:sz w:val="19"/>
              </w:rPr>
              <w:t xml:space="preserve">Expectation model</w:t>
            </w:r>
          </w:p>
        </w:tc>
        <w:tc>
          <w:tcPr/>
          <w:p>
            <w:pPr>
              <w:pStyle w:val="Compact"/>
            </w:pPr>
            <w:r>
              <w:rPr>
                <w:sz w:val="19"/>
              </w:rPr>
              <w:t xml:space="preserve">Chen et al. (2011), with an asymmetric response to sales declines</w:t>
            </w:r>
          </w:p>
        </w:tc>
      </w:tr>
      <w:tr>
        <w:tc>
          <w:tcPr/>
          <w:p>
            <w:pPr>
              <w:pStyle w:val="Compact"/>
            </w:pPr>
            <w:r>
              <w:rPr>
                <w:sz w:val="19"/>
              </w:rPr>
              <w:t xml:space="preserve">R6</w:t>
            </w:r>
          </w:p>
        </w:tc>
        <w:tc>
          <w:tcPr/>
          <w:p>
            <w:pPr>
              <w:pStyle w:val="Compact"/>
            </w:pPr>
            <w:r>
              <w:rPr>
                <w:sz w:val="19"/>
              </w:rPr>
              <w:t xml:space="preserve">Investment measure</w:t>
            </w:r>
          </w:p>
        </w:tc>
        <w:tc>
          <w:tcPr/>
          <w:p>
            <w:pPr>
              <w:pStyle w:val="Compact"/>
            </w:pPr>
            <w:r>
              <w:rPr>
                <w:sz w:val="19"/>
              </w:rPr>
              <w:t xml:space="preserve">Accrual investment, [(PPE + IA)</w:t>
            </w:r>
            <w:r>
              <w:rPr>
                <w:sz w:val="19"/>
                <w:vertAlign w:val="subscript"/>
              </w:rPr>
              <w:t xml:space="preserve">t</w:t>
            </w:r>
            <w:r>
              <w:rPr>
                <w:sz w:val="19"/>
              </w:rPr>
              <w:t xml:space="preserve"> </w:t>
            </w:r>
            <w:r>
              <w:rPr>
                <w:sz w:val="19"/>
              </w:rPr>
              <w:t xml:space="preserve">− (PPE + IA)</w:t>
            </w:r>
            <w:r>
              <w:rPr>
                <w:sz w:val="19"/>
                <w:vertAlign w:val="subscript"/>
              </w:rPr>
              <w:t xml:space="preserve">t−1</w:t>
            </w:r>
            <w:r>
              <w:rPr>
                <w:sz w:val="19"/>
              </w:rPr>
              <w:t xml:space="preserve">] / TA</w:t>
            </w:r>
            <w:r>
              <w:rPr>
                <w:sz w:val="19"/>
                <w:vertAlign w:val="subscript"/>
              </w:rPr>
              <w:t xml:space="preserve">t−1</w:t>
            </w:r>
            <w:r>
              <w:rPr>
                <w:sz w:val="19"/>
              </w:rPr>
              <w:t xml:space="preserve">, which includes asset revaluations</w:t>
            </w:r>
          </w:p>
        </w:tc>
      </w:tr>
      <w:tr>
        <w:tc>
          <w:tcPr/>
          <w:p>
            <w:pPr>
              <w:pStyle w:val="Compact"/>
            </w:pPr>
            <w:r>
              <w:rPr>
                <w:sz w:val="19"/>
              </w:rPr>
              <w:t xml:space="preserve">R7</w:t>
            </w:r>
          </w:p>
        </w:tc>
        <w:tc>
          <w:tcPr/>
          <w:p>
            <w:pPr>
              <w:pStyle w:val="Compact"/>
            </w:pPr>
            <w:r>
              <w:rPr>
                <w:sz w:val="19"/>
              </w:rPr>
              <w:t xml:space="preserve">Managerial ability</w:t>
            </w:r>
          </w:p>
        </w:tc>
        <w:tc>
          <w:tcPr/>
          <w:p>
            <w:pPr>
              <w:pStyle w:val="Compact"/>
            </w:pPr>
            <w:r>
              <w:rPr>
                <w:sz w:val="19"/>
              </w:rPr>
              <w:t xml:space="preserve">Industry-year percentile rank of MA; two-year average of MA to reduce measurement error</w:t>
            </w:r>
          </w:p>
        </w:tc>
      </w:tr>
      <w:tr>
        <w:tc>
          <w:tcPr/>
          <w:p>
            <w:pPr>
              <w:pStyle w:val="Compact"/>
            </w:pPr>
            <w:r>
              <w:rPr>
                <w:sz w:val="19"/>
              </w:rPr>
              <w:t xml:space="preserve">R8</w:t>
            </w:r>
          </w:p>
        </w:tc>
        <w:tc>
          <w:tcPr/>
          <w:p>
            <w:pPr>
              <w:pStyle w:val="Compact"/>
            </w:pPr>
            <w:r>
              <w:rPr>
                <w:sz w:val="19"/>
              </w:rPr>
              <w:t xml:space="preserve">Life cycle</w:t>
            </w:r>
          </w:p>
        </w:tc>
        <w:tc>
          <w:tcPr/>
          <w:p>
            <w:pPr>
              <w:pStyle w:val="Compact"/>
            </w:pPr>
            <w:r>
              <w:rPr>
                <w:sz w:val="19"/>
              </w:rPr>
              <w:t xml:space="preserve">Dickinson’s original five stages; age- and growth-based classification (Anthony &amp; Ramesh, 1992)</w:t>
            </w:r>
          </w:p>
        </w:tc>
      </w:tr>
      <w:tr>
        <w:tc>
          <w:tcPr/>
          <w:p>
            <w:pPr>
              <w:pStyle w:val="Compact"/>
            </w:pPr>
            <w:r>
              <w:rPr>
                <w:sz w:val="19"/>
              </w:rPr>
              <w:t xml:space="preserve">R9</w:t>
            </w:r>
          </w:p>
        </w:tc>
        <w:tc>
          <w:tcPr/>
          <w:p>
            <w:pPr>
              <w:pStyle w:val="Compact"/>
            </w:pPr>
            <w:r>
              <w:rPr>
                <w:sz w:val="19"/>
              </w:rPr>
              <w:t xml:space="preserve">Dependent variable</w:t>
            </w:r>
          </w:p>
        </w:tc>
        <w:tc>
          <w:tcPr/>
          <w:p>
            <w:pPr>
              <w:pStyle w:val="Compact"/>
            </w:pPr>
            <w:r>
              <w:rPr>
                <w:sz w:val="19"/>
              </w:rPr>
              <w:t xml:space="preserve">Multinomial logit on the Biddle et al. (2009) quartile classes: under-investment, benchmark, over-investment</w:t>
            </w:r>
          </w:p>
        </w:tc>
      </w:tr>
      <w:tr>
        <w:tc>
          <w:tcPr/>
          <w:p>
            <w:pPr>
              <w:pStyle w:val="Compact"/>
            </w:pPr>
            <w:r>
              <w:rPr>
                <w:sz w:val="19"/>
              </w:rPr>
              <w:t xml:space="preserve">R10</w:t>
            </w:r>
          </w:p>
        </w:tc>
        <w:tc>
          <w:tcPr/>
          <w:p>
            <w:pPr>
              <w:pStyle w:val="Compact"/>
            </w:pPr>
            <w:r>
              <w:rPr>
                <w:sz w:val="19"/>
              </w:rPr>
              <w:t xml:space="preserve">Estimator</w:t>
            </w:r>
          </w:p>
        </w:tc>
        <w:tc>
          <w:tcPr/>
          <w:p>
            <w:pPr>
              <w:pStyle w:val="Compact"/>
            </w:pPr>
            <w:r>
              <w:rPr>
                <w:sz w:val="19"/>
              </w:rPr>
              <w:t xml:space="preserve">Static two-way fixed effects; difference GMM</w:t>
            </w:r>
          </w:p>
        </w:tc>
      </w:tr>
    </w:tbl>
    <w:bookmarkEnd w:id="32"/>
    <w:bookmarkStart w:id="33" w:name="sensitivity-researcher-chosen-parameters"/>
    <w:p>
      <w:pPr>
        <w:pStyle w:val="Heading3"/>
      </w:pPr>
      <w:r>
        <w:t xml:space="preserve">3.11.2 Sensitivity: researcher-chosen parameters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pPr>
            <w:r>
              <w:rPr>
                <w:b/>
                <w:sz w:val="19"/>
              </w:rPr>
              <w:t xml:space="preserve">#</w:t>
            </w:r>
          </w:p>
        </w:tc>
        <w:tc>
          <w:tcPr>
            <w:shd w:val="clear" w:color="auto" w:fill="E8ECF3"/>
          </w:tcPr>
          <w:p>
            <w:pPr>
              <w:pStyle w:val="Compact"/>
            </w:pPr>
            <w:r>
              <w:rPr>
                <w:b/>
                <w:sz w:val="19"/>
              </w:rPr>
              <w:t xml:space="preserve">Parameter</w:t>
            </w:r>
          </w:p>
        </w:tc>
        <w:tc>
          <w:tcPr>
            <w:shd w:val="clear" w:color="auto" w:fill="E8ECF3"/>
          </w:tcPr>
          <w:p>
            <w:pPr>
              <w:pStyle w:val="Compact"/>
            </w:pPr>
            <w:r>
              <w:rPr>
                <w:b/>
                <w:sz w:val="19"/>
              </w:rPr>
              <w:t xml:space="preserve">Values tested</w:t>
            </w:r>
          </w:p>
        </w:tc>
      </w:tr>
      <w:tr>
        <w:tc>
          <w:tcPr/>
          <w:p>
            <w:pPr>
              <w:pStyle w:val="Compact"/>
            </w:pPr>
            <w:r>
              <w:rPr>
                <w:sz w:val="19"/>
              </w:rPr>
              <w:t xml:space="preserve">S1</w:t>
            </w:r>
          </w:p>
        </w:tc>
        <w:tc>
          <w:tcPr/>
          <w:p>
            <w:pPr>
              <w:pStyle w:val="Compact"/>
            </w:pPr>
            <w:r>
              <w:rPr>
                <w:sz w:val="19"/>
              </w:rPr>
              <w:t xml:space="preserve">Winsorization</w:t>
            </w:r>
          </w:p>
        </w:tc>
        <w:tc>
          <w:tcPr/>
          <w:p>
            <w:pPr>
              <w:pStyle w:val="Compact"/>
            </w:pPr>
            <w:r>
              <w:rPr>
                <w:sz w:val="19"/>
              </w:rPr>
              <w:t xml:space="preserve">1/99 (main); 2.5/97.5; 5/95; trimming at 1/99</w:t>
            </w:r>
          </w:p>
        </w:tc>
      </w:tr>
      <w:tr>
        <w:tc>
          <w:tcPr/>
          <w:p>
            <w:pPr>
              <w:pStyle w:val="Compact"/>
            </w:pPr>
            <w:r>
              <w:rPr>
                <w:sz w:val="19"/>
              </w:rPr>
              <w:t xml:space="preserve">S2</w:t>
            </w:r>
          </w:p>
        </w:tc>
        <w:tc>
          <w:tcPr/>
          <w:p>
            <w:pPr>
              <w:pStyle w:val="Compact"/>
            </w:pPr>
            <w:r>
              <w:rPr>
                <w:sz w:val="19"/>
              </w:rPr>
              <w:t xml:space="preserve">Minimum industry-year cell in Eq. (1)</w:t>
            </w:r>
          </w:p>
        </w:tc>
        <w:tc>
          <w:tcPr/>
          <w:p>
            <w:pPr>
              <w:pStyle w:val="Compact"/>
            </w:pPr>
            <w:r>
              <w:rPr>
                <w:sz w:val="19"/>
              </w:rPr>
              <w:t xml:space="preserve">8, 10 (main), 15</w:t>
            </w:r>
          </w:p>
        </w:tc>
      </w:tr>
      <w:tr>
        <w:tc>
          <w:tcPr/>
          <w:p>
            <w:pPr>
              <w:pStyle w:val="Compact"/>
            </w:pPr>
            <w:r>
              <w:rPr>
                <w:sz w:val="19"/>
              </w:rPr>
              <w:t xml:space="preserve">S3</w:t>
            </w:r>
          </w:p>
        </w:tc>
        <w:tc>
          <w:tcPr/>
          <w:p>
            <w:pPr>
              <w:pStyle w:val="Compact"/>
            </w:pPr>
            <w:r>
              <w:rPr>
                <w:sz w:val="19"/>
              </w:rPr>
              <w:t xml:space="preserve">DEA specification</w:t>
            </w:r>
          </w:p>
        </w:tc>
        <w:tc>
          <w:tcPr/>
          <w:p>
            <w:pPr>
              <w:pStyle w:val="Compact"/>
            </w:pPr>
            <w:r>
              <w:rPr>
                <w:sz w:val="19"/>
              </w:rPr>
              <w:t xml:space="preserve">VRS (main) vs CRS; industry-year frontiers (at least 15 or 20 firms) instead of industry frontiers</w:t>
            </w:r>
          </w:p>
        </w:tc>
      </w:tr>
      <w:tr>
        <w:tc>
          <w:tcPr/>
          <w:p>
            <w:pPr>
              <w:pStyle w:val="Compact"/>
            </w:pPr>
            <w:r>
              <w:rPr>
                <w:sz w:val="19"/>
              </w:rPr>
              <w:t xml:space="preserve">S4</w:t>
            </w:r>
          </w:p>
        </w:tc>
        <w:tc>
          <w:tcPr/>
          <w:p>
            <w:pPr>
              <w:pStyle w:val="Compact"/>
            </w:pPr>
            <w:r>
              <w:rPr>
                <w:sz w:val="19"/>
              </w:rPr>
              <w:t xml:space="preserve">GMM instrument depth</w:t>
            </w:r>
          </w:p>
        </w:tc>
        <w:tc>
          <w:tcPr/>
          <w:p>
            <w:pPr>
              <w:pStyle w:val="Compact"/>
            </w:pPr>
            <w:r>
              <w:rPr>
                <w:sz w:val="19"/>
              </w:rPr>
              <w:t xml:space="preserve">Window selected by the instrument-strength rule (main) against the other of lags 2–3 and 2–4; lags 3–4; collapsed vs uncollapsed where the count allows</w:t>
            </w:r>
          </w:p>
        </w:tc>
      </w:tr>
      <w:tr>
        <w:tc>
          <w:tcPr/>
          <w:p>
            <w:pPr>
              <w:pStyle w:val="Compact"/>
            </w:pPr>
            <w:r>
              <w:rPr>
                <w:sz w:val="19"/>
              </w:rPr>
              <w:t xml:space="preserve">S5</w:t>
            </w:r>
          </w:p>
        </w:tc>
        <w:tc>
          <w:tcPr/>
          <w:p>
            <w:pPr>
              <w:pStyle w:val="Compact"/>
            </w:pPr>
            <w:r>
              <w:rPr>
                <w:sz w:val="19"/>
              </w:rPr>
              <w:t xml:space="preserve">Near-target firms</w:t>
            </w:r>
          </w:p>
        </w:tc>
        <w:tc>
          <w:tcPr/>
          <w:p>
            <w:pPr>
              <w:pStyle w:val="Compact"/>
            </w:pPr>
            <w:r>
              <w:rPr>
                <w:sz w:val="19"/>
              </w:rPr>
              <w:t xml:space="preserve">Exclude firm-years with |CSDev| &lt; 0.25 SD, whose direction is mostly estimation noise</w:t>
            </w:r>
          </w:p>
        </w:tc>
      </w:tr>
      <w:tr>
        <w:tc>
          <w:tcPr/>
          <w:p>
            <w:pPr>
              <w:pStyle w:val="Compact"/>
            </w:pPr>
            <w:r>
              <w:rPr>
                <w:sz w:val="19"/>
              </w:rPr>
              <w:t xml:space="preserve">S6</w:t>
            </w:r>
          </w:p>
        </w:tc>
        <w:tc>
          <w:tcPr/>
          <w:p>
            <w:pPr>
              <w:pStyle w:val="Compact"/>
            </w:pPr>
            <w:r>
              <w:rPr>
                <w:sz w:val="19"/>
              </w:rPr>
              <w:t xml:space="preserve">Crisis years</w:t>
            </w:r>
          </w:p>
        </w:tc>
        <w:tc>
          <w:tcPr/>
          <w:p>
            <w:pPr>
              <w:pStyle w:val="Compact"/>
            </w:pPr>
            <w:r>
              <w:rPr>
                <w:sz w:val="19"/>
              </w:rPr>
              <w:t xml:space="preserve">Exclude 1397–1398 (sanctions and currency crisis) and 1399 (COVID-19)</w:t>
            </w:r>
          </w:p>
        </w:tc>
      </w:tr>
      <w:tr>
        <w:tc>
          <w:tcPr/>
          <w:p>
            <w:pPr>
              <w:pStyle w:val="Compact"/>
            </w:pPr>
            <w:r>
              <w:rPr>
                <w:sz w:val="19"/>
              </w:rPr>
              <w:t xml:space="preserve">S7</w:t>
            </w:r>
          </w:p>
        </w:tc>
        <w:tc>
          <w:tcPr/>
          <w:p>
            <w:pPr>
              <w:pStyle w:val="Compact"/>
            </w:pPr>
            <w:r>
              <w:rPr>
                <w:sz w:val="19"/>
              </w:rPr>
              <w:t xml:space="preserve">Industry composition</w:t>
            </w:r>
          </w:p>
        </w:tc>
        <w:tc>
          <w:tcPr/>
          <w:p>
            <w:pPr>
              <w:pStyle w:val="Compact"/>
            </w:pPr>
            <w:r>
              <w:rPr>
                <w:sz w:val="19"/>
              </w:rPr>
              <w:t xml:space="preserve">Re-estimate excluding one industry at a time</w:t>
            </w:r>
          </w:p>
        </w:tc>
      </w:tr>
      <w:tr>
        <w:tc>
          <w:tcPr/>
          <w:p>
            <w:pPr>
              <w:pStyle w:val="Compact"/>
            </w:pPr>
            <w:r>
              <w:rPr>
                <w:sz w:val="19"/>
              </w:rPr>
              <w:t xml:space="preserve">S8</w:t>
            </w:r>
          </w:p>
        </w:tc>
        <w:tc>
          <w:tcPr/>
          <w:p>
            <w:pPr>
              <w:pStyle w:val="Compact"/>
            </w:pPr>
            <w:r>
              <w:rPr>
                <w:sz w:val="19"/>
              </w:rPr>
              <w:t xml:space="preserve">Sample composition</w:t>
            </w:r>
          </w:p>
        </w:tc>
        <w:tc>
          <w:tcPr/>
          <w:p>
            <w:pPr>
              <w:pStyle w:val="Compact"/>
            </w:pPr>
            <w:r>
              <w:rPr>
                <w:sz w:val="19"/>
              </w:rPr>
              <w:t xml:space="preserve">Balanced subsample: firms with usable data in every year 1393–1403, to assess survivorship effects</w:t>
            </w:r>
          </w:p>
        </w:tc>
      </w:tr>
      <w:tr>
        <w:tc>
          <w:tcPr/>
          <w:p>
            <w:pPr>
              <w:pStyle w:val="Compact"/>
            </w:pPr>
            <w:r>
              <w:rPr>
                <w:sz w:val="19"/>
              </w:rPr>
              <w:t xml:space="preserve">S9</w:t>
            </w:r>
          </w:p>
        </w:tc>
        <w:tc>
          <w:tcPr/>
          <w:p>
            <w:pPr>
              <w:pStyle w:val="Compact"/>
            </w:pPr>
            <w:r>
              <w:rPr>
                <w:sz w:val="19"/>
              </w:rPr>
              <w:t xml:space="preserve">Elements of the original design</w:t>
            </w:r>
          </w:p>
        </w:tc>
        <w:tc>
          <w:tcPr/>
          <w:p>
            <w:pPr>
              <w:pStyle w:val="Compact"/>
            </w:pPr>
            <w:r>
              <w:rPr>
                <w:sz w:val="19"/>
              </w:rPr>
              <w:t xml:space="preserve">S9a: first differences instead of forward orthogonal deviations; S9b: original four controls (LTA, MTB, PROFIT, FCF); S9c: original specification as a whole (CSD and MA at t, first differences, four controls, lags 2–3)</w:t>
            </w:r>
          </w:p>
        </w:tc>
      </w:tr>
    </w:tbl>
    <w:bookmarkEnd w:id="33"/>
    <w:bookmarkStart w:id="34" w:name="additional-identification-checks"/>
    <w:p>
      <w:pPr>
        <w:pStyle w:val="Heading3"/>
      </w:pPr>
      <w:r>
        <w:t xml:space="preserve">3.11.3 Additional identification checks</w:t>
      </w:r>
    </w:p>
    <w:p>
      <w:pPr>
        <w:pStyle w:val="Compact"/>
        <w:numPr>
          <w:ilvl w:val="0"/>
          <w:numId w:val="1006"/>
        </w:numPr>
      </w:pPr>
      <w:r>
        <w:rPr>
          <w:b/>
          <w:bCs/>
        </w:rPr>
        <w:t xml:space="preserve">Coefficient stability.</w:t>
      </w:r>
      <w:r>
        <w:t xml:space="preserve"> </w:t>
      </w:r>
      <w:r>
        <w:t xml:space="preserve">Oster’s (2019) δ is computed for β₁ and β₂, with R²max = 1.3 × R²: how strong selection on unobservables would have to be, relative to observables, to explain away the effect.</w:t>
      </w:r>
    </w:p>
    <w:p>
      <w:pPr>
        <w:pStyle w:val="Compact"/>
        <w:numPr>
          <w:ilvl w:val="0"/>
          <w:numId w:val="1006"/>
        </w:numPr>
      </w:pPr>
      <w:r>
        <w:rPr>
          <w:b/>
          <w:bCs/>
        </w:rPr>
        <w:t xml:space="preserve">Placebo test.</w:t>
      </w:r>
      <w:r>
        <w:t xml:space="preserve"> </w:t>
      </w:r>
      <w:r>
        <w:t xml:space="preserve">CSDev is randomly reassigned across firms within each industry-year 1,000 times. The distribution of placebo coefficients is compared with the actual estimates.</w:t>
      </w:r>
    </w:p>
    <w:p>
      <w:pPr>
        <w:pStyle w:val="Compact"/>
        <w:numPr>
          <w:ilvl w:val="0"/>
          <w:numId w:val="1006"/>
        </w:numPr>
      </w:pPr>
      <w:r>
        <w:rPr>
          <w:b/>
          <w:bCs/>
        </w:rPr>
        <w:t xml:space="preserve">Generated-regressor inference.</w:t>
      </w:r>
      <w:r>
        <w:t xml:space="preserve"> </w:t>
      </w:r>
      <w:r>
        <w:t xml:space="preserve">Firm-level cluster bootstrap of the full procedure (Section 3.10.4).</w:t>
      </w:r>
    </w:p>
    <w:bookmarkEnd w:id="34"/>
    <w:bookmarkStart w:id="35" w:name="online-appendix"/>
    <w:p>
      <w:pPr>
        <w:pStyle w:val="Heading3"/>
      </w:pPr>
      <w:r>
        <w:t xml:space="preserve">3.11.4 Online Appendix</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3960"/>
        <w:gridCol w:w="3960"/>
      </w:tblGrid>
      <w:tr>
        <w:trPr>
          <w:tblHeader w:val="on"/>
        </w:trPr>
        <w:tc>
          <w:tcPr>
            <w:shd w:val="clear" w:color="auto" w:fill="E8ECF3"/>
          </w:tcPr>
          <w:p>
            <w:pPr>
              <w:pStyle w:val="Compact"/>
            </w:pPr>
            <w:r>
              <w:rPr>
                <w:b/>
                <w:sz w:val="19"/>
              </w:rPr>
              <w:t xml:space="preserve">Table</w:t>
            </w:r>
          </w:p>
        </w:tc>
        <w:tc>
          <w:tcPr>
            <w:shd w:val="clear" w:color="auto" w:fill="E8ECF3"/>
          </w:tcPr>
          <w:p>
            <w:pPr>
              <w:pStyle w:val="Compact"/>
            </w:pPr>
            <w:r>
              <w:rPr>
                <w:b/>
                <w:sz w:val="19"/>
              </w:rPr>
              <w:t xml:space="preserve">Content</w:t>
            </w:r>
          </w:p>
        </w:tc>
      </w:tr>
      <w:tr>
        <w:tc>
          <w:tcPr/>
          <w:p>
            <w:pPr>
              <w:pStyle w:val="Compact"/>
            </w:pPr>
            <w:r>
              <w:rPr>
                <w:sz w:val="19"/>
              </w:rPr>
              <w:t xml:space="preserve">OA1</w:t>
            </w:r>
          </w:p>
        </w:tc>
        <w:tc>
          <w:tcPr/>
          <w:p>
            <w:pPr>
              <w:pStyle w:val="Compact"/>
            </w:pPr>
            <w:r>
              <w:rPr>
                <w:sz w:val="19"/>
              </w:rPr>
              <w:t xml:space="preserve">Sample construction by year and industry</w:t>
            </w:r>
          </w:p>
        </w:tc>
      </w:tr>
      <w:tr>
        <w:tc>
          <w:tcPr/>
          <w:p>
            <w:pPr>
              <w:pStyle w:val="Compact"/>
            </w:pPr>
            <w:r>
              <w:rPr>
                <w:sz w:val="19"/>
              </w:rPr>
              <w:t xml:space="preserve">OA2</w:t>
            </w:r>
          </w:p>
        </w:tc>
        <w:tc>
          <w:tcPr/>
          <w:p>
            <w:pPr>
              <w:pStyle w:val="Compact"/>
            </w:pPr>
            <w:r>
              <w:rPr>
                <w:sz w:val="19"/>
              </w:rPr>
              <w:t xml:space="preserve">First-stage estimates: Eq. (1) by industry-year (distribution of coefficients and R²), Eq. (2), and the Tobit model, Eq. (5)</w:t>
            </w:r>
          </w:p>
        </w:tc>
      </w:tr>
      <w:tr>
        <w:tc>
          <w:tcPr/>
          <w:p>
            <w:pPr>
              <w:pStyle w:val="Compact"/>
            </w:pPr>
            <w:r>
              <w:rPr>
                <w:sz w:val="19"/>
              </w:rPr>
              <w:t xml:space="preserve">OA3</w:t>
            </w:r>
          </w:p>
        </w:tc>
        <w:tc>
          <w:tcPr/>
          <w:p>
            <w:pPr>
              <w:pStyle w:val="Compact"/>
            </w:pPr>
            <w:r>
              <w:rPr>
                <w:sz w:val="19"/>
              </w:rPr>
              <w:t xml:space="preserve">Frequency of Dickinson’s five stages and stage transitions</w:t>
            </w:r>
          </w:p>
        </w:tc>
      </w:tr>
      <w:tr>
        <w:tc>
          <w:tcPr/>
          <w:p>
            <w:pPr>
              <w:pStyle w:val="Compact"/>
            </w:pPr>
            <w:r>
              <w:rPr>
                <w:sz w:val="19"/>
              </w:rPr>
              <w:t xml:space="preserve">OA4</w:t>
            </w:r>
          </w:p>
        </w:tc>
        <w:tc>
          <w:tcPr/>
          <w:p>
            <w:pPr>
              <w:pStyle w:val="Compact"/>
            </w:pPr>
            <w:r>
              <w:rPr>
                <w:sz w:val="19"/>
              </w:rPr>
              <w:t xml:space="preserve">Static fixed-effects estimates of Eqs. (6)–(12), with F and Hausman tests</w:t>
            </w:r>
          </w:p>
        </w:tc>
      </w:tr>
      <w:tr>
        <w:tc>
          <w:tcPr/>
          <w:p>
            <w:pPr>
              <w:pStyle w:val="Compact"/>
            </w:pPr>
            <w:r>
              <w:rPr>
                <w:sz w:val="19"/>
              </w:rPr>
              <w:t xml:space="preserve">OA5</w:t>
            </w:r>
          </w:p>
        </w:tc>
        <w:tc>
          <w:tcPr/>
          <w:p>
            <w:pPr>
              <w:pStyle w:val="Compact"/>
            </w:pPr>
            <w:r>
              <w:rPr>
                <w:sz w:val="19"/>
              </w:rPr>
              <w:t xml:space="preserve">Full estimates for R1–R10</w:t>
            </w:r>
          </w:p>
        </w:tc>
      </w:tr>
      <w:tr>
        <w:tc>
          <w:tcPr/>
          <w:p>
            <w:pPr>
              <w:pStyle w:val="Compact"/>
            </w:pPr>
            <w:r>
              <w:rPr>
                <w:sz w:val="19"/>
              </w:rPr>
              <w:t xml:space="preserve">OA6</w:t>
            </w:r>
          </w:p>
        </w:tc>
        <w:tc>
          <w:tcPr/>
          <w:p>
            <w:pPr>
              <w:pStyle w:val="Compact"/>
            </w:pPr>
            <w:r>
              <w:rPr>
                <w:sz w:val="19"/>
              </w:rPr>
              <w:t xml:space="preserve">Full estimates for S1–S9</w:t>
            </w:r>
          </w:p>
        </w:tc>
      </w:tr>
      <w:tr>
        <w:tc>
          <w:tcPr/>
          <w:p>
            <w:pPr>
              <w:pStyle w:val="Compact"/>
            </w:pPr>
            <w:r>
              <w:rPr>
                <w:sz w:val="19"/>
              </w:rPr>
              <w:t xml:space="preserve">OA7</w:t>
            </w:r>
          </w:p>
        </w:tc>
        <w:tc>
          <w:tcPr/>
          <w:p>
            <w:pPr>
              <w:pStyle w:val="Compact"/>
            </w:pPr>
            <w:r>
              <w:rPr>
                <w:sz w:val="19"/>
              </w:rPr>
              <w:t xml:space="preserve">Reverse-causality model, Eq. (13)</w:t>
            </w:r>
          </w:p>
        </w:tc>
      </w:tr>
      <w:tr>
        <w:tc>
          <w:tcPr/>
          <w:p>
            <w:pPr>
              <w:pStyle w:val="Compact"/>
            </w:pPr>
            <w:r>
              <w:rPr>
                <w:sz w:val="19"/>
              </w:rPr>
              <w:t xml:space="preserve">OA8</w:t>
            </w:r>
          </w:p>
        </w:tc>
        <w:tc>
          <w:tcPr/>
          <w:p>
            <w:pPr>
              <w:pStyle w:val="Compact"/>
            </w:pPr>
            <w:r>
              <w:rPr>
                <w:sz w:val="19"/>
              </w:rPr>
              <w:t xml:space="preserve">Oster bounds, placebo distribution and bootstrap standard errors</w:t>
            </w:r>
          </w:p>
        </w:tc>
      </w:tr>
      <w:tr>
        <w:tc>
          <w:tcPr/>
          <w:p>
            <w:pPr>
              <w:pStyle w:val="Compact"/>
            </w:pPr>
            <w:r>
              <w:rPr>
                <w:sz w:val="19"/>
              </w:rPr>
              <w:t xml:space="preserve">OA9</w:t>
            </w:r>
          </w:p>
        </w:tc>
        <w:tc>
          <w:tcPr/>
          <w:p>
            <w:pPr>
              <w:pStyle w:val="Compact"/>
            </w:pPr>
            <w:r>
              <w:rPr>
                <w:sz w:val="19"/>
              </w:rPr>
              <w:t xml:space="preserve">Within-stage estimates of Eqs. (6), (9) and (11)</w:t>
            </w:r>
          </w:p>
        </w:tc>
      </w:tr>
      <w:tr>
        <w:tc>
          <w:tcPr/>
          <w:p>
            <w:pPr>
              <w:pStyle w:val="Compact"/>
            </w:pPr>
            <w:r>
              <w:rPr>
                <w:sz w:val="19"/>
              </w:rPr>
              <w:t xml:space="preserve">OA10</w:t>
            </w:r>
          </w:p>
        </w:tc>
        <w:tc>
          <w:tcPr/>
          <w:p>
            <w:pPr>
              <w:pStyle w:val="Compact"/>
            </w:pPr>
            <w:r>
              <w:rPr>
                <w:sz w:val="19"/>
              </w:rPr>
              <w:t xml:space="preserve">Instrument strength: first-stage F statistics of the GMM instruments and the lag window selected</w:t>
            </w:r>
          </w:p>
        </w:tc>
      </w:tr>
    </w:tbl>
    <w:bookmarkEnd w:id="35"/>
    <w:bookmarkEnd w:id="36"/>
    <w:bookmarkStart w:id="37" w:name="appendix-a.-variable-definitions"/>
    <w:p>
      <w:pPr>
        <w:pStyle w:val="Heading2"/>
      </w:pPr>
      <w:r>
        <w:t xml:space="preserve">Appendix A. Variable Definitions</w:t>
      </w:r>
    </w:p>
    <w:p>
      <w:pPr>
        <w:pStyle w:val="FirstParagraph"/>
      </w:pPr>
      <w:r>
        <w:t xml:space="preserve">Data items refer to the columns of the research dataset. Subscript t−1 denotes the prior fiscal year.</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pPr>
            <w:r>
              <w:rPr>
                <w:b/>
                <w:sz w:val="19"/>
              </w:rPr>
              <w:t xml:space="preserve">Variable</w:t>
            </w:r>
          </w:p>
        </w:tc>
        <w:tc>
          <w:tcPr>
            <w:shd w:val="clear" w:color="auto" w:fill="E8ECF3"/>
          </w:tcPr>
          <w:p>
            <w:pPr>
              <w:pStyle w:val="Compact"/>
            </w:pPr>
            <w:r>
              <w:rPr>
                <w:b/>
                <w:sz w:val="19"/>
              </w:rPr>
              <w:t xml:space="preserve">Definition</w:t>
            </w:r>
          </w:p>
        </w:tc>
        <w:tc>
          <w:tcPr>
            <w:shd w:val="clear" w:color="auto" w:fill="E8ECF3"/>
          </w:tcPr>
          <w:p>
            <w:pPr>
              <w:pStyle w:val="Compact"/>
            </w:pPr>
            <w:r>
              <w:rPr>
                <w:b/>
                <w:sz w:val="19"/>
              </w:rPr>
              <w:t xml:space="preserve">Data items</w:t>
            </w:r>
          </w:p>
        </w:tc>
      </w:tr>
      <w:tr>
        <w:tc>
          <w:tcPr/>
          <w:p>
            <w:pPr>
              <w:pStyle w:val="Compact"/>
            </w:pPr>
            <w:r>
              <w:rPr>
                <w:sz w:val="19"/>
              </w:rPr>
              <w:t xml:space="preserve">Invest</w:t>
            </w:r>
          </w:p>
        </w:tc>
        <w:tc>
          <w:tcPr/>
          <w:p>
            <w:pPr>
              <w:pStyle w:val="Compact"/>
            </w:pPr>
            <w:r>
              <w:rPr>
                <w:sz w:val="19"/>
              </w:rPr>
              <w:t xml:space="preserve">−CFI</w:t>
            </w:r>
            <w:r>
              <w:rPr>
                <w:sz w:val="19"/>
                <w:vertAlign w:val="subscript"/>
              </w:rPr>
              <w:t xml:space="preserve">t</w:t>
            </w:r>
            <w:r>
              <w:rPr>
                <w:sz w:val="19"/>
              </w:rPr>
              <w:t xml:space="preserve"> </w:t>
            </w:r>
            <w:r>
              <w:rPr>
                <w:sz w:val="19"/>
              </w:rPr>
              <w:t xml:space="preserve">/ TA</w:t>
            </w:r>
            <w:r>
              <w:rPr>
                <w:sz w:val="19"/>
                <w:vertAlign w:val="subscript"/>
              </w:rPr>
              <w:t xml:space="preserve">t−1</w:t>
            </w:r>
            <w:r>
              <w:rPr>
                <w:sz w:val="19"/>
              </w:rPr>
              <w:t xml:space="preserve"> </w:t>
            </w:r>
            <w:r>
              <w:rPr>
                <w:sz w:val="19"/>
              </w:rPr>
              <w:t xml:space="preserve">(cash investment)</w:t>
            </w:r>
          </w:p>
        </w:tc>
        <w:tc>
          <w:tcPr/>
          <w:p>
            <w:pPr>
              <w:pStyle w:val="Compact"/>
            </w:pPr>
            <w:r>
              <w:rPr>
                <w:sz w:val="19"/>
              </w:rPr>
              <w:t xml:space="preserve">CFI, TA</w:t>
            </w:r>
          </w:p>
        </w:tc>
      </w:tr>
      <w:tr>
        <w:tc>
          <w:tcPr/>
          <w:p>
            <w:pPr>
              <w:pStyle w:val="Compact"/>
            </w:pPr>
            <w:r>
              <w:rPr>
                <w:sz w:val="19"/>
              </w:rPr>
              <w:t xml:space="preserve">SalesGrowth</w:t>
            </w:r>
          </w:p>
        </w:tc>
        <w:tc>
          <w:tcPr/>
          <w:p>
            <w:pPr>
              <w:pStyle w:val="Compact"/>
            </w:pPr>
            <w:r>
              <w:rPr>
                <w:sz w:val="19"/>
              </w:rPr>
              <w:t xml:space="preserve">(Sales</w:t>
            </w:r>
            <w:r>
              <w:rPr>
                <w:sz w:val="19"/>
                <w:vertAlign w:val="subscript"/>
              </w:rPr>
              <w:t xml:space="preserve">t</w:t>
            </w:r>
            <w:r>
              <w:rPr>
                <w:sz w:val="19"/>
              </w:rPr>
              <w:t xml:space="preserve"> </w:t>
            </w:r>
            <w:r>
              <w:rPr>
                <w:sz w:val="19"/>
              </w:rPr>
              <w:t xml:space="preserve">− Sales</w:t>
            </w:r>
            <w:r>
              <w:rPr>
                <w:sz w:val="19"/>
                <w:vertAlign w:val="subscript"/>
              </w:rPr>
              <w:t xml:space="preserve">t−1</w:t>
            </w:r>
            <w:r>
              <w:rPr>
                <w:sz w:val="19"/>
              </w:rPr>
              <w:t xml:space="preserve">) / Sales</w:t>
            </w:r>
            <w:r>
              <w:rPr>
                <w:sz w:val="19"/>
                <w:vertAlign w:val="subscript"/>
              </w:rPr>
              <w:t xml:space="preserve">t−1</w:t>
            </w:r>
          </w:p>
        </w:tc>
        <w:tc>
          <w:tcPr/>
          <w:p>
            <w:pPr>
              <w:pStyle w:val="Compact"/>
            </w:pPr>
            <w:r>
              <w:rPr>
                <w:sz w:val="19"/>
              </w:rPr>
              <w:t xml:space="preserve">Sales</w:t>
            </w:r>
          </w:p>
        </w:tc>
      </w:tr>
      <w:tr>
        <w:tc>
          <w:tcPr/>
          <w:p>
            <w:pPr>
              <w:pStyle w:val="Compact"/>
            </w:pPr>
            <w:r>
              <w:rPr>
                <w:sz w:val="19"/>
              </w:rPr>
              <w:t xml:space="preserve">InvEff</w:t>
            </w:r>
          </w:p>
        </w:tc>
        <w:tc>
          <w:tcPr/>
          <w:p>
            <w:pPr>
              <w:pStyle w:val="Compact"/>
            </w:pPr>
            <w:r>
              <w:rPr>
                <w:sz w:val="19"/>
              </w:rPr>
              <w:t xml:space="preserve">Signed residual of Eq. (1), estimated by industry-year</w:t>
            </w:r>
          </w:p>
        </w:tc>
        <w:tc>
          <w:tcPr/>
          <w:p>
            <w:pPr>
              <w:pStyle w:val="Compact"/>
            </w:pPr>
            <w:r>
              <w:rPr>
                <w:sz w:val="19"/>
              </w:rPr>
              <w:t xml:space="preserve">Invest, SalesGrowth, IndID</w:t>
            </w:r>
          </w:p>
        </w:tc>
      </w:tr>
      <w:tr>
        <w:tc>
          <w:tcPr/>
          <w:p>
            <w:pPr>
              <w:pStyle w:val="Compact"/>
            </w:pPr>
            <w:r>
              <w:rPr>
                <w:sz w:val="19"/>
              </w:rPr>
              <w:t xml:space="preserve">TDA</w:t>
            </w:r>
          </w:p>
        </w:tc>
        <w:tc>
          <w:tcPr/>
          <w:p>
            <w:pPr>
              <w:pStyle w:val="Compact"/>
            </w:pPr>
            <w:r>
              <w:rPr>
                <w:sz w:val="19"/>
              </w:rPr>
              <w:t xml:space="preserve">TD / TA</w:t>
            </w:r>
          </w:p>
        </w:tc>
        <w:tc>
          <w:tcPr/>
          <w:p>
            <w:pPr>
              <w:pStyle w:val="Compact"/>
            </w:pPr>
            <w:r>
              <w:rPr>
                <w:sz w:val="19"/>
              </w:rPr>
              <w:t xml:space="preserve">TD, TA</w:t>
            </w:r>
          </w:p>
        </w:tc>
      </w:tr>
      <w:tr>
        <w:tc>
          <w:tcPr/>
          <w:p>
            <w:pPr>
              <w:pStyle w:val="Compact"/>
            </w:pPr>
            <w:r>
              <w:rPr>
                <w:sz w:val="19"/>
              </w:rPr>
              <w:t xml:space="preserve">IOB</w:t>
            </w:r>
          </w:p>
        </w:tc>
        <w:tc>
          <w:tcPr/>
          <w:p>
            <w:pPr>
              <w:pStyle w:val="Compact"/>
            </w:pPr>
            <w:r>
              <w:rPr>
                <w:sz w:val="19"/>
              </w:rPr>
              <w:t xml:space="preserve">FinExp / TA</w:t>
            </w:r>
          </w:p>
        </w:tc>
        <w:tc>
          <w:tcPr/>
          <w:p>
            <w:pPr>
              <w:pStyle w:val="Compact"/>
            </w:pPr>
            <w:r>
              <w:rPr>
                <w:sz w:val="19"/>
              </w:rPr>
              <w:t xml:space="preserve">FinExp, TA</w:t>
            </w:r>
          </w:p>
        </w:tc>
      </w:tr>
      <w:tr>
        <w:tc>
          <w:tcPr/>
          <w:p>
            <w:pPr>
              <w:pStyle w:val="Compact"/>
            </w:pPr>
            <w:r>
              <w:rPr>
                <w:sz w:val="19"/>
              </w:rPr>
              <w:t xml:space="preserve">COL</w:t>
            </w:r>
          </w:p>
        </w:tc>
        <w:tc>
          <w:tcPr/>
          <w:p>
            <w:pPr>
              <w:pStyle w:val="Compact"/>
            </w:pPr>
            <w:r>
              <w:rPr>
                <w:sz w:val="19"/>
              </w:rPr>
              <w:t xml:space="preserve">(INV + PPE) / TA</w:t>
            </w:r>
          </w:p>
        </w:tc>
        <w:tc>
          <w:tcPr/>
          <w:p>
            <w:pPr>
              <w:pStyle w:val="Compact"/>
            </w:pPr>
            <w:r>
              <w:rPr>
                <w:sz w:val="19"/>
              </w:rPr>
              <w:t xml:space="preserve">INV, PPE, TA</w:t>
            </w:r>
          </w:p>
        </w:tc>
      </w:tr>
      <w:tr>
        <w:tc>
          <w:tcPr/>
          <w:p>
            <w:pPr>
              <w:pStyle w:val="Compact"/>
            </w:pPr>
            <w:r>
              <w:rPr>
                <w:sz w:val="19"/>
              </w:rPr>
              <w:t xml:space="preserve">LTA</w:t>
            </w:r>
          </w:p>
        </w:tc>
        <w:tc>
          <w:tcPr/>
          <w:p>
            <w:pPr>
              <w:pStyle w:val="Compact"/>
            </w:pPr>
            <w:r>
              <w:rPr>
                <w:sz w:val="19"/>
              </w:rPr>
              <w:t xml:space="preserve">ln(TA / CPI), total assets in 1392 prices</w:t>
            </w:r>
          </w:p>
        </w:tc>
        <w:tc>
          <w:tcPr/>
          <w:p>
            <w:pPr>
              <w:pStyle w:val="Compact"/>
            </w:pPr>
            <w:r>
              <w:rPr>
                <w:sz w:val="19"/>
              </w:rPr>
              <w:t xml:space="preserve">TA, INF</w:t>
            </w:r>
          </w:p>
        </w:tc>
      </w:tr>
      <w:tr>
        <w:tc>
          <w:tcPr/>
          <w:p>
            <w:pPr>
              <w:pStyle w:val="Compact"/>
            </w:pPr>
            <w:r>
              <w:rPr>
                <w:sz w:val="19"/>
              </w:rPr>
              <w:t xml:space="preserve">MTB</w:t>
            </w:r>
          </w:p>
        </w:tc>
        <w:tc>
          <w:tcPr/>
          <w:p>
            <w:pPr>
              <w:pStyle w:val="Compact"/>
            </w:pPr>
            <w:r>
              <w:rPr>
                <w:sz w:val="19"/>
              </w:rPr>
              <w:t xml:space="preserve">MV / BV</w:t>
            </w:r>
          </w:p>
        </w:tc>
        <w:tc>
          <w:tcPr/>
          <w:p>
            <w:pPr>
              <w:pStyle w:val="Compact"/>
            </w:pPr>
            <w:r>
              <w:rPr>
                <w:sz w:val="19"/>
              </w:rPr>
              <w:t xml:space="preserve">MV, BV</w:t>
            </w:r>
          </w:p>
        </w:tc>
      </w:tr>
      <w:tr>
        <w:tc>
          <w:tcPr/>
          <w:p>
            <w:pPr>
              <w:pStyle w:val="Compact"/>
            </w:pPr>
            <w:r>
              <w:rPr>
                <w:sz w:val="19"/>
              </w:rPr>
              <w:t xml:space="preserve">PROFIT</w:t>
            </w:r>
          </w:p>
        </w:tc>
        <w:tc>
          <w:tcPr/>
          <w:p>
            <w:pPr>
              <w:pStyle w:val="Compact"/>
            </w:pPr>
            <w:r>
              <w:rPr>
                <w:sz w:val="19"/>
              </w:rPr>
              <w:t xml:space="preserve">OI / TA</w:t>
            </w:r>
          </w:p>
        </w:tc>
        <w:tc>
          <w:tcPr/>
          <w:p>
            <w:pPr>
              <w:pStyle w:val="Compact"/>
            </w:pPr>
            <w:r>
              <w:rPr>
                <w:sz w:val="19"/>
              </w:rPr>
              <w:t xml:space="preserve">OI, TA</w:t>
            </w:r>
          </w:p>
        </w:tc>
      </w:tr>
      <w:tr>
        <w:tc>
          <w:tcPr/>
          <w:p>
            <w:pPr>
              <w:pStyle w:val="Compact"/>
            </w:pPr>
            <w:r>
              <w:rPr>
                <w:sz w:val="19"/>
              </w:rPr>
              <w:t xml:space="preserve">INDLEV</w:t>
            </w:r>
          </w:p>
        </w:tc>
        <w:tc>
          <w:tcPr/>
          <w:p>
            <w:pPr>
              <w:pStyle w:val="Compact"/>
            </w:pPr>
            <w:r>
              <w:rPr>
                <w:sz w:val="19"/>
              </w:rPr>
              <w:t xml:space="preserve">Median TDA of the industry-year, excluding the firm</w:t>
            </w:r>
          </w:p>
        </w:tc>
        <w:tc>
          <w:tcPr/>
          <w:p>
            <w:pPr>
              <w:pStyle w:val="Compact"/>
            </w:pPr>
            <w:r>
              <w:rPr>
                <w:sz w:val="19"/>
              </w:rPr>
              <w:t xml:space="preserve">TD, TA, IndID</w:t>
            </w:r>
          </w:p>
        </w:tc>
      </w:tr>
      <w:tr>
        <w:tc>
          <w:tcPr/>
          <w:p>
            <w:pPr>
              <w:pStyle w:val="Compact"/>
            </w:pPr>
            <w:r>
              <w:rPr>
                <w:sz w:val="19"/>
              </w:rPr>
              <w:t xml:space="preserve">INF</w:t>
            </w:r>
          </w:p>
        </w:tc>
        <w:tc>
          <w:tcPr/>
          <w:p>
            <w:pPr>
              <w:pStyle w:val="Compact"/>
            </w:pPr>
            <w:r>
              <w:rPr>
                <w:sz w:val="19"/>
              </w:rPr>
              <w:t xml:space="preserve">Annual consumer-price inflation rate</w:t>
            </w:r>
          </w:p>
        </w:tc>
        <w:tc>
          <w:tcPr/>
          <w:p>
            <w:pPr>
              <w:pStyle w:val="Compact"/>
            </w:pPr>
            <w:r>
              <w:rPr>
                <w:sz w:val="19"/>
              </w:rPr>
              <w:t xml:space="preserve">INF</w:t>
            </w:r>
          </w:p>
        </w:tc>
      </w:tr>
      <w:tr>
        <w:tc>
          <w:tcPr/>
          <w:p>
            <w:pPr>
              <w:pStyle w:val="Compact"/>
            </w:pPr>
            <w:r>
              <w:rPr>
                <w:sz w:val="19"/>
              </w:rPr>
              <w:t xml:space="preserve">CSDev</w:t>
            </w:r>
          </w:p>
        </w:tc>
        <w:tc>
          <w:tcPr/>
          <w:p>
            <w:pPr>
              <w:pStyle w:val="Compact"/>
            </w:pPr>
            <w:r>
              <w:rPr>
                <w:sz w:val="19"/>
              </w:rPr>
              <w:t xml:space="preserve">TDA minus fitted target leverage from Eq. (2)</w:t>
            </w:r>
          </w:p>
        </w:tc>
        <w:tc>
          <w:tcPr/>
          <w:p>
            <w:pPr>
              <w:pStyle w:val="Compact"/>
            </w:pPr>
            <w:r>
              <w:rPr>
                <w:sz w:val="19"/>
              </w:rPr>
              <w:t xml:space="preserve">—</w:t>
            </w:r>
          </w:p>
        </w:tc>
      </w:tr>
      <w:tr>
        <w:tc>
          <w:tcPr/>
          <w:p>
            <w:pPr>
              <w:pStyle w:val="Compact"/>
            </w:pPr>
            <w:r>
              <w:rPr>
                <w:sz w:val="19"/>
              </w:rPr>
              <w:t xml:space="preserve">CSD⁺</w:t>
            </w:r>
          </w:p>
        </w:tc>
        <w:tc>
          <w:tcPr/>
          <w:p>
            <w:pPr>
              <w:pStyle w:val="Compact"/>
            </w:pPr>
            <w:r>
              <w:rPr>
                <w:sz w:val="19"/>
              </w:rPr>
              <w:t xml:space="preserve">max(CSDev, 0)</w:t>
            </w:r>
          </w:p>
        </w:tc>
        <w:tc>
          <w:tcPr/>
          <w:p>
            <w:pPr>
              <w:pStyle w:val="Compact"/>
            </w:pPr>
            <w:r>
              <w:rPr>
                <w:sz w:val="19"/>
              </w:rPr>
              <w:t xml:space="preserve">—</w:t>
            </w:r>
          </w:p>
        </w:tc>
      </w:tr>
      <w:tr>
        <w:tc>
          <w:tcPr/>
          <w:p>
            <w:pPr>
              <w:pStyle w:val="Compact"/>
            </w:pPr>
            <w:r>
              <w:rPr>
                <w:sz w:val="19"/>
              </w:rPr>
              <w:t xml:space="preserve">CSD⁻</w:t>
            </w:r>
          </w:p>
        </w:tc>
        <w:tc>
          <w:tcPr/>
          <w:p>
            <w:pPr>
              <w:pStyle w:val="Compact"/>
            </w:pPr>
            <w:r>
              <w:rPr>
                <w:sz w:val="19"/>
              </w:rPr>
              <w:t xml:space="preserve">max(−CSDev, 0); CSD⁺ and CSD⁻ enter Eqs. (6)–(12) at t−1</w:t>
            </w:r>
          </w:p>
        </w:tc>
        <w:tc>
          <w:tcPr/>
          <w:p>
            <w:pPr>
              <w:pStyle w:val="Compact"/>
            </w:pPr>
            <w:r>
              <w:rPr>
                <w:sz w:val="19"/>
              </w:rPr>
              <w:t xml:space="preserve">—</w:t>
            </w:r>
          </w:p>
        </w:tc>
      </w:tr>
      <w:tr>
        <w:tc>
          <w:tcPr/>
          <w:p>
            <w:pPr>
              <w:pStyle w:val="Compact"/>
            </w:pPr>
            <w:r>
              <w:rPr>
                <w:sz w:val="19"/>
              </w:rPr>
              <w:t xml:space="preserve">GROW, MAT, DEC</w:t>
            </w:r>
          </w:p>
        </w:tc>
        <w:tc>
          <w:tcPr/>
          <w:p>
            <w:pPr>
              <w:pStyle w:val="Compact"/>
            </w:pPr>
            <w:r>
              <w:rPr>
                <w:sz w:val="19"/>
              </w:rPr>
              <w:t xml:space="preserve">Life-cycle indicators at t−1 (Section 3.4)</w:t>
            </w:r>
          </w:p>
        </w:tc>
        <w:tc>
          <w:tcPr/>
          <w:p>
            <w:pPr>
              <w:pStyle w:val="Compact"/>
            </w:pPr>
            <w:r>
              <w:rPr>
                <w:sz w:val="19"/>
              </w:rPr>
              <w:t xml:space="preserve">CFO, CFI, CFF</w:t>
            </w:r>
          </w:p>
        </w:tc>
      </w:tr>
      <w:tr>
        <w:tc>
          <w:tcPr/>
          <w:p>
            <w:pPr>
              <w:pStyle w:val="Compact"/>
            </w:pPr>
            <w:r>
              <w:rPr>
                <w:sz w:val="19"/>
              </w:rPr>
              <w:t xml:space="preserve">GD</w:t>
            </w:r>
          </w:p>
        </w:tc>
        <w:tc>
          <w:tcPr/>
          <w:p>
            <w:pPr>
              <w:pStyle w:val="Compact"/>
            </w:pPr>
            <w:r>
              <w:rPr>
                <w:sz w:val="19"/>
              </w:rPr>
              <w:t xml:space="preserve">1 if GROW or DEC at t−1, 0 if MAT</w:t>
            </w:r>
          </w:p>
        </w:tc>
        <w:tc>
          <w:tcPr/>
          <w:p>
            <w:pPr>
              <w:pStyle w:val="Compact"/>
            </w:pPr>
            <w:r>
              <w:rPr>
                <w:sz w:val="19"/>
              </w:rPr>
              <w:t xml:space="preserve">CFO, CFI, CFF</w:t>
            </w:r>
          </w:p>
        </w:tc>
      </w:tr>
      <w:tr>
        <w:tc>
          <w:tcPr/>
          <w:p>
            <w:pPr>
              <w:pStyle w:val="Compact"/>
            </w:pPr>
            <w:r>
              <w:rPr>
                <w:sz w:val="19"/>
              </w:rPr>
              <w:t xml:space="preserve">FE</w:t>
            </w:r>
          </w:p>
        </w:tc>
        <w:tc>
          <w:tcPr/>
          <w:p>
            <w:pPr>
              <w:pStyle w:val="Compact"/>
            </w:pPr>
            <w:r>
              <w:rPr>
                <w:sz w:val="19"/>
              </w:rPr>
              <w:t xml:space="preserve">DEA efficiency score; output Sales; inputs COGS, SGA, PPE</w:t>
            </w:r>
            <w:r>
              <w:rPr>
                <w:sz w:val="19"/>
                <w:vertAlign w:val="subscript"/>
              </w:rPr>
              <w:t xml:space="preserve">t−1</w:t>
            </w:r>
            <w:r>
              <w:rPr>
                <w:sz w:val="19"/>
              </w:rPr>
              <w:t xml:space="preserve">, IA</w:t>
            </w:r>
            <w:r>
              <w:rPr>
                <w:sz w:val="19"/>
                <w:vertAlign w:val="subscript"/>
              </w:rPr>
              <w:t xml:space="preserve">t−1</w:t>
            </w:r>
          </w:p>
        </w:tc>
        <w:tc>
          <w:tcPr/>
          <w:p>
            <w:pPr>
              <w:pStyle w:val="Compact"/>
            </w:pPr>
            <w:r>
              <w:rPr>
                <w:sz w:val="19"/>
              </w:rPr>
              <w:t xml:space="preserve">Sales, COGS, SGA, PPE, IA</w:t>
            </w:r>
          </w:p>
        </w:tc>
      </w:tr>
      <w:tr>
        <w:tc>
          <w:tcPr/>
          <w:p>
            <w:pPr>
              <w:pStyle w:val="Compact"/>
            </w:pPr>
            <w:r>
              <w:rPr>
                <w:sz w:val="19"/>
              </w:rPr>
              <w:t xml:space="preserve">MktShare</w:t>
            </w:r>
          </w:p>
        </w:tc>
        <w:tc>
          <w:tcPr/>
          <w:p>
            <w:pPr>
              <w:pStyle w:val="Compact"/>
            </w:pPr>
            <w:r>
              <w:rPr>
                <w:sz w:val="19"/>
              </w:rPr>
              <w:t xml:space="preserve">Sales / total industry-year sales</w:t>
            </w:r>
          </w:p>
        </w:tc>
        <w:tc>
          <w:tcPr/>
          <w:p>
            <w:pPr>
              <w:pStyle w:val="Compact"/>
            </w:pPr>
            <w:r>
              <w:rPr>
                <w:sz w:val="19"/>
              </w:rPr>
              <w:t xml:space="preserve">Sales, IndID</w:t>
            </w:r>
          </w:p>
        </w:tc>
      </w:tr>
      <w:tr>
        <w:tc>
          <w:tcPr/>
          <w:p>
            <w:pPr>
              <w:pStyle w:val="Compact"/>
            </w:pPr>
            <w:r>
              <w:rPr>
                <w:sz w:val="19"/>
              </w:rPr>
              <w:t xml:space="preserve">FCF⁺</w:t>
            </w:r>
          </w:p>
        </w:tc>
        <w:tc>
          <w:tcPr/>
          <w:p>
            <w:pPr>
              <w:pStyle w:val="Compact"/>
            </w:pPr>
            <w:r>
              <w:rPr>
                <w:sz w:val="19"/>
              </w:rPr>
              <w:t xml:space="preserve">1 if (CFO + CFI) &gt; 0, else 0</w:t>
            </w:r>
          </w:p>
        </w:tc>
        <w:tc>
          <w:tcPr/>
          <w:p>
            <w:pPr>
              <w:pStyle w:val="Compact"/>
            </w:pPr>
            <w:r>
              <w:rPr>
                <w:sz w:val="19"/>
              </w:rPr>
              <w:t xml:space="preserve">CFO, CFI</w:t>
            </w:r>
          </w:p>
        </w:tc>
      </w:tr>
      <w:tr>
        <w:tc>
          <w:tcPr/>
          <w:p>
            <w:pPr>
              <w:pStyle w:val="Compact"/>
            </w:pPr>
            <w:r>
              <w:rPr>
                <w:sz w:val="19"/>
              </w:rPr>
              <w:t xml:space="preserve">MA</w:t>
            </w:r>
          </w:p>
        </w:tc>
        <w:tc>
          <w:tcPr/>
          <w:p>
            <w:pPr>
              <w:pStyle w:val="Compact"/>
            </w:pPr>
            <w:r>
              <w:rPr>
                <w:sz w:val="19"/>
              </w:rPr>
              <w:t xml:space="preserve">Residual of the Tobit model, Eq. (5), mean-centered; enters Eqs. (9)–(12) at t−1</w:t>
            </w:r>
          </w:p>
        </w:tc>
        <w:tc>
          <w:tcPr/>
          <w:p>
            <w:pPr>
              <w:pStyle w:val="Compact"/>
            </w:pPr>
            <w:r>
              <w:rPr>
                <w:sz w:val="19"/>
              </w:rPr>
              <w:t xml:space="preserve">—</w:t>
            </w:r>
          </w:p>
        </w:tc>
      </w:tr>
      <w:tr>
        <w:tc>
          <w:tcPr/>
          <w:p>
            <w:pPr>
              <w:pStyle w:val="Compact"/>
            </w:pPr>
            <w:r>
              <w:rPr>
                <w:sz w:val="19"/>
              </w:rPr>
              <w:t xml:space="preserve">FCF</w:t>
            </w:r>
          </w:p>
        </w:tc>
        <w:tc>
          <w:tcPr/>
          <w:p>
            <w:pPr>
              <w:pStyle w:val="Compact"/>
            </w:pPr>
            <w:r>
              <w:rPr>
                <w:sz w:val="19"/>
              </w:rPr>
              <w:t xml:space="preserve">CFO / TA</w:t>
            </w:r>
          </w:p>
        </w:tc>
        <w:tc>
          <w:tcPr/>
          <w:p>
            <w:pPr>
              <w:pStyle w:val="Compact"/>
            </w:pPr>
            <w:r>
              <w:rPr>
                <w:sz w:val="19"/>
              </w:rPr>
              <w:t xml:space="preserve">CFO, TA</w:t>
            </w:r>
          </w:p>
        </w:tc>
      </w:tr>
      <w:tr>
        <w:tc>
          <w:tcPr/>
          <w:p>
            <w:pPr>
              <w:pStyle w:val="Compact"/>
            </w:pPr>
            <w:r>
              <w:rPr>
                <w:sz w:val="19"/>
              </w:rPr>
              <w:t xml:space="preserve">TANG</w:t>
            </w:r>
          </w:p>
        </w:tc>
        <w:tc>
          <w:tcPr/>
          <w:p>
            <w:pPr>
              <w:pStyle w:val="Compact"/>
            </w:pPr>
            <w:r>
              <w:rPr>
                <w:sz w:val="19"/>
              </w:rPr>
              <w:t xml:space="preserve">PPE / TA</w:t>
            </w:r>
          </w:p>
        </w:tc>
        <w:tc>
          <w:tcPr/>
          <w:p>
            <w:pPr>
              <w:pStyle w:val="Compact"/>
            </w:pPr>
            <w:r>
              <w:rPr>
                <w:sz w:val="19"/>
              </w:rPr>
              <w:t xml:space="preserve">PPE, TA</w:t>
            </w:r>
          </w:p>
        </w:tc>
      </w:tr>
      <w:tr>
        <w:tc>
          <w:tcPr/>
          <w:p>
            <w:pPr>
              <w:pStyle w:val="Compact"/>
            </w:pPr>
            <w:r>
              <w:rPr>
                <w:sz w:val="19"/>
              </w:rPr>
              <w:t xml:space="preserve">LOSS</w:t>
            </w:r>
          </w:p>
        </w:tc>
        <w:tc>
          <w:tcPr/>
          <w:p>
            <w:pPr>
              <w:pStyle w:val="Compact"/>
            </w:pPr>
            <w:r>
              <w:rPr>
                <w:sz w:val="19"/>
              </w:rPr>
              <w:t xml:space="preserve">1 if OI &lt; 0, else 0</w:t>
            </w:r>
          </w:p>
        </w:tc>
        <w:tc>
          <w:tcPr/>
          <w:p>
            <w:pPr>
              <w:pStyle w:val="Compact"/>
            </w:pPr>
            <w:r>
              <w:rPr>
                <w:sz w:val="19"/>
              </w:rPr>
              <w:t xml:space="preserve">OI</w:t>
            </w:r>
          </w:p>
        </w:tc>
      </w:tr>
      <w:tr>
        <w:tc>
          <w:tcPr/>
          <w:p>
            <w:pPr>
              <w:pStyle w:val="Compact"/>
            </w:pPr>
            <w:r>
              <w:rPr>
                <w:sz w:val="19"/>
              </w:rPr>
              <w:t xml:space="preserve">σ(CFO)</w:t>
            </w:r>
          </w:p>
        </w:tc>
        <w:tc>
          <w:tcPr/>
          <w:p>
            <w:pPr>
              <w:pStyle w:val="Compact"/>
            </w:pPr>
            <w:r>
              <w:rPr>
                <w:sz w:val="19"/>
              </w:rPr>
              <w:t xml:space="preserve">Standard deviation of CFO / TA over t−3 to t−1</w:t>
            </w:r>
          </w:p>
        </w:tc>
        <w:tc>
          <w:tcPr/>
          <w:p>
            <w:pPr>
              <w:pStyle w:val="Compact"/>
            </w:pPr>
            <w:r>
              <w:rPr>
                <w:sz w:val="19"/>
              </w:rPr>
              <w:t xml:space="preserve">CFO, TA</w:t>
            </w:r>
          </w:p>
        </w:tc>
      </w:tr>
      <w:tr>
        <w:tc>
          <w:tcPr/>
          <w:p>
            <w:pPr>
              <w:pStyle w:val="Compact"/>
            </w:pPr>
            <w:r>
              <w:rPr>
                <w:sz w:val="19"/>
              </w:rPr>
              <w:t xml:space="preserve">σ(Sales)</w:t>
            </w:r>
          </w:p>
        </w:tc>
        <w:tc>
          <w:tcPr/>
          <w:p>
            <w:pPr>
              <w:pStyle w:val="Compact"/>
            </w:pPr>
            <w:r>
              <w:rPr>
                <w:sz w:val="19"/>
              </w:rPr>
              <w:t xml:space="preserve">Standard deviation of Sales / TA over t−3 to t−1</w:t>
            </w:r>
          </w:p>
        </w:tc>
        <w:tc>
          <w:tcPr/>
          <w:p>
            <w:pPr>
              <w:pStyle w:val="Compact"/>
            </w:pPr>
            <w:r>
              <w:rPr>
                <w:sz w:val="19"/>
              </w:rPr>
              <w:t xml:space="preserve">Sales, TA</w:t>
            </w:r>
          </w:p>
        </w:tc>
      </w:tr>
      <w:tr>
        <w:tc>
          <w:tcPr/>
          <w:p>
            <w:pPr>
              <w:pStyle w:val="Compact"/>
            </w:pPr>
            <w:r>
              <w:rPr>
                <w:sz w:val="19"/>
              </w:rPr>
              <w:t xml:space="preserve">Age</w:t>
            </w:r>
          </w:p>
        </w:tc>
        <w:tc>
          <w:tcPr/>
          <w:p>
            <w:pPr>
              <w:pStyle w:val="Compact"/>
            </w:pPr>
            <w:r>
              <w:rPr>
                <w:sz w:val="19"/>
              </w:rPr>
              <w:t xml:space="preserve">ln(1 + firm age in years)</w:t>
            </w:r>
          </w:p>
        </w:tc>
        <w:tc>
          <w:tcPr/>
          <w:p>
            <w:pPr>
              <w:pStyle w:val="Compact"/>
            </w:pPr>
            <w:r>
              <w:rPr>
                <w:sz w:val="19"/>
              </w:rPr>
              <w:t xml:space="preserve">Age</w:t>
            </w:r>
          </w:p>
        </w:tc>
      </w:tr>
      <w:tr>
        <w:tc>
          <w:tcPr/>
          <w:p>
            <w:pPr>
              <w:pStyle w:val="Compact"/>
            </w:pPr>
            <w:r>
              <w:rPr>
                <w:sz w:val="19"/>
              </w:rPr>
              <w:t xml:space="preserve">CPI</w:t>
            </w:r>
          </w:p>
        </w:tc>
        <w:tc>
          <w:tcPr/>
          <w:p>
            <w:pPr>
              <w:pStyle w:val="Compact"/>
            </w:pPr>
            <w:r>
              <w:rPr>
                <w:sz w:val="19"/>
              </w:rPr>
              <w:t xml:space="preserve">Price index built from INF, base year 1392 = 1</w:t>
            </w:r>
          </w:p>
        </w:tc>
        <w:tc>
          <w:tcPr/>
          <w:p>
            <w:pPr>
              <w:pStyle w:val="Compact"/>
            </w:pPr>
            <w:r>
              <w:rPr>
                <w:sz w:val="19"/>
              </w:rPr>
              <w:t xml:space="preserve">INF</w:t>
            </w:r>
          </w:p>
        </w:tc>
      </w:tr>
    </w:tbl>
    <w:bookmarkEnd w:id="37"/>
    <w:bookmarkStart w:id="38" w:name="references"/>
    <w:p>
      <w:pPr>
        <w:pStyle w:val="Heading2"/>
      </w:pPr>
      <w:r>
        <w:t xml:space="preserve">References</w:t>
      </w:r>
    </w:p>
    <w:p>
      <w:pPr>
        <w:pStyle w:val="Compact"/>
        <w:numPr>
          <w:ilvl w:val="0"/>
          <w:numId w:val="1007"/>
        </w:numPr>
      </w:pPr>
      <w:r>
        <w:t xml:space="preserve">Aiken, L. S., &amp; West, S. G. (1991).</w:t>
      </w:r>
      <w:r>
        <w:t xml:space="preserve"> </w:t>
      </w:r>
      <w:r>
        <w:rPr>
          <w:i/>
          <w:iCs/>
        </w:rPr>
        <w:t xml:space="preserve">Multiple regression: Testing and interpreting interactions</w:t>
      </w:r>
      <w:r>
        <w:t xml:space="preserve">. Sage.</w:t>
      </w:r>
    </w:p>
    <w:p>
      <w:pPr>
        <w:pStyle w:val="Compact"/>
        <w:numPr>
          <w:ilvl w:val="0"/>
          <w:numId w:val="1007"/>
        </w:numPr>
      </w:pPr>
      <w:r>
        <w:t xml:space="preserve">Anthony, J. H., &amp; Ramesh, K. (1992). Association between accounting performance measures and stock prices: A test of the life cycle hypothesis.</w:t>
      </w:r>
      <w:r>
        <w:t xml:space="preserve"> </w:t>
      </w:r>
      <w:r>
        <w:rPr>
          <w:i/>
          <w:iCs/>
        </w:rPr>
        <w:t xml:space="preserve">Journal of Accounting and Economics, 15</w:t>
      </w:r>
      <w:r>
        <w:t xml:space="preserve">(2–3), 203–227.</w:t>
      </w:r>
    </w:p>
    <w:p>
      <w:pPr>
        <w:pStyle w:val="Compact"/>
        <w:numPr>
          <w:ilvl w:val="0"/>
          <w:numId w:val="1007"/>
        </w:numPr>
      </w:pPr>
      <w:r>
        <w:t xml:space="preserve">Arellano, M., &amp; Bond, S. (1991). Some tests of specification for panel data: Monte Carlo evidence and an application to employment equations.</w:t>
      </w:r>
      <w:r>
        <w:t xml:space="preserve"> </w:t>
      </w:r>
      <w:r>
        <w:rPr>
          <w:i/>
          <w:iCs/>
        </w:rPr>
        <w:t xml:space="preserve">Review of Economic Studies, 58</w:t>
      </w:r>
      <w:r>
        <w:t xml:space="preserve">(2), 277–297.</w:t>
      </w:r>
    </w:p>
    <w:p>
      <w:pPr>
        <w:pStyle w:val="Compact"/>
        <w:numPr>
          <w:ilvl w:val="0"/>
          <w:numId w:val="1007"/>
        </w:numPr>
      </w:pPr>
      <w:r>
        <w:t xml:space="preserve">Arellano, M., &amp; Bover, O. (1995). Another look at the instrumental variable estimation of error-components models.</w:t>
      </w:r>
      <w:r>
        <w:t xml:space="preserve"> </w:t>
      </w:r>
      <w:r>
        <w:rPr>
          <w:i/>
          <w:iCs/>
        </w:rPr>
        <w:t xml:space="preserve">Journal of Econometrics, 68</w:t>
      </w:r>
      <w:r>
        <w:t xml:space="preserve">(1), 29–51.</w:t>
      </w:r>
    </w:p>
    <w:p>
      <w:pPr>
        <w:pStyle w:val="Compact"/>
        <w:numPr>
          <w:ilvl w:val="0"/>
          <w:numId w:val="1007"/>
        </w:numPr>
      </w:pPr>
      <w:r>
        <w:t xml:space="preserve">Biddle, G. C., Hilary, G., &amp; Verdi, R. S. (2009). How does financial reporting quality relate to investment efficiency?</w:t>
      </w:r>
      <w:r>
        <w:t xml:space="preserve"> </w:t>
      </w:r>
      <w:r>
        <w:rPr>
          <w:i/>
          <w:iCs/>
        </w:rPr>
        <w:t xml:space="preserve">Journal of Accounting and Economics, 48</w:t>
      </w:r>
      <w:r>
        <w:t xml:space="preserve">(2–3), 112–131.</w:t>
      </w:r>
    </w:p>
    <w:p>
      <w:pPr>
        <w:pStyle w:val="Compact"/>
        <w:numPr>
          <w:ilvl w:val="0"/>
          <w:numId w:val="1007"/>
        </w:numPr>
      </w:pPr>
      <w:r>
        <w:t xml:space="preserve">Blundell, R., &amp; Bond, S. (1998). Initial conditions and moment restrictions in dynamic panel data models.</w:t>
      </w:r>
      <w:r>
        <w:t xml:space="preserve"> </w:t>
      </w:r>
      <w:r>
        <w:rPr>
          <w:i/>
          <w:iCs/>
        </w:rPr>
        <w:t xml:space="preserve">Journal of Econometrics, 87</w:t>
      </w:r>
      <w:r>
        <w:t xml:space="preserve">(1), 115–143.</w:t>
      </w:r>
    </w:p>
    <w:p>
      <w:pPr>
        <w:pStyle w:val="Compact"/>
        <w:numPr>
          <w:ilvl w:val="0"/>
          <w:numId w:val="1007"/>
        </w:numPr>
      </w:pPr>
      <w:r>
        <w:t xml:space="preserve">Bond, S. R. (2002). Dynamic panel data models: A guide to micro data methods and practice.</w:t>
      </w:r>
      <w:r>
        <w:t xml:space="preserve"> </w:t>
      </w:r>
      <w:r>
        <w:rPr>
          <w:i/>
          <w:iCs/>
        </w:rPr>
        <w:t xml:space="preserve">Portuguese Economic Journal, 1</w:t>
      </w:r>
      <w:r>
        <w:t xml:space="preserve">(2), 141–162.</w:t>
      </w:r>
    </w:p>
    <w:p>
      <w:pPr>
        <w:pStyle w:val="Compact"/>
        <w:numPr>
          <w:ilvl w:val="0"/>
          <w:numId w:val="1007"/>
        </w:numPr>
      </w:pPr>
      <w:r>
        <w:t xml:space="preserve">Brambor, T., Clark, W. R., &amp; Golder, M. (2006). Understanding interaction models: Improving empirical analyses.</w:t>
      </w:r>
      <w:r>
        <w:t xml:space="preserve"> </w:t>
      </w:r>
      <w:r>
        <w:rPr>
          <w:i/>
          <w:iCs/>
        </w:rPr>
        <w:t xml:space="preserve">Political Analysis, 14</w:t>
      </w:r>
      <w:r>
        <w:t xml:space="preserve">(1), 63–82.</w:t>
      </w:r>
    </w:p>
    <w:p>
      <w:pPr>
        <w:pStyle w:val="Compact"/>
        <w:numPr>
          <w:ilvl w:val="0"/>
          <w:numId w:val="1007"/>
        </w:numPr>
      </w:pPr>
      <w:r>
        <w:t xml:space="preserve">Bun, M. J. G., &amp; Windmeijer, F. (2010). The weak instrument problem of the system GMM estimator in dynamic panel data models.</w:t>
      </w:r>
      <w:r>
        <w:t xml:space="preserve"> </w:t>
      </w:r>
      <w:r>
        <w:rPr>
          <w:i/>
          <w:iCs/>
        </w:rPr>
        <w:t xml:space="preserve">Econometrics Journal, 13</w:t>
      </w:r>
      <w:r>
        <w:t xml:space="preserve">(1), 95–126.</w:t>
      </w:r>
    </w:p>
    <w:p>
      <w:pPr>
        <w:pStyle w:val="Compact"/>
        <w:numPr>
          <w:ilvl w:val="0"/>
          <w:numId w:val="1007"/>
        </w:numPr>
      </w:pPr>
      <w:r>
        <w:t xml:space="preserve">Chen, F., Hope, O.-K., Li, Q., &amp; Wang, X. (2011). Financial reporting quality and investment efficiency of private firms in emerging markets.</w:t>
      </w:r>
      <w:r>
        <w:t xml:space="preserve"> </w:t>
      </w:r>
      <w:r>
        <w:rPr>
          <w:i/>
          <w:iCs/>
        </w:rPr>
        <w:t xml:space="preserve">The Accounting Review, 86</w:t>
      </w:r>
      <w:r>
        <w:t xml:space="preserve">(4), 1255–1288.</w:t>
      </w:r>
    </w:p>
    <w:p>
      <w:pPr>
        <w:pStyle w:val="Compact"/>
        <w:numPr>
          <w:ilvl w:val="0"/>
          <w:numId w:val="1007"/>
        </w:numPr>
      </w:pPr>
      <w:r>
        <w:t xml:space="preserve">Cooper, W. W., Seiford, L. M., &amp; Tone, K. (2007).</w:t>
      </w:r>
      <w:r>
        <w:t xml:space="preserve"> </w:t>
      </w:r>
      <w:r>
        <w:rPr>
          <w:i/>
          <w:iCs/>
        </w:rPr>
        <w:t xml:space="preserve">Data envelopment analysis: A comprehensive text with models, applications, references and DEA-Solver software</w:t>
      </w:r>
      <w:r>
        <w:t xml:space="preserve"> </w:t>
      </w:r>
      <w:r>
        <w:t xml:space="preserve">(2nd ed.). Springer.</w:t>
      </w:r>
    </w:p>
    <w:p>
      <w:pPr>
        <w:pStyle w:val="Compact"/>
        <w:numPr>
          <w:ilvl w:val="0"/>
          <w:numId w:val="1007"/>
        </w:numPr>
      </w:pPr>
      <w:r>
        <w:t xml:space="preserve">Demerjian, P., Lev, B., &amp; McVay, S. (2012). Quantifying managerial ability: A new measure and validity tests.</w:t>
      </w:r>
      <w:r>
        <w:t xml:space="preserve"> </w:t>
      </w:r>
      <w:r>
        <w:rPr>
          <w:i/>
          <w:iCs/>
        </w:rPr>
        <w:t xml:space="preserve">Management Science, 58</w:t>
      </w:r>
      <w:r>
        <w:t xml:space="preserve">(7), 1229–1248.</w:t>
      </w:r>
    </w:p>
    <w:p>
      <w:pPr>
        <w:pStyle w:val="Compact"/>
        <w:numPr>
          <w:ilvl w:val="0"/>
          <w:numId w:val="1007"/>
        </w:numPr>
      </w:pPr>
      <w:r>
        <w:t xml:space="preserve">Dickinson, V. (2011). Cash flow patterns as a proxy for firm life cycle.</w:t>
      </w:r>
      <w:r>
        <w:t xml:space="preserve"> </w:t>
      </w:r>
      <w:r>
        <w:rPr>
          <w:i/>
          <w:iCs/>
        </w:rPr>
        <w:t xml:space="preserve">The Accounting Review, 86</w:t>
      </w:r>
      <w:r>
        <w:t xml:space="preserve">(6), 1969–1994.</w:t>
      </w:r>
    </w:p>
    <w:p>
      <w:pPr>
        <w:pStyle w:val="Compact"/>
        <w:numPr>
          <w:ilvl w:val="0"/>
          <w:numId w:val="1007"/>
        </w:numPr>
      </w:pPr>
      <w:r>
        <w:t xml:space="preserve">Fama, E. F., &amp; French, K. R. (1992). The cross-section of expected stock returns.</w:t>
      </w:r>
      <w:r>
        <w:t xml:space="preserve"> </w:t>
      </w:r>
      <w:r>
        <w:rPr>
          <w:i/>
          <w:iCs/>
        </w:rPr>
        <w:t xml:space="preserve">Journal of Finance, 47</w:t>
      </w:r>
      <w:r>
        <w:t xml:space="preserve">(2), 427–465.</w:t>
      </w:r>
    </w:p>
    <w:p>
      <w:pPr>
        <w:pStyle w:val="Compact"/>
        <w:numPr>
          <w:ilvl w:val="0"/>
          <w:numId w:val="1007"/>
        </w:numPr>
      </w:pPr>
      <w:r>
        <w:t xml:space="preserve">Flannery, M. J., &amp; Rangan, K. P. (2006). Partial adjustment toward target capital structures.</w:t>
      </w:r>
      <w:r>
        <w:t xml:space="preserve"> </w:t>
      </w:r>
      <w:r>
        <w:rPr>
          <w:i/>
          <w:iCs/>
        </w:rPr>
        <w:t xml:space="preserve">Journal of Financial Economics, 79</w:t>
      </w:r>
      <w:r>
        <w:t xml:space="preserve">(3), 469–506.</w:t>
      </w:r>
    </w:p>
    <w:p>
      <w:pPr>
        <w:pStyle w:val="Compact"/>
        <w:numPr>
          <w:ilvl w:val="0"/>
          <w:numId w:val="1007"/>
        </w:numPr>
      </w:pPr>
      <w:r>
        <w:t xml:space="preserve">Gelman, A., &amp; Stern, H. (2006). The difference between</w:t>
      </w:r>
      <w:r>
        <w:t xml:space="preserve"> </w:t>
      </w:r>
      <w:r>
        <w:t xml:space="preserve">“significant”</w:t>
      </w:r>
      <w:r>
        <w:t xml:space="preserve"> </w:t>
      </w:r>
      <w:r>
        <w:t xml:space="preserve">and</w:t>
      </w:r>
      <w:r>
        <w:t xml:space="preserve"> </w:t>
      </w:r>
      <w:r>
        <w:t xml:space="preserve">“not significant”</w:t>
      </w:r>
      <w:r>
        <w:t xml:space="preserve"> </w:t>
      </w:r>
      <w:r>
        <w:t xml:space="preserve">is not itself statistically significant.</w:t>
      </w:r>
      <w:r>
        <w:t xml:space="preserve"> </w:t>
      </w:r>
      <w:r>
        <w:rPr>
          <w:i/>
          <w:iCs/>
        </w:rPr>
        <w:t xml:space="preserve">The American Statistician, 60</w:t>
      </w:r>
      <w:r>
        <w:t xml:space="preserve">(4), 328–331.</w:t>
      </w:r>
    </w:p>
    <w:p>
      <w:pPr>
        <w:pStyle w:val="Compact"/>
        <w:numPr>
          <w:ilvl w:val="0"/>
          <w:numId w:val="1007"/>
        </w:numPr>
      </w:pPr>
      <w:r>
        <w:t xml:space="preserve">Hainmueller, J., Mummolo, J., &amp; Xu, Y. (2019). How much should we trust estimates from multiplicative interaction models? Simple tools to improve empirical practice.</w:t>
      </w:r>
      <w:r>
        <w:t xml:space="preserve"> </w:t>
      </w:r>
      <w:r>
        <w:rPr>
          <w:i/>
          <w:iCs/>
        </w:rPr>
        <w:t xml:space="preserve">Political Analysis, 27</w:t>
      </w:r>
      <w:r>
        <w:t xml:space="preserve">(2), 163–192.</w:t>
      </w:r>
    </w:p>
    <w:p>
      <w:pPr>
        <w:pStyle w:val="Compact"/>
        <w:numPr>
          <w:ilvl w:val="0"/>
          <w:numId w:val="1007"/>
        </w:numPr>
      </w:pPr>
      <w:r>
        <w:t xml:space="preserve">Hausman, J. A. (1978). Specification tests in econometrics.</w:t>
      </w:r>
      <w:r>
        <w:t xml:space="preserve"> </w:t>
      </w:r>
      <w:r>
        <w:rPr>
          <w:i/>
          <w:iCs/>
        </w:rPr>
        <w:t xml:space="preserve">Econometrica, 46</w:t>
      </w:r>
      <w:r>
        <w:t xml:space="preserve">(6), 1251–1271.</w:t>
      </w:r>
    </w:p>
    <w:p>
      <w:pPr>
        <w:pStyle w:val="Compact"/>
        <w:numPr>
          <w:ilvl w:val="0"/>
          <w:numId w:val="1007"/>
        </w:numPr>
      </w:pPr>
      <w:r>
        <w:t xml:space="preserve">Jensen, M. C. (1986). Agency costs of free cash flow, corporate finance, and takeovers.</w:t>
      </w:r>
      <w:r>
        <w:t xml:space="preserve"> </w:t>
      </w:r>
      <w:r>
        <w:rPr>
          <w:i/>
          <w:iCs/>
        </w:rPr>
        <w:t xml:space="preserve">American Economic Review, 76</w:t>
      </w:r>
      <w:r>
        <w:t xml:space="preserve">(2), 323–329.</w:t>
      </w:r>
    </w:p>
    <w:p>
      <w:pPr>
        <w:pStyle w:val="Compact"/>
        <w:numPr>
          <w:ilvl w:val="0"/>
          <w:numId w:val="1007"/>
        </w:numPr>
      </w:pPr>
      <w:r>
        <w:t xml:space="preserve">Myers, S. C. (1977). Determinants of corporate borrowing.</w:t>
      </w:r>
      <w:r>
        <w:t xml:space="preserve"> </w:t>
      </w:r>
      <w:r>
        <w:rPr>
          <w:i/>
          <w:iCs/>
        </w:rPr>
        <w:t xml:space="preserve">Journal of Financial Economics, 5</w:t>
      </w:r>
      <w:r>
        <w:t xml:space="preserve">(2), 147–175.</w:t>
      </w:r>
    </w:p>
    <w:p>
      <w:pPr>
        <w:pStyle w:val="Compact"/>
        <w:numPr>
          <w:ilvl w:val="0"/>
          <w:numId w:val="1007"/>
        </w:numPr>
      </w:pPr>
      <w:r>
        <w:t xml:space="preserve">Nickell, S. (1981). Biases in dynamic models with fixed effects.</w:t>
      </w:r>
      <w:r>
        <w:t xml:space="preserve"> </w:t>
      </w:r>
      <w:r>
        <w:rPr>
          <w:i/>
          <w:iCs/>
        </w:rPr>
        <w:t xml:space="preserve">Econometrica, 49</w:t>
      </w:r>
      <w:r>
        <w:t xml:space="preserve">(6), 1417–1426.</w:t>
      </w:r>
    </w:p>
    <w:p>
      <w:pPr>
        <w:pStyle w:val="Compact"/>
        <w:numPr>
          <w:ilvl w:val="0"/>
          <w:numId w:val="1007"/>
        </w:numPr>
      </w:pPr>
      <w:r>
        <w:t xml:space="preserve">Oster, E. (2019). Unobservable selection and coefficient stability: Theory and evidence.</w:t>
      </w:r>
      <w:r>
        <w:t xml:space="preserve"> </w:t>
      </w:r>
      <w:r>
        <w:rPr>
          <w:i/>
          <w:iCs/>
        </w:rPr>
        <w:t xml:space="preserve">Journal of Business &amp; Economic Statistics, 37</w:t>
      </w:r>
      <w:r>
        <w:t xml:space="preserve">(2), 187–204.</w:t>
      </w:r>
    </w:p>
    <w:p>
      <w:pPr>
        <w:pStyle w:val="Compact"/>
        <w:numPr>
          <w:ilvl w:val="0"/>
          <w:numId w:val="1007"/>
        </w:numPr>
      </w:pPr>
      <w:r>
        <w:t xml:space="preserve">Pagan, A. (1984). Econometric issues in the analysis of regressions with generated regressors.</w:t>
      </w:r>
      <w:r>
        <w:t xml:space="preserve"> </w:t>
      </w:r>
      <w:r>
        <w:rPr>
          <w:i/>
          <w:iCs/>
        </w:rPr>
        <w:t xml:space="preserve">International Economic Review, 25</w:t>
      </w:r>
      <w:r>
        <w:t xml:space="preserve">(1), 221–247.</w:t>
      </w:r>
    </w:p>
    <w:p>
      <w:pPr>
        <w:pStyle w:val="Compact"/>
        <w:numPr>
          <w:ilvl w:val="0"/>
          <w:numId w:val="1007"/>
        </w:numPr>
      </w:pPr>
      <w:r>
        <w:t xml:space="preserve">Pesaran, M. H. (2015). Testing weak cross-sectional dependence in large panels.</w:t>
      </w:r>
      <w:r>
        <w:t xml:space="preserve"> </w:t>
      </w:r>
      <w:r>
        <w:rPr>
          <w:i/>
          <w:iCs/>
        </w:rPr>
        <w:t xml:space="preserve">Econometric Reviews, 34</w:t>
      </w:r>
      <w:r>
        <w:t xml:space="preserve">(6–10), 1089–1117.</w:t>
      </w:r>
    </w:p>
    <w:p>
      <w:pPr>
        <w:pStyle w:val="Compact"/>
        <w:numPr>
          <w:ilvl w:val="0"/>
          <w:numId w:val="1007"/>
        </w:numPr>
      </w:pPr>
      <w:r>
        <w:t xml:space="preserve">Petersen, M. A. (2009). Estimating standard errors in finance panel data sets: Comparing approaches.</w:t>
      </w:r>
      <w:r>
        <w:t xml:space="preserve"> </w:t>
      </w:r>
      <w:r>
        <w:rPr>
          <w:i/>
          <w:iCs/>
        </w:rPr>
        <w:t xml:space="preserve">Review of Financial Studies, 22</w:t>
      </w:r>
      <w:r>
        <w:t xml:space="preserve">(1), 435–480.</w:t>
      </w:r>
    </w:p>
    <w:p>
      <w:pPr>
        <w:pStyle w:val="Compact"/>
        <w:numPr>
          <w:ilvl w:val="0"/>
          <w:numId w:val="1007"/>
        </w:numPr>
      </w:pPr>
      <w:r>
        <w:t xml:space="preserve">Roodman, D. (2009a). A note on the theme of too many instruments.</w:t>
      </w:r>
      <w:r>
        <w:t xml:space="preserve"> </w:t>
      </w:r>
      <w:r>
        <w:rPr>
          <w:i/>
          <w:iCs/>
        </w:rPr>
        <w:t xml:space="preserve">Oxford Bulletin of Economics and Statistics, 71</w:t>
      </w:r>
      <w:r>
        <w:t xml:space="preserve">(1), 135–158.</w:t>
      </w:r>
    </w:p>
    <w:p>
      <w:pPr>
        <w:pStyle w:val="Compact"/>
        <w:numPr>
          <w:ilvl w:val="0"/>
          <w:numId w:val="1007"/>
        </w:numPr>
      </w:pPr>
      <w:r>
        <w:t xml:space="preserve">Roodman, D. (2009b). How to do xtabond2: An introduction to difference and system GMM in Stata.</w:t>
      </w:r>
      <w:r>
        <w:t xml:space="preserve"> </w:t>
      </w:r>
      <w:r>
        <w:rPr>
          <w:i/>
          <w:iCs/>
        </w:rPr>
        <w:t xml:space="preserve">Stata Journal, 9</w:t>
      </w:r>
      <w:r>
        <w:t xml:space="preserve">(1), 86–136.</w:t>
      </w:r>
    </w:p>
    <w:p>
      <w:pPr>
        <w:pStyle w:val="Compact"/>
        <w:numPr>
          <w:ilvl w:val="0"/>
          <w:numId w:val="1007"/>
        </w:numPr>
      </w:pPr>
      <w:r>
        <w:t xml:space="preserve">Staiger, D., &amp; Stock, J. H. (1997). Instrumental variables regression with weak instruments.</w:t>
      </w:r>
      <w:r>
        <w:t xml:space="preserve"> </w:t>
      </w:r>
      <w:r>
        <w:rPr>
          <w:i/>
          <w:iCs/>
        </w:rPr>
        <w:t xml:space="preserve">Econometrica, 65</w:t>
      </w:r>
      <w:r>
        <w:t xml:space="preserve">(3), 557–586.</w:t>
      </w:r>
    </w:p>
    <w:p>
      <w:pPr>
        <w:pStyle w:val="Compact"/>
        <w:numPr>
          <w:ilvl w:val="0"/>
          <w:numId w:val="1007"/>
        </w:numPr>
      </w:pPr>
      <w:r>
        <w:t xml:space="preserve">Synn, C., &amp; Williams, C. (2015). [Complete title, journal, volume and pages from your source.]</w:t>
      </w:r>
    </w:p>
    <w:p>
      <w:pPr>
        <w:pStyle w:val="Compact"/>
        <w:numPr>
          <w:ilvl w:val="0"/>
          <w:numId w:val="1007"/>
        </w:numPr>
      </w:pPr>
      <w:r>
        <w:t xml:space="preserve">Windmeijer, F. (2005). A finite sample correction for the variance of linear efficient two-step GMM estimators.</w:t>
      </w:r>
      <w:r>
        <w:t xml:space="preserve"> </w:t>
      </w:r>
      <w:r>
        <w:rPr>
          <w:i/>
          <w:iCs/>
        </w:rPr>
        <w:t xml:space="preserve">Journal of Econometrics, 126</w:t>
      </w:r>
      <w:r>
        <w:t xml:space="preserve">(1), 25–51.</w:t>
      </w:r>
    </w:p>
    <w:p>
      <w:pPr>
        <w:pStyle w:val="Compact"/>
        <w:numPr>
          <w:ilvl w:val="0"/>
          <w:numId w:val="1007"/>
        </w:numPr>
      </w:pPr>
      <w:r>
        <w:t xml:space="preserve">Wintoki, M. B., Linck, J. S., &amp; Netter, J. M. (2012). Endogeneity and the dynamics of internal corporate governance.</w:t>
      </w:r>
      <w:r>
        <w:t xml:space="preserve"> </w:t>
      </w:r>
      <w:r>
        <w:rPr>
          <w:i/>
          <w:iCs/>
        </w:rPr>
        <w:t xml:space="preserve">Journal of Financial Economics, 105</w:t>
      </w:r>
      <w:r>
        <w:t xml:space="preserve">(3), 581–606.</w:t>
      </w:r>
    </w:p>
    <w:p>
      <w:pPr>
        <w:pStyle w:val="Compact"/>
        <w:numPr>
          <w:ilvl w:val="0"/>
          <w:numId w:val="1007"/>
        </w:numPr>
      </w:pPr>
      <w:r>
        <w:t xml:space="preserve">Wooldridge, J. M. (2002).</w:t>
      </w:r>
      <w:r>
        <w:t xml:space="preserve"> </w:t>
      </w:r>
      <w:r>
        <w:rPr>
          <w:i/>
          <w:iCs/>
        </w:rPr>
        <w:t xml:space="preserve">Econometric analysis of cross section and panel data</w:t>
      </w:r>
      <w:r>
        <w:t xml:space="preserve">. MIT Press.</w:t>
      </w:r>
    </w:p>
    <w:bookmarkEnd w:id="38"/>
    <w:bookmarkStart w:id="39" w:name="Xc368652321f98a6fc9bc6569be8011430f1ec9c"/>
    <w:p>
      <w:pPr>
        <w:pStyle w:val="Heading2"/>
      </w:pPr>
      <w:r>
        <w:t xml:space="preserve">Notes for the Author (remove before submission)</w:t>
      </w:r>
    </w:p>
    <w:p>
      <w:pPr>
        <w:pStyle w:val="Compact"/>
        <w:numPr>
          <w:ilvl w:val="0"/>
          <w:numId w:val="1008"/>
        </w:numPr>
      </w:pPr>
      <w:r>
        <w:t xml:space="preserve">Fill in the [n] counts in the sample-construction table in 3.1 from the Screening sheet of Research_Data_1380_1403.xlsx.</w:t>
      </w:r>
    </w:p>
    <w:p>
      <w:pPr>
        <w:pStyle w:val="Compact"/>
        <w:numPr>
          <w:ilvl w:val="0"/>
          <w:numId w:val="1008"/>
        </w:numPr>
      </w:pPr>
      <w:r>
        <w:t xml:space="preserve">Complete the Synn and Williams (2015) reference, and check every reference against the published version before submission.</w:t>
      </w:r>
    </w:p>
    <w:p>
      <w:pPr>
        <w:pStyle w:val="Compact"/>
        <w:numPr>
          <w:ilvl w:val="0"/>
          <w:numId w:val="1008"/>
        </w:numPr>
      </w:pPr>
      <w:r>
        <w:t xml:space="preserve">The design changes of this version (CSD and MA at t−1, forward orthogonal deviations, extended controls) were fixed before the final estimation; the earlier specification is reported in S9c. State this in the cover letter if a reviewer asks how the specification was chosen.</w:t>
      </w:r>
    </w:p>
    <w:p>
      <w:pPr>
        <w:pStyle w:val="Compact"/>
        <w:numPr>
          <w:ilvl w:val="0"/>
          <w:numId w:val="1008"/>
        </w:numPr>
      </w:pPr>
      <w:r>
        <w:t xml:space="preserve">Report the frequency of Dickinson’s five original stages to support the consolidation in 3.4.</w:t>
      </w:r>
    </w:p>
    <w:p>
      <w:pPr>
        <w:pStyle w:val="Compact"/>
        <w:numPr>
          <w:ilvl w:val="0"/>
          <w:numId w:val="1008"/>
        </w:numPr>
      </w:pPr>
      <w:r>
        <w:t xml:space="preserve">Check the number of industries and firms per industry-year. This determines how many industry-years use the pooled fallback in Eq. (1) and in the DEA.</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1F2A4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1F2A44"/>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1F2A44"/>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1F2A44"/>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1F2A44"/>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Research Methodology</dc:title>
  <dc:creator/>
  <cp:keywords/>
  <dcterms:created xsi:type="dcterms:W3CDTF">2026-10-01T15:28:07Z</dcterms:created>
  <dcterms:modified xsi:type="dcterms:W3CDTF">2026-10-01T15:28:07Z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Asymmetric Impact of Managerial Ability on Investment Efficiency under Capital Structure Deviation: Evidence from Emerging Markets</vt:lpwstr>
  </property>
</Properties>
</file>