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 Research Methodology</w:t>
      </w:r>
    </w:p>
    <w:p>
      <w:pPr>
        <w:pStyle w:val="Subtitle"/>
      </w:pPr>
      <w:r>
        <w:t xml:space="preserve">The Asymmetric Impact of Managerial Ability on Investment Efficiency under Capital Structure Deviation: Evidence from Emerging Markets</w:t>
      </w:r>
    </w:p>
    <w:bookmarkStart w:id="9" w:name="sample-selection-and-data"/>
    <w:p>
      <w:pPr>
        <w:pStyle w:val="Heading2"/>
      </w:pPr>
      <w:r>
        <w:t xml:space="preserve">3.1 Sample Selection and Data</w:t>
      </w:r>
    </w:p>
    <w:p>
      <w:pPr>
        <w:pStyle w:val="FirstParagraph"/>
      </w:pPr>
      <w:r>
        <w:t xml:space="preserve">The empirical analysis uses a balanced panel of 299 non-financial firms listed on the Tehran Stock Exchange (TSE) over the Iranian fiscal years 1393–1403 (approximately March 2014 to March 2025). Iran is a useful emerging-market setting for this question for three reasons. Firms rely heavily on bank debt. Inflation is high and volatile. External equity financing is costly. Together, these conditions make deviations from target leverage both frequent and costly, which gives the tests statistical power.</w:t>
      </w:r>
    </w:p>
    <w:p>
      <w:pPr>
        <w:pStyle w:val="BodyText"/>
      </w:pPr>
      <w:r>
        <w:t xml:space="preserve">The sample is constructed in the following steps:</w:t>
      </w:r>
    </w:p>
    <w:p>
      <w:pPr>
        <w:pStyle w:val="Compact"/>
        <w:numPr>
          <w:ilvl w:val="0"/>
          <w:numId w:val="1001"/>
        </w:numPr>
      </w:pPr>
      <w:r>
        <w:t xml:space="preserve">Start from all firms listed on the TSE during 1392–1403.</w:t>
      </w:r>
    </w:p>
    <w:p>
      <w:pPr>
        <w:pStyle w:val="Compact"/>
        <w:numPr>
          <w:ilvl w:val="0"/>
          <w:numId w:val="1001"/>
        </w:numPr>
      </w:pPr>
      <w:r>
        <w:t xml:space="preserve">Exclude banks, credit institutions, insurance companies, investment companies, holding companies and leasing companies. Their leverage reflects regulatory capital requirements and intermediation activity rather than financing choices, and their asset structure is not comparable (Fama &amp; French, 1992).</w:t>
      </w:r>
    </w:p>
    <w:p>
      <w:pPr>
        <w:pStyle w:val="Compact"/>
        <w:numPr>
          <w:ilvl w:val="0"/>
          <w:numId w:val="1001"/>
        </w:numPr>
      </w:pPr>
      <w:r>
        <w:t xml:space="preserve">Retain firms whose fiscal year ends in Esfand (March) and that did not change their fiscal year during the period, so that every firm-year shares the same macroeconomic window.</w:t>
      </w:r>
    </w:p>
    <w:p>
      <w:pPr>
        <w:pStyle w:val="Compact"/>
        <w:numPr>
          <w:ilvl w:val="0"/>
          <w:numId w:val="1001"/>
        </w:numPr>
      </w:pPr>
      <w:r>
        <w:t xml:space="preserve">Retain firms that are continuously listed and have the accounting and market data needed to construct every variable.</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Screening step</w:t>
            </w:r>
          </w:p>
        </w:tc>
        <w:tc>
          <w:tcPr>
            <w:shd w:val="clear" w:color="auto" w:fill="E8ECF3"/>
          </w:tcPr>
          <w:p>
            <w:pPr>
              <w:pStyle w:val="Compact"/>
            </w:pPr>
            <w:r>
              <w:rPr>
                <w:b/>
                <w:sz w:val="19"/>
              </w:rPr>
              <w:t xml:space="preserve">Firms</w:t>
            </w:r>
          </w:p>
        </w:tc>
        <w:tc>
          <w:tcPr>
            <w:shd w:val="clear" w:color="auto" w:fill="E8ECF3"/>
          </w:tcPr>
          <w:p>
            <w:pPr>
              <w:pStyle w:val="Compact"/>
            </w:pPr>
            <w:r>
              <w:rPr>
                <w:b/>
                <w:sz w:val="19"/>
              </w:rPr>
              <w:t xml:space="preserve">Firm-years</w:t>
            </w:r>
          </w:p>
        </w:tc>
      </w:tr>
      <w:tr>
        <w:tc>
          <w:tcPr/>
          <w:p>
            <w:pPr>
              <w:pStyle w:val="Compact"/>
            </w:pPr>
            <w:r>
              <w:rPr>
                <w:sz w:val="19"/>
              </w:rPr>
              <w:t xml:space="preserve">TSE-listed firms, 1392–1403</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financial, investment, holding and leasing firms</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fiscal year not ending in Esfand, or changed during the period</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not continuously listed or missing data</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Final sample, including base year 1392</w:t>
            </w:r>
          </w:p>
        </w:tc>
        <w:tc>
          <w:tcPr/>
          <w:p>
            <w:pPr>
              <w:pStyle w:val="Compact"/>
            </w:pPr>
            <w:r>
              <w:rPr>
                <w:sz w:val="19"/>
              </w:rPr>
              <w:t xml:space="preserve">299</w:t>
            </w:r>
          </w:p>
        </w:tc>
        <w:tc>
          <w:tcPr/>
          <w:p>
            <w:pPr>
              <w:pStyle w:val="Compact"/>
            </w:pPr>
            <w:r>
              <w:rPr>
                <w:sz w:val="19"/>
              </w:rPr>
              <w:t xml:space="preserve">3,588</w:t>
            </w:r>
          </w:p>
        </w:tc>
      </w:tr>
      <w:tr>
        <w:tc>
          <w:tcPr/>
          <w:p>
            <w:pPr>
              <w:pStyle w:val="Compact"/>
            </w:pPr>
            <w:r>
              <w:rPr>
                <w:sz w:val="19"/>
              </w:rPr>
              <w:t xml:space="preserve">Firm-years in the study period 1393–1403</w:t>
            </w:r>
          </w:p>
        </w:tc>
        <w:tc>
          <w:tcPr/>
          <w:p>
            <w:pPr>
              <w:pStyle w:val="Compact"/>
            </w:pPr>
            <w:r>
              <w:rPr>
                <w:sz w:val="19"/>
              </w:rPr>
              <w:t xml:space="preserve">299</w:t>
            </w:r>
          </w:p>
        </w:tc>
        <w:tc>
          <w:tcPr/>
          <w:p>
            <w:pPr>
              <w:pStyle w:val="Compact"/>
            </w:pPr>
            <w:r>
              <w:rPr>
                <w:sz w:val="19"/>
              </w:rPr>
              <w:t xml:space="preserve">3,289</w:t>
            </w:r>
          </w:p>
        </w:tc>
      </w:tr>
    </w:tbl>
    <w:p>
      <w:pPr>
        <w:pStyle w:val="BodyText"/>
      </w:pPr>
      <w:r>
        <w:t xml:space="preserve">Accounting data are collected from the Rahavard Novin database and cross-checked against the original filings in the Codal disclosure system. Market values of equity are obtained from the TSE, and the annual consumer-price inflation rate from the Central Bank of the Islamic Republic of Iran.</w:t>
      </w:r>
    </w:p>
    <w:p>
      <w:pPr>
        <w:pStyle w:val="BodyText"/>
      </w:pPr>
      <w:r>
        <w:t xml:space="preserve">Fiscal year 1392 serves only as a base year for variables that require prior-year values. Because the investment-expectation model uses lagged sales growth and the dynamic models use the lagged dependent variable, the effective estimation windows are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Estimation step</w:t>
            </w:r>
          </w:p>
        </w:tc>
        <w:tc>
          <w:tcPr>
            <w:shd w:val="clear" w:color="auto" w:fill="E8ECF3"/>
          </w:tcPr>
          <w:p>
            <w:pPr>
              <w:pStyle w:val="Compact"/>
            </w:pPr>
            <w:r>
              <w:rPr>
                <w:b/>
                <w:sz w:val="19"/>
              </w:rPr>
              <w:t xml:space="preserve">Requires</w:t>
            </w:r>
          </w:p>
        </w:tc>
        <w:tc>
          <w:tcPr>
            <w:shd w:val="clear" w:color="auto" w:fill="E8ECF3"/>
          </w:tcPr>
          <w:p>
            <w:pPr>
              <w:pStyle w:val="Compact"/>
            </w:pPr>
            <w:r>
              <w:rPr>
                <w:b/>
                <w:sz w:val="19"/>
              </w:rPr>
              <w:t xml:space="preserve">Effective window</w:t>
            </w:r>
          </w:p>
        </w:tc>
        <w:tc>
          <w:tcPr>
            <w:shd w:val="clear" w:color="auto" w:fill="E8ECF3"/>
          </w:tcPr>
          <w:p>
            <w:pPr>
              <w:pStyle w:val="Compact"/>
            </w:pPr>
            <w:r>
              <w:rPr>
                <w:b/>
                <w:sz w:val="19"/>
              </w:rPr>
              <w:t xml:space="preserve">Firm-years</w:t>
            </w:r>
          </w:p>
        </w:tc>
      </w:tr>
      <w:tr>
        <w:tc>
          <w:tcPr/>
          <w:p>
            <w:pPr>
              <w:pStyle w:val="Compact"/>
            </w:pPr>
            <w:r>
              <w:rPr>
                <w:sz w:val="19"/>
              </w:rPr>
              <w:t xml:space="preserve">Target leverage model, Eq. (2)</w:t>
            </w:r>
          </w:p>
        </w:tc>
        <w:tc>
          <w:tcPr/>
          <w:p>
            <w:pPr>
              <w:pStyle w:val="Compact"/>
            </w:pPr>
            <w:r>
              <w:rPr>
                <w:sz w:val="19"/>
              </w:rPr>
              <w:t xml:space="preserve">Determinants at t−1</w:t>
            </w:r>
          </w:p>
        </w:tc>
        <w:tc>
          <w:tcPr/>
          <w:p>
            <w:pPr>
              <w:pStyle w:val="Compact"/>
            </w:pPr>
            <w:r>
              <w:rPr>
                <w:sz w:val="19"/>
              </w:rPr>
              <w:t xml:space="preserve">1393–1403</w:t>
            </w:r>
          </w:p>
        </w:tc>
        <w:tc>
          <w:tcPr/>
          <w:p>
            <w:pPr>
              <w:pStyle w:val="Compact"/>
            </w:pPr>
            <w:r>
              <w:rPr>
                <w:sz w:val="19"/>
              </w:rPr>
              <w:t xml:space="preserve">3,289</w:t>
            </w:r>
          </w:p>
        </w:tc>
      </w:tr>
      <w:tr>
        <w:tc>
          <w:tcPr/>
          <w:p>
            <w:pPr>
              <w:pStyle w:val="Compact"/>
            </w:pPr>
            <w:r>
              <w:rPr>
                <w:sz w:val="19"/>
              </w:rPr>
              <w:t xml:space="preserve">Investment-expectation model, Eq. (1)</w:t>
            </w:r>
          </w:p>
        </w:tc>
        <w:tc>
          <w:tcPr/>
          <w:p>
            <w:pPr>
              <w:pStyle w:val="Compact"/>
            </w:pPr>
            <w:r>
              <w:rPr>
                <w:sz w:val="19"/>
              </w:rPr>
              <w:t xml:space="preserve">Sales at t−2</w:t>
            </w:r>
          </w:p>
        </w:tc>
        <w:tc>
          <w:tcPr/>
          <w:p>
            <w:pPr>
              <w:pStyle w:val="Compact"/>
            </w:pPr>
            <w:r>
              <w:rPr>
                <w:sz w:val="19"/>
              </w:rPr>
              <w:t xml:space="preserve">1394–1403</w:t>
            </w:r>
          </w:p>
        </w:tc>
        <w:tc>
          <w:tcPr/>
          <w:p>
            <w:pPr>
              <w:pStyle w:val="Compact"/>
            </w:pPr>
            <w:r>
              <w:rPr>
                <w:sz w:val="19"/>
              </w:rPr>
              <w:t xml:space="preserve">2,990</w:t>
            </w:r>
          </w:p>
        </w:tc>
      </w:tr>
      <w:tr>
        <w:tc>
          <w:tcPr/>
          <w:p>
            <w:pPr>
              <w:pStyle w:val="Compact"/>
            </w:pPr>
            <w:r>
              <w:rPr>
                <w:sz w:val="19"/>
              </w:rPr>
              <w:t xml:space="preserve">Dynamic models, Eqs. (6)–(12)</w:t>
            </w:r>
          </w:p>
        </w:tc>
        <w:tc>
          <w:tcPr/>
          <w:p>
            <w:pPr>
              <w:pStyle w:val="Compact"/>
            </w:pPr>
            <w:r>
              <w:rPr>
                <w:sz w:val="19"/>
              </w:rPr>
              <w:t xml:space="preserve">InvEff at t−1</w:t>
            </w:r>
          </w:p>
        </w:tc>
        <w:tc>
          <w:tcPr/>
          <w:p>
            <w:pPr>
              <w:pStyle w:val="Compact"/>
            </w:pPr>
            <w:r>
              <w:rPr>
                <w:sz w:val="19"/>
              </w:rPr>
              <w:t xml:space="preserve">1395–1403</w:t>
            </w:r>
          </w:p>
        </w:tc>
        <w:tc>
          <w:tcPr/>
          <w:p>
            <w:pPr>
              <w:pStyle w:val="Compact"/>
            </w:pPr>
            <w:r>
              <w:rPr>
                <w:sz w:val="19"/>
              </w:rPr>
              <w:t xml:space="preserve">2,691</w:t>
            </w:r>
          </w:p>
        </w:tc>
      </w:tr>
    </w:tbl>
    <w:p>
      <w:pPr>
        <w:pStyle w:val="BodyText"/>
      </w:pPr>
      <w:r>
        <w:t xml:space="preserve">All continuous ratios are winsorized at the 1st and 99th percentiles of their pooled distributions after construction. Raw accounting levels are not winsorized, because doing so would distort the ratios built from them. The generated measures InvEff, CSDev and MA are winsorized at the same percentiles. Expense items (cost of goods sold, SG&amp;A and financial expense) are used in absolute value, because some databases record them with a negative sign. The balanced-panel requirement may introduce survivorship bias toward stronger firms; Section 3.11 discusses this. All estimations are performed in Stata 17.</w:t>
      </w:r>
    </w:p>
    <w:bookmarkEnd w:id="9"/>
    <w:bookmarkStart w:id="10" w:name="X1dc935347fa5dc4f42ab78d2bc081dc18459cd3"/>
    <w:p>
      <w:pPr>
        <w:pStyle w:val="Heading2"/>
      </w:pPr>
      <w:r>
        <w:t xml:space="preserve">3.2 Dependent Variable: Investment Inefficiency</w:t>
      </w:r>
    </w:p>
    <w:p>
      <w:pPr>
        <w:pStyle w:val="FirstParagraph"/>
      </w:pPr>
      <w:r>
        <w:t xml:space="preserve">Investment inefficiency is measured as the deviation of actual investment from the level predicted by the firm’s growth opportunities (Biddle, Hilary &amp; Verdi, 2009). Expected investment is estimated with:</w:t>
      </w:r>
    </w:p>
    <w:p>
      <w:pPr>
        <w:pStyle w:val="BodyText"/>
      </w:pPr>
      <m:oMathPara>
        <m:oMathParaPr>
          <m:jc m:val="center"/>
        </m:oMathParaPr>
        <m:oMath>
          <m:r>
            <m:t>I</m:t>
          </m:r>
          <m:r>
            <m:t>n</m:t>
          </m:r>
          <m:r>
            <m:t>v</m:t>
          </m:r>
          <m:r>
            <m:t>e</m:t>
          </m:r>
          <m:r>
            <m:t>s</m:t>
          </m:r>
          <m:sSub>
            <m:e>
              <m:r>
                <m:t>t</m:t>
              </m:r>
            </m:e>
            <m:sub>
              <m:r>
                <m:t>i</m:t>
              </m:r>
              <m:r>
                <m:rPr>
                  <m:sty m:val="p"/>
                </m:rPr>
                <m:t>,</m:t>
              </m:r>
              <m:r>
                <m:t>t</m:t>
              </m:r>
            </m:sub>
          </m:sSub>
          <m:r>
            <m:rPr>
              <m:sty m:val="p"/>
            </m:rPr>
            <m:t>=</m:t>
          </m:r>
          <m:sSub>
            <m:e>
              <m:r>
                <m:t>α</m:t>
              </m:r>
            </m:e>
            <m:sub>
              <m:r>
                <m:t>0</m:t>
              </m:r>
            </m:sub>
          </m:sSub>
          <m:r>
            <m:rPr>
              <m:sty m:val="p"/>
            </m:rPr>
            <m:t>+</m:t>
          </m:r>
          <m:sSub>
            <m:e>
              <m:r>
                <m:t>α</m:t>
              </m:r>
            </m:e>
            <m:sub>
              <m:r>
                <m:t>1</m:t>
              </m:r>
            </m:sub>
          </m:sSub>
          <m:r>
            <m:t> </m:t>
          </m:r>
          <m:r>
            <m:t>S</m:t>
          </m:r>
          <m:r>
            <m:t>a</m:t>
          </m:r>
          <m:r>
            <m:t>l</m:t>
          </m:r>
          <m:r>
            <m:t>e</m:t>
          </m:r>
          <m:r>
            <m:t>s</m:t>
          </m:r>
          <m:r>
            <m:t>G</m:t>
          </m:r>
          <m:r>
            <m:t>r</m:t>
          </m:r>
          <m:r>
            <m:t>o</m:t>
          </m:r>
          <m:r>
            <m:t>w</m:t>
          </m:r>
          <m:r>
            <m:t>t</m:t>
          </m:r>
          <m:sSub>
            <m:e>
              <m:r>
                <m:t>h</m:t>
              </m:r>
            </m:e>
            <m:sub>
              <m:r>
                <m:t>i</m:t>
              </m:r>
              <m:r>
                <m:rPr>
                  <m:sty m:val="p"/>
                </m:rPr>
                <m:t>,</m:t>
              </m:r>
              <m:r>
                <m:t>t</m:t>
              </m:r>
              <m:r>
                <m:rPr>
                  <m:sty m:val="p"/>
                </m:rPr>
                <m:t>−</m:t>
              </m:r>
              <m:r>
                <m:t>1</m:t>
              </m:r>
            </m:sub>
          </m:sSub>
          <m:r>
            <m:rPr>
              <m:sty m:val="p"/>
            </m:rPr>
            <m:t>+</m:t>
          </m:r>
          <m:sSub>
            <m:e>
              <m:r>
                <m:t>ε</m:t>
              </m:r>
            </m:e>
            <m:sub>
              <m:r>
                <m:t>i</m:t>
              </m:r>
              <m:r>
                <m:rPr>
                  <m:sty m:val="p"/>
                </m:rPr>
                <m:t>,</m:t>
              </m:r>
              <m:r>
                <m:t>t</m:t>
              </m:r>
            </m:sub>
          </m:sSub>
          <m:r>
            <m:t>  </m:t>
          </m:r>
          <m:r>
            <m:rPr>
              <m:sty m:val="p"/>
            </m:rPr>
            <m:t>(</m:t>
          </m:r>
          <m:r>
            <m:t>1</m:t>
          </m:r>
          <m:r>
            <m:rPr>
              <m:sty m:val="p"/>
            </m:rPr>
            <m:t>)</m:t>
          </m:r>
        </m:oMath>
      </m:oMathPara>
    </w:p>
    <w:p>
      <w:pPr>
        <w:pStyle w:val="FirstParagraph"/>
      </w:pPr>
      <w:r>
        <w:t xml:space="preserve">Invest is the net increase in tangible and intangible assets, (PPE + IA)</w:t>
      </w:r>
      <w:r>
        <w:rPr>
          <w:vertAlign w:val="subscript"/>
        </w:rPr>
        <w:t xml:space="preserve">t</w:t>
      </w:r>
      <w:r>
        <w:t xml:space="preserve"> </w:t>
      </w:r>
      <w:r>
        <w:t xml:space="preserve">− (PPE + IA)</w:t>
      </w:r>
      <w:r>
        <w:rPr>
          <w:vertAlign w:val="subscript"/>
        </w:rPr>
        <w:t xml:space="preserve">t−1</w:t>
      </w:r>
      <w:r>
        <w:t xml:space="preserve">, scaled by total assets at t−1. SalesGrowth is the annual percentage change in sales.</w:t>
      </w:r>
    </w:p>
    <w:p>
      <w:pPr>
        <w:pStyle w:val="BodyText"/>
      </w:pPr>
      <w:r>
        <w:t xml:space="preserve">Equation (1) is estimated cross-sectionally for each industry-year with at least 10 observations, so each industry-year has its own intercept and growth sensitivity. Industry-years with fewer than 10 observations are estimated within the industry over all years with year dummies. Estimating by industry-year prevents industry investment cycles and economy-wide shocks, such as the currency crises of 1397 and 1401, from being classified as firm-level inefficiency.</w:t>
      </w:r>
    </w:p>
    <w:p>
      <w:pPr>
        <w:pStyle w:val="BodyText"/>
      </w:pPr>
      <w:r>
        <w:t xml:space="preserve">The residual ε̂ is the measure of investment inefficiency,</w:t>
      </w:r>
      <w:r>
        <w:t xml:space="preserve"> </w:t>
      </w:r>
      <w:r>
        <w:rPr>
          <w:b/>
          <w:bCs/>
        </w:rPr>
        <w:t xml:space="preserve">InvEff</w:t>
      </w:r>
      <w:r>
        <w:t xml:space="preserve">, and it is kept</w:t>
      </w:r>
      <w:r>
        <w:t xml:space="preserve"> </w:t>
      </w:r>
      <w:r>
        <w:rPr>
          <w:b/>
          <w:bCs/>
        </w:rPr>
        <w:t xml:space="preserve">signed</w:t>
      </w:r>
      <w:r>
        <w:t xml:space="preserve">. A positive residual indicates over-investment (investment above the level justified by growth opportunities). A negative residual indicates under-investment. Unlike the absolute residual commonly used in prior work, the signed measure preserves the direction of the distortion, which is required to separate H1a from H1b. Under this convention, a regressor with a negative coefficient moves the firm toward under-investment and one with a positive coefficient moves it toward over-investment.</w:t>
      </w:r>
    </w:p>
    <w:p>
      <w:pPr>
        <w:pStyle w:val="BodyText"/>
      </w:pPr>
      <w:r>
        <w:t xml:space="preserve">Two alternative expectation models are used in the robustness tests (Section 3.11): the model of Chen, Hope, Li and Wang (2011), which allows investment to respond differently to sales declines, and a cash-based investment measure, −CFI scaled by lagged total assets, which is unaffected by asset revaluations.</w:t>
      </w:r>
    </w:p>
    <w:bookmarkEnd w:id="10"/>
    <w:bookmarkStart w:id="11" w:name="Xc42338f163819dd65b22bb2af8854faf9722a14"/>
    <w:p>
      <w:pPr>
        <w:pStyle w:val="Heading2"/>
      </w:pPr>
      <w:r>
        <w:t xml:space="preserve">3.3 Independent Variable: Capital Structure Deviation</w:t>
      </w:r>
    </w:p>
    <w:p>
      <w:pPr>
        <w:pStyle w:val="FirstParagraph"/>
      </w:pPr>
      <w:r>
        <w:t xml:space="preserve">Capital structure deviation is the distance between a firm’s actual leverage and its target leverage. Trade-off theory implies that firms have a target, and the dynamic trade-off literature shows that firms drift from it and adjust only partially because adjustment is costly (Flannery &amp; Rangan, 2006). Deviation is measured in two steps: estimating the target, then decomposing the deviation by direction.</w:t>
      </w:r>
    </w:p>
    <w:p>
      <w:pPr>
        <w:pStyle w:val="BodyText"/>
      </w:pPr>
      <w:r>
        <w:t xml:space="preserve">Target leverage is estimated with the target leverage model of Synn and Williams (2015):</w:t>
      </w:r>
    </w:p>
    <w:p>
      <w:pPr>
        <w:pStyle w:val="BodyText"/>
      </w:pPr>
      <m:oMathPara>
        <m:oMathParaPr>
          <m:jc m:val="center"/>
        </m:oMathParaPr>
        <m:oMath>
          <m:r>
            <m:t>T</m:t>
          </m:r>
          <m:r>
            <m:t>D</m:t>
          </m:r>
          <m:sSub>
            <m:e>
              <m:r>
                <m:t>A</m:t>
              </m:r>
            </m:e>
            <m:sub>
              <m:r>
                <m:t>i</m:t>
              </m:r>
              <m:r>
                <m:rPr>
                  <m:sty m:val="p"/>
                </m:rPr>
                <m:t>,</m:t>
              </m:r>
              <m:r>
                <m:t>t</m:t>
              </m:r>
            </m:sub>
          </m:sSub>
          <m:r>
            <m:rPr>
              <m:sty m:val="p"/>
            </m:rPr>
            <m:t>=</m:t>
          </m:r>
          <m:sSub>
            <m:e>
              <m:r>
                <m:t>β</m:t>
              </m:r>
            </m:e>
            <m:sub>
              <m:r>
                <m:t>0</m:t>
              </m:r>
            </m:sub>
          </m:sSub>
          <m:r>
            <m:rPr>
              <m:sty m:val="p"/>
            </m:rPr>
            <m:t>+</m:t>
          </m:r>
          <m:sSub>
            <m:e>
              <m:r>
                <m:t>β</m:t>
              </m:r>
            </m:e>
            <m:sub>
              <m:r>
                <m:t>1</m:t>
              </m:r>
            </m:sub>
          </m:sSub>
          <m:r>
            <m:t>I</m:t>
          </m:r>
          <m:r>
            <m:t>O</m:t>
          </m:r>
          <m:sSub>
            <m:e>
              <m:r>
                <m:t>B</m:t>
              </m:r>
            </m:e>
            <m:sub>
              <m:r>
                <m:t>i</m:t>
              </m:r>
              <m:r>
                <m:rPr>
                  <m:sty m:val="p"/>
                </m:rPr>
                <m:t>,</m:t>
              </m:r>
              <m:r>
                <m:t>t</m:t>
              </m:r>
              <m:r>
                <m:rPr>
                  <m:sty m:val="p"/>
                </m:rPr>
                <m:t>−</m:t>
              </m:r>
              <m:r>
                <m:t>1</m:t>
              </m:r>
            </m:sub>
          </m:sSub>
          <m:r>
            <m:rPr>
              <m:sty m:val="p"/>
            </m:rPr>
            <m:t>+</m:t>
          </m:r>
          <m:sSub>
            <m:e>
              <m:r>
                <m:t>β</m:t>
              </m:r>
            </m:e>
            <m:sub>
              <m:r>
                <m:t>2</m:t>
              </m:r>
            </m:sub>
          </m:sSub>
          <m:r>
            <m:t>C</m:t>
          </m:r>
          <m:r>
            <m:t>O</m:t>
          </m:r>
          <m:sSub>
            <m:e>
              <m:r>
                <m:t>L</m:t>
              </m:r>
            </m:e>
            <m:sub>
              <m:r>
                <m:t>i</m:t>
              </m:r>
              <m:r>
                <m:rPr>
                  <m:sty m:val="p"/>
                </m:rPr>
                <m:t>,</m:t>
              </m:r>
              <m:r>
                <m:t>t</m:t>
              </m:r>
              <m:r>
                <m:rPr>
                  <m:sty m:val="p"/>
                </m:rPr>
                <m:t>−</m:t>
              </m:r>
              <m:r>
                <m:t>1</m:t>
              </m:r>
            </m:sub>
          </m:sSub>
          <m:r>
            <m:rPr>
              <m:sty m:val="p"/>
            </m:rPr>
            <m:t>+</m:t>
          </m:r>
          <m:sSub>
            <m:e>
              <m:r>
                <m:t>β</m:t>
              </m:r>
            </m:e>
            <m:sub>
              <m:r>
                <m:t>3</m:t>
              </m:r>
            </m:sub>
          </m:sSub>
          <m:r>
            <m:t>L</m:t>
          </m:r>
          <m:r>
            <m:t>T</m:t>
          </m:r>
          <m:sSub>
            <m:e>
              <m:r>
                <m:t>A</m:t>
              </m:r>
            </m:e>
            <m:sub>
              <m:r>
                <m:t>i</m:t>
              </m:r>
              <m:r>
                <m:rPr>
                  <m:sty m:val="p"/>
                </m:rPr>
                <m:t>,</m:t>
              </m:r>
              <m:r>
                <m:t>t</m:t>
              </m:r>
              <m:r>
                <m:rPr>
                  <m:sty m:val="p"/>
                </m:rPr>
                <m:t>−</m:t>
              </m:r>
              <m:r>
                <m:t>1</m:t>
              </m:r>
            </m:sub>
          </m:sSub>
          <m:r>
            <m:rPr>
              <m:sty m:val="p"/>
            </m:rPr>
            <m:t>+</m:t>
          </m:r>
          <m:sSub>
            <m:e>
              <m:r>
                <m:t>β</m:t>
              </m:r>
            </m:e>
            <m:sub>
              <m:r>
                <m:t>4</m:t>
              </m:r>
            </m:sub>
          </m:sSub>
          <m:r>
            <m:t>M</m:t>
          </m:r>
          <m:r>
            <m:t>T</m:t>
          </m:r>
          <m:sSub>
            <m:e>
              <m:r>
                <m:t>B</m:t>
              </m:r>
            </m:e>
            <m:sub>
              <m:r>
                <m:t>i</m:t>
              </m:r>
              <m:r>
                <m:rPr>
                  <m:sty m:val="p"/>
                </m:rPr>
                <m:t>,</m:t>
              </m:r>
              <m:r>
                <m:t>t</m:t>
              </m:r>
              <m:r>
                <m:rPr>
                  <m:sty m:val="p"/>
                </m:rPr>
                <m:t>−</m:t>
              </m:r>
              <m:r>
                <m:t>1</m:t>
              </m:r>
            </m:sub>
          </m:sSub>
          <m:r>
            <m:rPr>
              <m:sty m:val="p"/>
            </m:rPr>
            <m:t>+</m:t>
          </m:r>
          <m:sSub>
            <m:e>
              <m:r>
                <m:t>β</m:t>
              </m:r>
            </m:e>
            <m:sub>
              <m:r>
                <m:t>5</m:t>
              </m:r>
            </m:sub>
          </m:sSub>
          <m:r>
            <m:t>P</m:t>
          </m:r>
          <m:r>
            <m:t>R</m:t>
          </m:r>
          <m:r>
            <m:t>O</m:t>
          </m:r>
          <m:r>
            <m:t>F</m:t>
          </m:r>
          <m:r>
            <m:t>I</m:t>
          </m:r>
          <m:sSub>
            <m:e>
              <m:r>
                <m:t>T</m:t>
              </m:r>
            </m:e>
            <m:sub>
              <m:r>
                <m:t>i</m:t>
              </m:r>
              <m:r>
                <m:rPr>
                  <m:sty m:val="p"/>
                </m:rPr>
                <m:t>,</m:t>
              </m:r>
              <m:r>
                <m:t>t</m:t>
              </m:r>
              <m:r>
                <m:rPr>
                  <m:sty m:val="p"/>
                </m:rPr>
                <m:t>−</m:t>
              </m:r>
              <m:r>
                <m:t>1</m:t>
              </m:r>
            </m:sub>
          </m:sSub>
          <m:r>
            <m:rPr>
              <m:sty m:val="p"/>
            </m:rPr>
            <m:t>+</m:t>
          </m:r>
          <m:sSub>
            <m:e>
              <m:r>
                <m:t>β</m:t>
              </m:r>
            </m:e>
            <m:sub>
              <m:r>
                <m:t>6</m:t>
              </m:r>
            </m:sub>
          </m:sSub>
          <m:r>
            <m:t>I</m:t>
          </m:r>
          <m:r>
            <m:t>N</m:t>
          </m:r>
          <m:r>
            <m:t>D</m:t>
          </m:r>
          <m:r>
            <m:t>L</m:t>
          </m:r>
          <m:r>
            <m:t>E</m:t>
          </m:r>
          <m:sSub>
            <m:e>
              <m:r>
                <m:t>V</m:t>
              </m:r>
            </m:e>
            <m:sub>
              <m:r>
                <m:t>j</m:t>
              </m:r>
              <m:r>
                <m:rPr>
                  <m:sty m:val="p"/>
                </m:rPr>
                <m:t>,</m:t>
              </m:r>
              <m:r>
                <m:t>t</m:t>
              </m:r>
              <m:r>
                <m:rPr>
                  <m:sty m:val="p"/>
                </m:rPr>
                <m:t>−</m:t>
              </m:r>
              <m:r>
                <m:t>1</m:t>
              </m:r>
            </m:sub>
          </m:sSub>
          <m:r>
            <m:rPr>
              <m:sty m:val="p"/>
            </m:rPr>
            <m:t>+</m:t>
          </m:r>
          <m:sSub>
            <m:e>
              <m:r>
                <m:t>β</m:t>
              </m:r>
            </m:e>
            <m:sub>
              <m:r>
                <m:t>7</m:t>
              </m:r>
            </m:sub>
          </m:sSub>
          <m:r>
            <m:t>I</m:t>
          </m:r>
          <m:r>
            <m:t>N</m:t>
          </m:r>
          <m:sSub>
            <m:e>
              <m:r>
                <m:t>F</m:t>
              </m:r>
            </m:e>
            <m:sub>
              <m:r>
                <m:t>t</m:t>
              </m:r>
              <m:r>
                <m:rPr>
                  <m:sty m:val="p"/>
                </m:rPr>
                <m:t>−</m:t>
              </m:r>
              <m:r>
                <m:t>1</m:t>
              </m:r>
            </m:sub>
          </m:sSub>
          <m:r>
            <m:rPr>
              <m:sty m:val="p"/>
            </m:rPr>
            <m:t>+</m:t>
          </m:r>
          <m:sSub>
            <m:e>
              <m:r>
                <m:t>λ</m:t>
              </m:r>
            </m:e>
            <m:sub>
              <m:r>
                <m:t>j</m:t>
              </m:r>
            </m:sub>
          </m:sSub>
          <m:r>
            <m:rPr>
              <m:sty m:val="p"/>
            </m:rPr>
            <m:t>+</m:t>
          </m:r>
          <m:sSub>
            <m:e>
              <m:r>
                <m:t>μ</m:t>
              </m:r>
            </m:e>
            <m:sub>
              <m:r>
                <m:t>i</m:t>
              </m:r>
              <m:r>
                <m:rPr>
                  <m:sty m:val="p"/>
                </m:rPr>
                <m:t>,</m:t>
              </m:r>
              <m:r>
                <m:t>t</m:t>
              </m:r>
            </m:sub>
          </m:sSub>
          <m:r>
            <m:t>  </m:t>
          </m:r>
          <m:r>
            <m:rPr>
              <m:sty m:val="p"/>
            </m:rPr>
            <m:t>(</m:t>
          </m:r>
          <m:r>
            <m:t>2</m:t>
          </m:r>
          <m:r>
            <m:rPr>
              <m:sty m:val="p"/>
            </m:rPr>
            <m:t>)</m:t>
          </m:r>
        </m:oMath>
      </m:oMathPara>
    </w:p>
    <w:p>
      <w:pPr>
        <w:pStyle w:val="FirstParagraph"/>
      </w:pPr>
      <w:r>
        <w:t xml:space="preserve">TDA is total debt divided by total assets. The determinants are measured at t−1 so that the target is formed from information available at the start of the year:</w:t>
      </w:r>
    </w:p>
    <w:p>
      <w:pPr>
        <w:pStyle w:val="Compact"/>
        <w:numPr>
          <w:ilvl w:val="0"/>
          <w:numId w:val="1002"/>
        </w:numPr>
      </w:pPr>
      <w:r>
        <w:rPr>
          <w:b/>
          <w:bCs/>
        </w:rPr>
        <w:t xml:space="preserve">IOB</w:t>
      </w:r>
      <w:r>
        <w:t xml:space="preserve">: financial expense / total assets (interest burden).</w:t>
      </w:r>
    </w:p>
    <w:p>
      <w:pPr>
        <w:pStyle w:val="Compact"/>
        <w:numPr>
          <w:ilvl w:val="0"/>
          <w:numId w:val="1002"/>
        </w:numPr>
      </w:pPr>
      <w:r>
        <w:rPr>
          <w:b/>
          <w:bCs/>
        </w:rPr>
        <w:t xml:space="preserve">COL</w:t>
      </w:r>
      <w:r>
        <w:t xml:space="preserve">: (inventory + net PP&amp;E) / total assets (collateral value of assets).</w:t>
      </w:r>
    </w:p>
    <w:p>
      <w:pPr>
        <w:pStyle w:val="Compact"/>
        <w:numPr>
          <w:ilvl w:val="0"/>
          <w:numId w:val="1002"/>
        </w:numPr>
      </w:pPr>
      <w:r>
        <w:rPr>
          <w:b/>
          <w:bCs/>
        </w:rPr>
        <w:t xml:space="preserve">LTA</w:t>
      </w:r>
      <w:r>
        <w:t xml:space="preserve">: natural logarithm of total assets in 1392 prices (size). Deflation is necessary because nominal assets grow mechanically with inflation of 30–40% a year.</w:t>
      </w:r>
    </w:p>
    <w:p>
      <w:pPr>
        <w:pStyle w:val="Compact"/>
        <w:numPr>
          <w:ilvl w:val="0"/>
          <w:numId w:val="1002"/>
        </w:numPr>
      </w:pPr>
      <w:r>
        <w:rPr>
          <w:b/>
          <w:bCs/>
        </w:rPr>
        <w:t xml:space="preserve">MTB</w:t>
      </w:r>
      <w:r>
        <w:t xml:space="preserve">: market value / book value of equity (growth opportunities).</w:t>
      </w:r>
    </w:p>
    <w:p>
      <w:pPr>
        <w:pStyle w:val="Compact"/>
        <w:numPr>
          <w:ilvl w:val="0"/>
          <w:numId w:val="1002"/>
        </w:numPr>
      </w:pPr>
      <w:r>
        <w:rPr>
          <w:b/>
          <w:bCs/>
        </w:rPr>
        <w:t xml:space="preserve">PROFIT</w:t>
      </w:r>
      <w:r>
        <w:t xml:space="preserve">: operating income / total assets (profitability).</w:t>
      </w:r>
    </w:p>
    <w:p>
      <w:pPr>
        <w:pStyle w:val="Compact"/>
        <w:numPr>
          <w:ilvl w:val="0"/>
          <w:numId w:val="1002"/>
        </w:numPr>
      </w:pPr>
      <w:r>
        <w:rPr>
          <w:b/>
          <w:bCs/>
        </w:rPr>
        <w:t xml:space="preserve">INDLEV</w:t>
      </w:r>
      <w:r>
        <w:t xml:space="preserve">: median TDA of the firm’s industry, excluding the firm itself (industry leverage norm).</w:t>
      </w:r>
    </w:p>
    <w:p>
      <w:pPr>
        <w:pStyle w:val="Compact"/>
        <w:numPr>
          <w:ilvl w:val="0"/>
          <w:numId w:val="1002"/>
        </w:numPr>
      </w:pPr>
      <w:r>
        <w:rPr>
          <w:b/>
          <w:bCs/>
        </w:rPr>
        <w:t xml:space="preserve">INF</w:t>
      </w:r>
      <w:r>
        <w:t xml:space="preserve">: annual consumer-price inflation rate.</w:t>
      </w:r>
    </w:p>
    <w:p>
      <w:pPr>
        <w:pStyle w:val="Compact"/>
        <w:numPr>
          <w:ilvl w:val="0"/>
          <w:numId w:val="1002"/>
        </w:numPr>
      </w:pPr>
      <w:r>
        <w:rPr>
          <w:b/>
          <w:bCs/>
        </w:rPr>
        <w:t xml:space="preserve">λ</w:t>
      </w:r>
      <w:r>
        <w:rPr>
          <w:b/>
          <w:bCs/>
          <w:vertAlign w:val="subscript"/>
        </w:rPr>
        <w:t xml:space="preserve">j</w:t>
      </w:r>
      <w:r>
        <w:t xml:space="preserve">: industry dummies.</w:t>
      </w:r>
    </w:p>
    <w:p>
      <w:pPr>
        <w:pStyle w:val="FirstParagraph"/>
      </w:pPr>
      <w:r>
        <w:t xml:space="preserve">Year dummies are not included in Eq. (2). INF takes one value per year, so year dummies would absorb it completely and make its coefficient unidentified; INF therefore carries the time variation in the target. Eq. (2) is estimated by pooled OLS with standard errors clustered by firm (Petersen, 2009). The fitted value is the target leverage, bounded to [0, 1], and the deviation is: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r>
            <m:t>T</m:t>
          </m:r>
          <m:r>
            <m:t>D</m:t>
          </m:r>
          <m:sSub>
            <m:e>
              <m:r>
                <m:t>A</m:t>
              </m:r>
            </m:e>
            <m:sub>
              <m:r>
                <m:t>i</m:t>
              </m:r>
              <m:r>
                <m:rPr>
                  <m:sty m:val="p"/>
                </m:rPr>
                <m:t>,</m:t>
              </m:r>
              <m:r>
                <m:t>t</m:t>
              </m:r>
            </m:sub>
          </m:sSub>
          <m:r>
            <m:rPr>
              <m:sty m:val="p"/>
            </m:rPr>
            <m:t>−</m:t>
          </m:r>
          <m:sSubSup>
            <m:e>
              <m:acc>
                <m:accPr>
                  <m:chr m:val="̂"/>
                </m:accPr>
                <m:e>
                  <m:r>
                    <m:t>T</m:t>
                  </m:r>
                  <m:r>
                    <m:t>D</m:t>
                  </m:r>
                  <m:r>
                    <m:t>A</m:t>
                  </m:r>
                </m:e>
              </m:acc>
            </m:e>
            <m:sub>
              <m:r>
                <m:t>i</m:t>
              </m:r>
              <m:r>
                <m:rPr>
                  <m:sty m:val="p"/>
                </m:rPr>
                <m:t>,</m:t>
              </m:r>
              <m:r>
                <m:t>t</m:t>
              </m:r>
            </m:sub>
            <m:sup>
              <m:r>
                <m:rPr>
                  <m:sty m:val="p"/>
                </m:rPr>
                <m:t>*</m:t>
              </m:r>
            </m:sup>
          </m:sSubSup>
          <m:r>
            <m:t>  </m:t>
          </m:r>
          <m:r>
            <m:rPr>
              <m:sty m:val="p"/>
            </m:rPr>
            <m:t>(</m:t>
          </m:r>
          <m:r>
            <m:t>3</m:t>
          </m:r>
          <m:r>
            <m:rPr>
              <m:sty m:val="p"/>
            </m:rPr>
            <m:t>)</m:t>
          </m:r>
        </m:oMath>
      </m:oMathPara>
    </w:p>
    <w:p>
      <w:pPr>
        <w:pStyle w:val="FirstParagraph"/>
      </w:pPr>
      <w:r>
        <w:t xml:space="preserve">A positive CSDev indicates over-leverage and a negative CSDev indicates under-leverage. The hypotheses predict effects of opposite direction and possibly different size on the two sides of the target, so CSDev is decomposed into two non-negative magnitudes:</w:t>
      </w:r>
    </w:p>
    <w:p>
      <w:pPr>
        <w:pStyle w:val="BodyText"/>
      </w:pPr>
      <m:oMathPara>
        <m:oMathParaPr>
          <m:jc m:val="center"/>
        </m:oMathParaPr>
        <m:oMath>
          <m:r>
            <m:t>C</m:t>
          </m:r>
          <m:r>
            <m:t>S</m:t>
          </m:r>
          <m:sSubSup>
            <m:e>
              <m:r>
                <m:t>D</m:t>
              </m:r>
            </m:e>
            <m:sub>
              <m:r>
                <m:t>i</m:t>
              </m:r>
              <m:r>
                <m:rPr>
                  <m:sty m:val="p"/>
                </m:rPr>
                <m:t>,</m:t>
              </m:r>
              <m:r>
                <m:t>t</m:t>
              </m:r>
            </m:sub>
            <m:sup>
              <m:r>
                <m:rPr>
                  <m:sty m:val="p"/>
                </m:rPr>
                <m:t>+</m:t>
              </m:r>
            </m:sup>
          </m:sSubSup>
          <m:r>
            <m:rPr>
              <m:sty m:val="p"/>
            </m:rPr>
            <m:t>=</m:t>
          </m:r>
          <m:r>
            <m:rPr>
              <m:sty m:val="p"/>
            </m:rPr>
            <m:t>max</m:t>
          </m:r>
          <m:r>
            <m:rPr>
              <m:sty m:val="p"/>
            </m:rPr>
            <m:t>(</m:t>
          </m:r>
          <m:r>
            <m:t>C</m:t>
          </m:r>
          <m:r>
            <m:t>S</m:t>
          </m:r>
          <m:r>
            <m:t>D</m:t>
          </m:r>
          <m:r>
            <m:t>e</m:t>
          </m:r>
          <m:sSub>
            <m:e>
              <m:r>
                <m:t>v</m:t>
              </m:r>
            </m:e>
            <m:sub>
              <m:r>
                <m:t>i</m:t>
              </m:r>
              <m:r>
                <m:rPr>
                  <m:sty m:val="p"/>
                </m:rPr>
                <m:t>,</m:t>
              </m:r>
              <m:r>
                <m:t>t</m:t>
              </m:r>
            </m:sub>
          </m:sSub>
          <m:r>
            <m:rPr>
              <m:sty m:val="p"/>
            </m:rPr>
            <m:t>,</m:t>
          </m:r>
          <m:r>
            <m:t> </m:t>
          </m:r>
          <m:r>
            <m:t>0</m:t>
          </m:r>
          <m:r>
            <m:rPr>
              <m:sty m:val="p"/>
            </m:rPr>
            <m:t>)</m:t>
          </m:r>
          <m:r>
            <m:rPr>
              <m:sty m:val="p"/>
            </m:rPr>
            <m:t>,</m:t>
          </m:r>
          <m:r>
            <m:t>  </m:t>
          </m:r>
          <m:r>
            <m:t>C</m:t>
          </m:r>
          <m:r>
            <m:t>S</m:t>
          </m:r>
          <m:sSubSup>
            <m:e>
              <m:r>
                <m:t>D</m:t>
              </m:r>
            </m:e>
            <m:sub>
              <m:r>
                <m:t>i</m:t>
              </m:r>
              <m:r>
                <m:rPr>
                  <m:sty m:val="p"/>
                </m:rPr>
                <m:t>,</m:t>
              </m:r>
              <m:r>
                <m:t>t</m:t>
              </m:r>
            </m:sub>
            <m:sup>
              <m:r>
                <m:rPr>
                  <m:sty m:val="p"/>
                </m:rPr>
                <m:t>−</m:t>
              </m:r>
            </m:sup>
          </m:sSubSup>
          <m:r>
            <m:rPr>
              <m:sty m:val="p"/>
            </m:rPr>
            <m:t>=</m:t>
          </m:r>
          <m:r>
            <m:rPr>
              <m:sty m:val="p"/>
            </m:rPr>
            <m:t>max</m:t>
          </m:r>
          <m:r>
            <m:rPr>
              <m:sty m:val="p"/>
            </m:rPr>
            <m:t>(</m:t>
          </m:r>
          <m:r>
            <m:rPr>
              <m:sty m:val="p"/>
            </m:rPr>
            <m:t>−</m:t>
          </m:r>
          <m:r>
            <m:t>C</m:t>
          </m:r>
          <m:r>
            <m:t>S</m:t>
          </m:r>
          <m:r>
            <m:t>D</m:t>
          </m:r>
          <m:r>
            <m:t>e</m:t>
          </m:r>
          <m:sSub>
            <m:e>
              <m:r>
                <m:t>v</m:t>
              </m:r>
            </m:e>
            <m:sub>
              <m:r>
                <m:t>i</m:t>
              </m:r>
              <m:r>
                <m:rPr>
                  <m:sty m:val="p"/>
                </m:rPr>
                <m:t>,</m:t>
              </m:r>
              <m:r>
                <m:t>t</m:t>
              </m:r>
            </m:sub>
          </m:sSub>
          <m:r>
            <m:rPr>
              <m:sty m:val="p"/>
            </m:rPr>
            <m:t>,</m:t>
          </m:r>
          <m:r>
            <m:t> </m:t>
          </m:r>
          <m:r>
            <m:t>0</m:t>
          </m:r>
          <m:r>
            <m:rPr>
              <m:sty m:val="p"/>
            </m:rPr>
            <m:t>)</m:t>
          </m:r>
          <m:r>
            <m:t>  </m:t>
          </m:r>
          <m:r>
            <m:rPr>
              <m:sty m:val="p"/>
            </m:rPr>
            <m:t>(</m:t>
          </m:r>
          <m:r>
            <m:t>4</m:t>
          </m:r>
          <m:r>
            <m:rPr>
              <m:sty m:val="p"/>
            </m:rPr>
            <m:t>)</m:t>
          </m:r>
        </m:oMath>
      </m:oMathPara>
    </w:p>
    <w:p>
      <w:pPr>
        <w:pStyle w:val="FirstParagraph"/>
      </w:pPr>
      <w:r>
        <w:t xml:space="preserve">CSD⁺ measures how far an over-leveraged firm lies above its target and is zero for under-leveraged firms. CSD⁻ measures how far an under-leveraged firm lies below its target and is zero for over-leveraged firms. This piecewise-linear specification lets the slope differ on each side of the target. A single CSDev regressor would impose equal and opposite effects, which is the restriction the asymmetry argument of this study rejects.</w:t>
      </w:r>
    </w:p>
    <w:bookmarkEnd w:id="11"/>
    <w:bookmarkStart w:id="12" w:name="moderating-variable-corporate-life-cycle"/>
    <w:p>
      <w:pPr>
        <w:pStyle w:val="Heading2"/>
      </w:pPr>
      <w:r>
        <w:t xml:space="preserve">3.4 Moderating Variable: Corporate Life Cycle</w:t>
      </w:r>
    </w:p>
    <w:p>
      <w:pPr>
        <w:pStyle w:val="FirstParagraph"/>
      </w:pPr>
      <w:r>
        <w:t xml:space="preserve">Life-cycle stage is classified with the cash-flow pattern approach of Dickinson (2011). The signs of operating (CFO), investing (CFI) and financing (CFF) cash flows jointly reflect a firm’s profitability, growth and financing needs, and the classification does not depend on age or size cut-offs. Dickinson’s five stages are consolidated into the three stages named in the hypotheses: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on"/>
        </w:trPr>
        <w:tc>
          <w:tcPr>
            <w:shd w:val="clear" w:color="auto" w:fill="E8ECF3"/>
          </w:tcPr>
          <w:p>
            <w:pPr>
              <w:pStyle w:val="Compact"/>
            </w:pPr>
            <w:r>
              <w:rPr>
                <w:b/>
                <w:sz w:val="19"/>
              </w:rPr>
              <w:t xml:space="preserve">Consolidated stage</w:t>
            </w:r>
          </w:p>
        </w:tc>
        <w:tc>
          <w:tcPr>
            <w:shd w:val="clear" w:color="auto" w:fill="E8ECF3"/>
          </w:tcPr>
          <w:p>
            <w:pPr>
              <w:pStyle w:val="Compact"/>
            </w:pPr>
            <w:r>
              <w:rPr>
                <w:b/>
                <w:sz w:val="19"/>
              </w:rPr>
              <w:t xml:space="preserve">Dickinson (2011) stage</w:t>
            </w:r>
          </w:p>
        </w:tc>
        <w:tc>
          <w:tcPr>
            <w:shd w:val="clear" w:color="auto" w:fill="E8ECF3"/>
          </w:tcPr>
          <w:p>
            <w:pPr>
              <w:pStyle w:val="Compact"/>
            </w:pPr>
            <w:r>
              <w:rPr>
                <w:b/>
                <w:sz w:val="19"/>
              </w:rPr>
              <w:t xml:space="preserve">CFO</w:t>
            </w:r>
          </w:p>
        </w:tc>
        <w:tc>
          <w:tcPr>
            <w:shd w:val="clear" w:color="auto" w:fill="E8ECF3"/>
          </w:tcPr>
          <w:p>
            <w:pPr>
              <w:pStyle w:val="Compact"/>
            </w:pPr>
            <w:r>
              <w:rPr>
                <w:b/>
                <w:sz w:val="19"/>
              </w:rPr>
              <w:t xml:space="preserve">CFI</w:t>
            </w:r>
          </w:p>
        </w:tc>
        <w:tc>
          <w:tcPr>
            <w:shd w:val="clear" w:color="auto" w:fill="E8ECF3"/>
          </w:tcPr>
          <w:p>
            <w:pPr>
              <w:pStyle w:val="Compact"/>
            </w:pPr>
            <w:r>
              <w:rPr>
                <w:b/>
                <w:sz w:val="19"/>
              </w:rPr>
              <w:t xml:space="preserve">CFF</w:t>
            </w:r>
          </w:p>
        </w:tc>
      </w:tr>
      <w:tr>
        <w:tc>
          <w:tcPr/>
          <w:p>
            <w:pPr>
              <w:pStyle w:val="Compact"/>
            </w:pPr>
            <w:r>
              <w:rPr>
                <w:sz w:val="19"/>
              </w:rPr>
              <w:t xml:space="preserve">Growth (GROW)</w:t>
            </w:r>
          </w:p>
        </w:tc>
        <w:tc>
          <w:tcPr/>
          <w:p>
            <w:pPr>
              <w:pStyle w:val="Compact"/>
            </w:pPr>
            <w:r>
              <w:rPr>
                <w:sz w:val="19"/>
              </w:rPr>
              <w:t xml:space="preserve">Introduction</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Growth (GROW)</w:t>
            </w:r>
          </w:p>
        </w:tc>
        <w:tc>
          <w:tcPr/>
          <w:p>
            <w:pPr>
              <w:pStyle w:val="Compact"/>
            </w:pPr>
            <w:r>
              <w:rPr>
                <w:sz w:val="19"/>
              </w:rPr>
              <w:t xml:space="preserve">Growth</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Maturity (MAT)</w:t>
            </w:r>
          </w:p>
        </w:tc>
        <w:tc>
          <w:tcPr/>
          <w:p>
            <w:pPr>
              <w:pStyle w:val="Compact"/>
            </w:pPr>
            <w:r>
              <w:rPr>
                <w:sz w:val="19"/>
              </w:rPr>
              <w:t xml:space="preserve">Mature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Decline (DEC)</w:t>
            </w:r>
          </w:p>
        </w:tc>
        <w:tc>
          <w:tcPr/>
          <w:p>
            <w:pPr>
              <w:pStyle w:val="Compact"/>
            </w:pPr>
            <w:r>
              <w:rPr>
                <w:sz w:val="19"/>
              </w:rPr>
              <w:t xml:space="preserve">Shake-out</w:t>
            </w:r>
          </w:p>
        </w:tc>
        <w:tc>
          <w:tcPr/>
          <w:p>
            <w:pPr>
              <w:pStyle w:val="Compact"/>
            </w:pPr>
            <w:r>
              <w:rPr>
                <w:sz w:val="19"/>
              </w:rPr>
              <w:t xml:space="preserve">− − −, + + +, or + + −</w:t>
            </w:r>
          </w:p>
        </w:tc>
        <w:tc>
          <w:tcPr/>
          <w:p>
            <w:pPr>
              <w:pStyle w:val="Compact"/>
            </w:pPr>
          </w:p>
        </w:tc>
        <w:tc>
          <w:tcPr/>
          <w:p>
            <w:pPr>
              <w:pStyle w:val="Compact"/>
            </w:pPr>
          </w:p>
        </w:tc>
      </w:tr>
      <w:tr>
        <w:tc>
          <w:tcPr/>
          <w:p>
            <w:pPr>
              <w:pStyle w:val="Compact"/>
            </w:pPr>
            <w:r>
              <w:rPr>
                <w:sz w:val="19"/>
              </w:rPr>
              <w:t xml:space="preserve">Decline (DEC)</w:t>
            </w:r>
          </w:p>
        </w:tc>
        <w:tc>
          <w:tcPr/>
          <w:p>
            <w:pPr>
              <w:pStyle w:val="Compact"/>
            </w:pPr>
            <w:r>
              <w:rPr>
                <w:sz w:val="19"/>
              </w:rPr>
              <w:t xml:space="preserve">Decline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 or −</w:t>
            </w:r>
          </w:p>
        </w:tc>
      </w:tr>
    </w:tbl>
    <w:p>
      <w:pPr>
        <w:pStyle w:val="BodyText"/>
      </w:pPr>
      <w:r>
        <w:t xml:space="preserve">Two features of the TSE motivate the consolidation. Few introduction-stage firms meet listing requirements, so the introduction stage is too thin to estimate separately, and introduction and growth firms share the defining feature relevant here: financing needs exceed internal cash flow. The shake-out stage has no consistent cash-flow signature (Dickinson, 2011), and its firms share the declining investment opportunities of decline-stage firms. The frequency of each original stage is reported in the descriptive statistics, and the results are re-estimated with Dickinson’s original five stages (Section 3.11).</w:t>
      </w:r>
    </w:p>
    <w:p>
      <w:pPr>
        <w:pStyle w:val="BodyText"/>
      </w:pPr>
      <w:r>
        <w:t xml:space="preserve">Stage is measured at</w:t>
      </w:r>
      <w:r>
        <w:t xml:space="preserve"> </w:t>
      </w:r>
      <w:r>
        <w:rPr>
          <w:b/>
          <w:bCs/>
        </w:rPr>
        <w:t xml:space="preserve">t−1</w:t>
      </w:r>
      <w:r>
        <w:t xml:space="preserve">. Dickinson’s classification uses the sign of CFI, and investing cash flow is a component of investment itself. A stage measured in year t would therefore be mechanically related to the dependent variable; the lagged stage is predetermined with respect to investment in year t. Three indicators are formed (GROW, MAT, DEC), and one is omitted as the reference category in each model.</w:t>
      </w:r>
    </w:p>
    <w:bookmarkEnd w:id="12"/>
    <w:bookmarkStart w:id="13" w:name="moderating-variable-managerial-ability"/>
    <w:p>
      <w:pPr>
        <w:pStyle w:val="Heading2"/>
      </w:pPr>
      <w:r>
        <w:t xml:space="preserve">3.5 Moderating Variable: Managerial Ability</w:t>
      </w:r>
    </w:p>
    <w:p>
      <w:pPr>
        <w:pStyle w:val="FirstParagraph"/>
      </w:pPr>
      <w:r>
        <w:t xml:space="preserve">Managerial ability is measured with the two-stage approach of Demerjian, Lev and McVay (2012). The approach separates the efficiency with which a firm converts resources into revenue into a part attributable to the firm and a part attributable to its managers.</w:t>
      </w:r>
    </w:p>
    <w:p>
      <w:pPr>
        <w:pStyle w:val="BodyText"/>
      </w:pPr>
      <w:r>
        <w:rPr>
          <w:b/>
          <w:bCs/>
        </w:rPr>
        <w:t xml:space="preserve">Stage 1: firm efficiency.</w:t>
      </w:r>
      <w:r>
        <w:t xml:space="preserve"> </w:t>
      </w:r>
      <w:r>
        <w:t xml:space="preserve">Data envelopment analysis (DEA) estimates the efficiency with which each firm converts inputs into sales, relative to the efficient frontier of its peers. The model is input-oriented with variable returns to scale. The output is sales. The inputs are cost of goods sold, selling, general and administrative expenses, net PP&amp;E at t−1 and intangible assets at t−1. Lagged capital stocks are used because they are the resources available to managers during the year. The frontier is estimated separately for each industry-year with at least 15 firms, which is three times the number of inputs and outputs (Cooper, Seiford &amp; Tone, 2007). Smaller industry-years are pooled within the industry across years, with monetary values deflated to 1392 prices with the consumer price index, because nominal values are not comparable across years under high inflation. The efficiency score FE lies in (0, 1].</w:t>
      </w:r>
    </w:p>
    <w:p>
      <w:pPr>
        <w:pStyle w:val="BodyText"/>
      </w:pPr>
      <w:r>
        <w:rPr>
          <w:b/>
          <w:bCs/>
        </w:rPr>
        <w:t xml:space="preserve">Stage 2: removing firm-level drivers.</w:t>
      </w:r>
      <w:r>
        <w:t xml:space="preserve"> </w:t>
      </w:r>
      <w:r>
        <w:t xml:space="preserve">Firm efficiency is regressed on characteristics that make efficiency easier or harder to achieve regardless of who manages the firm:</w:t>
      </w:r>
    </w:p>
    <w:p>
      <w:pPr>
        <w:pStyle w:val="BodyText"/>
      </w:pPr>
      <m:oMathPara>
        <m:oMathParaPr>
          <m:jc m:val="center"/>
        </m:oMathParaPr>
        <m:oMath>
          <m:r>
            <m:t>F</m:t>
          </m:r>
          <m:sSub>
            <m:e>
              <m:r>
                <m:t>E</m:t>
              </m:r>
            </m:e>
            <m:sub>
              <m:r>
                <m:t>i</m:t>
              </m:r>
              <m:r>
                <m:rPr>
                  <m:sty m:val="p"/>
                </m:rPr>
                <m:t>,</m:t>
              </m:r>
              <m:r>
                <m:t>t</m:t>
              </m:r>
            </m:sub>
          </m:sSub>
          <m:r>
            <m:rPr>
              <m:sty m:val="p"/>
            </m:rPr>
            <m:t>=</m:t>
          </m:r>
          <m:sSub>
            <m:e>
              <m:r>
                <m:t>θ</m:t>
              </m:r>
            </m:e>
            <m:sub>
              <m:r>
                <m:t>0</m:t>
              </m:r>
            </m:sub>
          </m:sSub>
          <m:r>
            <m:rPr>
              <m:sty m:val="p"/>
            </m:rPr>
            <m:t>+</m:t>
          </m:r>
          <m:sSub>
            <m:e>
              <m:r>
                <m:t>θ</m:t>
              </m:r>
            </m:e>
            <m:sub>
              <m:r>
                <m:t>1</m:t>
              </m:r>
            </m:sub>
          </m:sSub>
          <m:r>
            <m:t>L</m:t>
          </m:r>
          <m:r>
            <m:t>T</m:t>
          </m:r>
          <m:sSub>
            <m:e>
              <m:r>
                <m:t>A</m:t>
              </m:r>
            </m:e>
            <m:sub>
              <m:r>
                <m:t>i</m:t>
              </m:r>
              <m:r>
                <m:rPr>
                  <m:sty m:val="p"/>
                </m:rPr>
                <m:t>,</m:t>
              </m:r>
              <m:r>
                <m:t>t</m:t>
              </m:r>
            </m:sub>
          </m:sSub>
          <m:r>
            <m:rPr>
              <m:sty m:val="p"/>
            </m:rPr>
            <m:t>+</m:t>
          </m:r>
          <m:sSub>
            <m:e>
              <m:r>
                <m:t>θ</m:t>
              </m:r>
            </m:e>
            <m:sub>
              <m:r>
                <m:t>2</m:t>
              </m:r>
            </m:sub>
          </m:sSub>
          <m:r>
            <m:t>M</m:t>
          </m:r>
          <m:r>
            <m:t>k</m:t>
          </m:r>
          <m:r>
            <m:t>t</m:t>
          </m:r>
          <m:r>
            <m:t>S</m:t>
          </m:r>
          <m:r>
            <m:t>h</m:t>
          </m:r>
          <m:r>
            <m:t>a</m:t>
          </m:r>
          <m:r>
            <m:t>r</m:t>
          </m:r>
          <m:sSub>
            <m:e>
              <m:r>
                <m:t>e</m:t>
              </m:r>
            </m:e>
            <m:sub>
              <m:r>
                <m:t>i</m:t>
              </m:r>
              <m:r>
                <m:rPr>
                  <m:sty m:val="p"/>
                </m:rPr>
                <m:t>,</m:t>
              </m:r>
              <m:r>
                <m:t>t</m:t>
              </m:r>
            </m:sub>
          </m:sSub>
          <m:r>
            <m:rPr>
              <m:sty m:val="p"/>
            </m:rPr>
            <m:t>+</m:t>
          </m:r>
          <m:sSub>
            <m:e>
              <m:r>
                <m:t>θ</m:t>
              </m:r>
            </m:e>
            <m:sub>
              <m:r>
                <m:t>3</m:t>
              </m:r>
            </m:sub>
          </m:sSub>
          <m:r>
            <m:t>F</m:t>
          </m:r>
          <m:r>
            <m:t>C</m:t>
          </m:r>
          <m:sSubSup>
            <m:e>
              <m:r>
                <m:t>F</m:t>
              </m:r>
            </m:e>
            <m:sub>
              <m:r>
                <m:t>i</m:t>
              </m:r>
              <m:r>
                <m:rPr>
                  <m:sty m:val="p"/>
                </m:rPr>
                <m:t>,</m:t>
              </m:r>
              <m:r>
                <m:t>t</m:t>
              </m:r>
            </m:sub>
            <m:sup>
              <m:r>
                <m:rPr>
                  <m:sty m:val="p"/>
                </m:rPr>
                <m:t>+</m:t>
              </m:r>
            </m:sup>
          </m:sSubSup>
          <m:r>
            <m:rPr>
              <m:sty m:val="p"/>
            </m:rPr>
            <m:t>+</m:t>
          </m:r>
          <m:sSub>
            <m:e>
              <m:r>
                <m:t>θ</m:t>
              </m:r>
            </m:e>
            <m:sub>
              <m:r>
                <m:t>4</m:t>
              </m:r>
            </m:sub>
          </m:sSub>
          <m:r>
            <m:rPr>
              <m:sty m:val="p"/>
            </m:rPr>
            <m:t>ln</m:t>
          </m:r>
          <m:r>
            <m:rPr>
              <m:sty m:val="p"/>
            </m:rPr>
            <m:t>(</m:t>
          </m:r>
          <m:r>
            <m:t>A</m:t>
          </m:r>
          <m:r>
            <m:t>g</m:t>
          </m:r>
          <m:sSub>
            <m:e>
              <m:r>
                <m:t>e</m:t>
              </m:r>
            </m:e>
            <m:sub>
              <m:r>
                <m:t>i</m:t>
              </m:r>
              <m:r>
                <m:rPr>
                  <m:sty m:val="p"/>
                </m:rPr>
                <m:t>,</m:t>
              </m:r>
              <m:r>
                <m:t>t</m:t>
              </m:r>
            </m:sub>
          </m:sSub>
          <m:r>
            <m:rPr>
              <m:sty m:val="p"/>
            </m:rPr>
            <m:t>)</m:t>
          </m:r>
          <m:r>
            <m:rPr>
              <m:sty m:val="p"/>
            </m:rPr>
            <m:t>+</m:t>
          </m:r>
          <m:sSub>
            <m:e>
              <m:r>
                <m:t>ν</m:t>
              </m:r>
            </m:e>
            <m:sub>
              <m:r>
                <m:t>t</m:t>
              </m:r>
            </m:sub>
          </m:sSub>
          <m:r>
            <m:rPr>
              <m:sty m:val="p"/>
            </m:rPr>
            <m:t>+</m:t>
          </m:r>
          <m:sSub>
            <m:e>
              <m:r>
                <m:t>λ</m:t>
              </m:r>
            </m:e>
            <m:sub>
              <m:r>
                <m:t>j</m:t>
              </m:r>
            </m:sub>
          </m:sSub>
          <m:r>
            <m:rPr>
              <m:sty m:val="p"/>
            </m:rPr>
            <m:t>+</m:t>
          </m:r>
          <m:sSub>
            <m:e>
              <m:r>
                <m:t>ω</m:t>
              </m:r>
            </m:e>
            <m:sub>
              <m:r>
                <m:t>i</m:t>
              </m:r>
              <m:r>
                <m:rPr>
                  <m:sty m:val="p"/>
                </m:rPr>
                <m:t>,</m:t>
              </m:r>
              <m:r>
                <m:t>t</m:t>
              </m:r>
            </m:sub>
          </m:sSub>
          <m:r>
            <m:t>  </m:t>
          </m:r>
          <m:r>
            <m:rPr>
              <m:sty m:val="p"/>
            </m:rPr>
            <m:t>(</m:t>
          </m:r>
          <m:r>
            <m:t>5</m:t>
          </m:r>
          <m:r>
            <m:rPr>
              <m:sty m:val="p"/>
            </m:rPr>
            <m:t>)</m:t>
          </m:r>
        </m:oMath>
      </m:oMathPara>
    </w:p>
    <w:p>
      <w:pPr>
        <w:pStyle w:val="FirstParagraph"/>
      </w:pPr>
      <w:r>
        <w:t xml:space="preserve">MktShare is the firm’s share of industry sales. FCF⁺ equals 1 if free cash flow is positive and 0 otherwise. Eq. (5) is estimated as a Tobit model censored from above at 1, because DEA scores have a mass at the efficient frontier. Segment diversification and foreign-operations indicators in the original specification are omitted because they are not available for TSE firms. Managerial ability,</w:t>
      </w:r>
      <w:r>
        <w:t xml:space="preserve"> </w:t>
      </w:r>
      <w:r>
        <w:rPr>
          <w:b/>
          <w:bCs/>
        </w:rPr>
        <w:t xml:space="preserve">MA</w:t>
      </w:r>
      <w:r>
        <w:t xml:space="preserve">, is the residual ω̂: the part of efficiency not explained by firm characteristics. MA is mean-centered before entering any interaction.</w:t>
      </w:r>
    </w:p>
    <w:bookmarkEnd w:id="13"/>
    <w:bookmarkStart w:id="14" w:name="control-variables"/>
    <w:p>
      <w:pPr>
        <w:pStyle w:val="Heading2"/>
      </w:pPr>
      <w:r>
        <w:t xml:space="preserve">3.6 Control Variables</w:t>
      </w:r>
    </w:p>
    <w:p>
      <w:pPr>
        <w:pStyle w:val="FirstParagraph"/>
      </w:pPr>
      <w:r>
        <w:t xml:space="preserve">Following Biddle et al. (2009), the models control for firm characteristics that are associated with investment levels and with the accuracy of the investment-expectation model:</w:t>
      </w:r>
    </w:p>
    <w:p>
      <w:pPr>
        <w:pStyle w:val="Compact"/>
        <w:numPr>
          <w:ilvl w:val="0"/>
          <w:numId w:val="1003"/>
        </w:numPr>
      </w:pPr>
      <w:r>
        <w:rPr>
          <w:b/>
          <w:bCs/>
        </w:rPr>
        <w:t xml:space="preserve">LTA</w:t>
      </w:r>
      <w:r>
        <w:t xml:space="preserve">: firm size. Larger firms have better access to finance and more stable investment.</w:t>
      </w:r>
    </w:p>
    <w:p>
      <w:pPr>
        <w:pStyle w:val="Compact"/>
        <w:numPr>
          <w:ilvl w:val="0"/>
          <w:numId w:val="1003"/>
        </w:numPr>
      </w:pPr>
      <w:r>
        <w:rPr>
          <w:b/>
          <w:bCs/>
        </w:rPr>
        <w:t xml:space="preserve">MTB</w:t>
      </w:r>
      <w:r>
        <w:t xml:space="preserve">: growth opportunities not captured by past sales growth.</w:t>
      </w:r>
    </w:p>
    <w:p>
      <w:pPr>
        <w:pStyle w:val="Compact"/>
        <w:numPr>
          <w:ilvl w:val="0"/>
          <w:numId w:val="1003"/>
        </w:numPr>
      </w:pPr>
      <w:r>
        <w:rPr>
          <w:b/>
          <w:bCs/>
        </w:rPr>
        <w:t xml:space="preserve">PROFIT</w:t>
      </w:r>
      <w:r>
        <w:t xml:space="preserve">: operating income / total assets. More profitable firms can fund investment internally.</w:t>
      </w:r>
    </w:p>
    <w:p>
      <w:pPr>
        <w:pStyle w:val="Compact"/>
        <w:numPr>
          <w:ilvl w:val="0"/>
          <w:numId w:val="1003"/>
        </w:numPr>
      </w:pPr>
      <w:r>
        <w:rPr>
          <w:b/>
          <w:bCs/>
        </w:rPr>
        <w:t xml:space="preserve">FCF</w:t>
      </w:r>
      <w:r>
        <w:t xml:space="preserve">: operating cash flow / total assets, which captures internal funds available for investment (Jensen, 1986). Operating rather than post-investment free cash flow is used because investing cash flow is part of the dependent variable.</w:t>
      </w:r>
    </w:p>
    <w:p>
      <w:pPr>
        <w:pStyle w:val="FirstParagraph"/>
      </w:pPr>
      <w:r>
        <w:t xml:space="preserve">All models include year dummies (ν</w:t>
      </w:r>
      <w:r>
        <w:rPr>
          <w:vertAlign w:val="subscript"/>
        </w:rPr>
        <w:t xml:space="preserve">t</w:t>
      </w:r>
      <w:r>
        <w:t xml:space="preserve">) and industry dummies (λ</w:t>
      </w:r>
      <w:r>
        <w:rPr>
          <w:vertAlign w:val="subscript"/>
        </w:rPr>
        <w:t xml:space="preserve">j</w:t>
      </w:r>
      <w:r>
        <w:t xml:space="preserve">); Section 3.8 explains how each is identified. Firm age and inflation are not used as controls in the investment models. Inflation is constant across firms within a year and is perfectly collinear with the year dummies. Age increases by exactly one each year, so its first difference is collinear with the year dummies in the differenced GMM equation. Age enters only the levels equation of the GMM system (Section 3.8), and inflation enters the analysis through the target leverage model, Eq. (2). Appendix A defines every variable.</w:t>
      </w:r>
    </w:p>
    <w:bookmarkEnd w:id="14"/>
    <w:bookmarkStart w:id="19" w:name="empirical-models"/>
    <w:p>
      <w:pPr>
        <w:pStyle w:val="Heading2"/>
      </w:pPr>
      <w:r>
        <w:t xml:space="preserve">3.7 Empirical Models</w:t>
      </w:r>
    </w:p>
    <w:p>
      <w:pPr>
        <w:pStyle w:val="FirstParagraph"/>
      </w:pPr>
      <w:r>
        <w:t xml:space="preserve">Each hypothesis is tested with its own dynamic panel model, and each prediction is stated as a sign restriction on a named coefficient. Because InvEff is signed, a negative coefficient indicates a shift toward under-investment and a positive coefficient a shift toward over-investment. In all equations, X is the vector of controls (LTA, MTB, PROFIT, FCF), η</w:t>
      </w:r>
      <w:r>
        <w:rPr>
          <w:vertAlign w:val="subscript"/>
        </w:rPr>
        <w:t xml:space="preserve">i</w:t>
      </w:r>
      <w:r>
        <w:t xml:space="preserve"> </w:t>
      </w:r>
      <w:r>
        <w:t xml:space="preserve">is the unobserved firm effect, ν</w:t>
      </w:r>
      <w:r>
        <w:rPr>
          <w:vertAlign w:val="subscript"/>
        </w:rPr>
        <w:t xml:space="preserve">t</w:t>
      </w:r>
      <w:r>
        <w:t xml:space="preserve"> </w:t>
      </w:r>
      <w:r>
        <w:t xml:space="preserve">are year dummies, λ</w:t>
      </w:r>
      <w:r>
        <w:rPr>
          <w:vertAlign w:val="subscript"/>
        </w:rPr>
        <w:t xml:space="preserve">j</w:t>
      </w:r>
      <w:r>
        <w:t xml:space="preserve"> </w:t>
      </w:r>
      <w:r>
        <w:t xml:space="preserve">are industry dummies and ε is the idiosyncratic error.</w:t>
      </w:r>
    </w:p>
    <w:bookmarkStart w:id="15" w:name="X3083588f728d44c3e377ccffda16ca22702e55f"/>
    <w:p>
      <w:pPr>
        <w:pStyle w:val="Heading3"/>
      </w:pPr>
      <w:r>
        <w:t xml:space="preserve">3.7.1 Direct effects of capital structure deviation (H1a, H1b)</w:t>
      </w:r>
    </w:p>
    <w:p>
      <w:pPr>
        <w:pStyle w:val="FirstParagraph"/>
      </w:pPr>
      <w:r>
        <w:t xml:space="preserve">Each direct-effect hypothesis is tested in its own model. H1a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r>
            <m:t>ϕ</m:t>
          </m:r>
          <m:r>
            <m:t> </m:t>
          </m:r>
          <m:r>
            <m:t>U</m:t>
          </m:r>
          <m:r>
            <m:t>N</m:t>
          </m:r>
          <m:r>
            <m:t>D</m:t>
          </m:r>
          <m:r>
            <m:t>E</m:t>
          </m:r>
          <m:sSub>
            <m:e>
              <m:r>
                <m:t>R</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a</m:t>
          </m:r>
          <m:r>
            <m:rPr>
              <m:sty m:val="p"/>
            </m:rPr>
            <m:t>)</m:t>
          </m:r>
        </m:oMath>
      </m:oMathPara>
    </w:p>
    <w:p>
      <w:pPr>
        <w:pStyle w:val="FirstParagraph"/>
      </w:pPr>
      <w:r>
        <w:t xml:space="preserve">H1b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r>
            <m:t>ϕ</m:t>
          </m:r>
          <m:r>
            <m:t> </m:t>
          </m:r>
          <m:r>
            <m:t>O</m:t>
          </m:r>
          <m:r>
            <m:t>V</m:t>
          </m:r>
          <m:r>
            <m:t>E</m:t>
          </m:r>
          <m:sSub>
            <m:e>
              <m:r>
                <m:t>R</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b</m:t>
          </m:r>
          <m:r>
            <m:rPr>
              <m:sty m:val="p"/>
            </m:rPr>
            <m:t>)</m:t>
          </m:r>
        </m:oMath>
      </m:oMathPara>
    </w:p>
    <w:p>
      <w:pPr>
        <w:pStyle w:val="FirstParagraph"/>
      </w:pPr>
      <w:r>
        <w:t xml:space="preserve">UNDER (OVER) equals 1 for under-leveraged (over-leveraged) firm-years. The indicator absorbs the mean investment of firms on the other side of the target, so the slope on CSD⁺ in Eq. (6a) is identified only from over-leveraged firms, and the slope on CSD⁻ in Eq. (6b) only from under-leveraged firms. Because CSD⁺ is zero for every firm with UNDER = 1 and CSD⁻ is zero for every firm with UNDER = 0, omitting the other side’s slope does not bias the tested coefficient.</w:t>
      </w:r>
    </w:p>
    <w:p>
      <w:pPr>
        <w:pStyle w:val="BodyText"/>
      </w:pPr>
      <w:r>
        <w:t xml:space="preserve">H1a predicts β₁ &lt; 0: the further a firm lies above its target, the further its investment falls below the expected level, consistent with debt overhang (Myers, 1977). H1b predicts β₂ &gt; 0: the further a firm lies below its target, the further its investment rises above the expected level, consistent with free-cash-flow problems when debt discipline is weak (Jensen, 1986).</w:t>
      </w:r>
    </w:p>
    <w:p>
      <w:pPr>
        <w:pStyle w:val="BodyText"/>
      </w:pPr>
      <w:r>
        <w:t xml:space="preserve">Asymmetry, the central claim of the study, compares the two slopes and therefore requires both in one equation: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rPr>
              <m:sty m:val="p"/>
            </m:rPr>
            <m:t>)</m:t>
          </m:r>
        </m:oMath>
      </m:oMathPara>
    </w:p>
    <w:p>
      <w:pPr>
        <w:pStyle w:val="FirstParagraph"/>
      </w:pPr>
      <w:r>
        <w:t xml:space="preserve">Asymmetry is tested with a Wald test of β₁ + β₂ = 0 in Eq. (6).</w:t>
      </w:r>
    </w:p>
    <w:bookmarkEnd w:id="15"/>
    <w:bookmarkStart w:id="16" w:name="life-cycle-moderation-h2a-h2b"/>
    <w:p>
      <w:pPr>
        <w:pStyle w:val="Heading3"/>
      </w:pPr>
      <w:r>
        <w:t xml:space="preserve">3.7.2 Life-cycle moderation (H2a, H2b)</w:t>
      </w:r>
    </w:p>
    <w:p>
      <w:pPr>
        <w:pStyle w:val="FirstParagraph"/>
      </w:pPr>
      <w:r>
        <w:t xml:space="preserve">H2a is tested with maturity as the reference stage: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ϕ</m:t>
              </m:r>
            </m:e>
            <m:sub>
              <m:r>
                <m:t>1</m:t>
              </m:r>
            </m:sub>
          </m:sSub>
          <m:r>
            <m:t>G</m:t>
          </m:r>
          <m:r>
            <m:t>R</m:t>
          </m:r>
          <m:r>
            <m:t>O</m:t>
          </m:r>
          <m:sSub>
            <m:e>
              <m:r>
                <m:t>W</m:t>
              </m:r>
            </m:e>
            <m:sub>
              <m:r>
                <m:t>i</m:t>
              </m:r>
              <m:r>
                <m:rPr>
                  <m:sty m:val="p"/>
                </m:rPr>
                <m:t>,</m:t>
              </m:r>
              <m:r>
                <m:t>t</m:t>
              </m:r>
              <m:r>
                <m:rPr>
                  <m:sty m:val="p"/>
                </m:rPr>
                <m:t>−</m:t>
              </m:r>
              <m:r>
                <m:t>1</m:t>
              </m:r>
            </m:sub>
          </m:sSub>
          <m:r>
            <m:rPr>
              <m:sty m:val="p"/>
            </m:rPr>
            <m:t>+</m:t>
          </m:r>
          <m:sSub>
            <m:e>
              <m:r>
                <m:t>ϕ</m:t>
              </m:r>
            </m:e>
            <m:sub>
              <m:r>
                <m:t>2</m:t>
              </m:r>
            </m:sub>
          </m:sSub>
          <m:r>
            <m:t>D</m:t>
          </m:r>
          <m:r>
            <m:t>E</m:t>
          </m:r>
          <m:sSub>
            <m:e>
              <m:r>
                <m:t>C</m:t>
              </m:r>
            </m:e>
            <m:sub>
              <m:r>
                <m:t>i</m:t>
              </m:r>
              <m:r>
                <m:rPr>
                  <m:sty m:val="p"/>
                </m:rPr>
                <m:t>,</m:t>
              </m:r>
              <m:r>
                <m:t>t</m:t>
              </m:r>
              <m:r>
                <m:rPr>
                  <m:sty m:val="p"/>
                </m:rPr>
                <m:t>−</m:t>
              </m:r>
              <m:r>
                <m:t>1</m:t>
              </m:r>
            </m:sub>
          </m:sSub>
          <m:r>
            <m:rPr>
              <m:sty m:val="p"/>
            </m:rPr>
            <m:t>+</m:t>
          </m:r>
          <m:sSub>
            <m:e>
              <m:r>
                <m:t>β</m:t>
              </m:r>
            </m:e>
            <m:sub>
              <m:r>
                <m:t>3</m:t>
              </m:r>
            </m:sub>
          </m:sSub>
          <m:r>
            <m:t> </m:t>
          </m:r>
          <m:r>
            <m:t>C</m:t>
          </m:r>
          <m:r>
            <m:t>S</m:t>
          </m:r>
          <m:sSubSup>
            <m:e>
              <m:r>
                <m:t>D</m:t>
              </m:r>
            </m:e>
            <m:sub>
              <m:r>
                <m:t>i</m:t>
              </m:r>
              <m:r>
                <m:rPr>
                  <m:sty m:val="p"/>
                </m:rPr>
                <m:t>,</m:t>
              </m:r>
              <m:r>
                <m:t>t</m:t>
              </m:r>
            </m:sub>
            <m:sup>
              <m:r>
                <m:rPr>
                  <m:sty m:val="p"/>
                </m:rPr>
                <m:t>+</m:t>
              </m:r>
            </m:sup>
          </m:sSubSup>
          <m:r>
            <m:rPr>
              <m:sty m:val="p"/>
            </m:rPr>
            <m:t>×</m:t>
          </m:r>
          <m:r>
            <m:t>G</m:t>
          </m:r>
          <m:r>
            <m:t>R</m:t>
          </m:r>
          <m:r>
            <m:t>O</m:t>
          </m:r>
          <m:sSub>
            <m:e>
              <m:r>
                <m:t>W</m:t>
              </m:r>
            </m:e>
            <m:sub>
              <m:r>
                <m:t>i</m:t>
              </m:r>
              <m:r>
                <m:rPr>
                  <m:sty m:val="p"/>
                </m:rPr>
                <m:t>,</m:t>
              </m:r>
              <m:r>
                <m:t>t</m:t>
              </m:r>
              <m:r>
                <m:rPr>
                  <m:sty m:val="p"/>
                </m:rPr>
                <m:t>−</m:t>
              </m:r>
              <m:r>
                <m:t>1</m:t>
              </m:r>
            </m:sub>
          </m:sSub>
          <m:r>
            <m:rPr>
              <m:sty m:val="p"/>
            </m:rPr>
            <m:t>+</m:t>
          </m:r>
          <m:sSub>
            <m:e>
              <m:r>
                <m:t>β</m:t>
              </m:r>
            </m:e>
            <m:sub>
              <m:r>
                <m:t>4</m:t>
              </m:r>
            </m:sub>
          </m:sSub>
          <m:r>
            <m:t> </m:t>
          </m:r>
          <m:r>
            <m:t>C</m:t>
          </m:r>
          <m:r>
            <m:t>S</m:t>
          </m:r>
          <m:sSubSup>
            <m:e>
              <m:r>
                <m:t>D</m:t>
              </m:r>
            </m:e>
            <m:sub>
              <m:r>
                <m:t>i</m:t>
              </m:r>
              <m:r>
                <m:rPr>
                  <m:sty m:val="p"/>
                </m:rPr>
                <m:t>,</m:t>
              </m:r>
              <m:r>
                <m:t>t</m:t>
              </m:r>
            </m:sub>
            <m:sup>
              <m:r>
                <m:rPr>
                  <m:sty m:val="p"/>
                </m:rPr>
                <m:t>+</m:t>
              </m:r>
            </m:sup>
          </m:sSubSup>
          <m:r>
            <m:rPr>
              <m:sty m:val="p"/>
            </m:rPr>
            <m:t>×</m:t>
          </m:r>
          <m:r>
            <m:t>D</m:t>
          </m:r>
          <m:r>
            <m:t>E</m:t>
          </m:r>
          <m:sSub>
            <m:e>
              <m:r>
                <m:t>C</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7</m:t>
          </m:r>
          <m:r>
            <m:rPr>
              <m:sty m:val="p"/>
            </m:rPr>
            <m:t>)</m:t>
          </m:r>
        </m:oMath>
      </m:oMathPara>
    </w:p>
    <w:p>
      <w:pPr>
        <w:pStyle w:val="FirstParagraph"/>
      </w:pPr>
      <w:r>
        <w:t xml:space="preserve">Here β₁ is the effect of over-leverage in maturity. H2a predicts β₃ &lt; 0 and β₄ &lt; 0, so that the effect is more negative in growth (β₁ + β₃) and in decline (β₁ + β₄) than in maturity. A joint Wald test of β₃ = β₄ = 0 is also reported.</w:t>
      </w:r>
    </w:p>
    <w:p>
      <w:pPr>
        <w:pStyle w:val="BodyText"/>
      </w:pPr>
      <w:r>
        <w:t xml:space="preserve">H2b is tested with growth and decline together as the reference: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ϕ</m:t>
              </m:r>
            </m:e>
            <m:sub>
              <m:r>
                <m:t>1</m:t>
              </m:r>
            </m:sub>
          </m:sSub>
          <m:r>
            <m:t>M</m:t>
          </m:r>
          <m:r>
            <m:t>A</m:t>
          </m:r>
          <m:sSub>
            <m:e>
              <m:r>
                <m:t>T</m:t>
              </m:r>
            </m:e>
            <m:sub>
              <m:r>
                <m:t>i</m:t>
              </m:r>
              <m:r>
                <m:rPr>
                  <m:sty m:val="p"/>
                </m:rPr>
                <m:t>,</m:t>
              </m:r>
              <m:r>
                <m:t>t</m:t>
              </m:r>
              <m:r>
                <m:rPr>
                  <m:sty m:val="p"/>
                </m:rPr>
                <m:t>−</m:t>
              </m:r>
              <m:r>
                <m:t>1</m:t>
              </m:r>
            </m:sub>
          </m:sSub>
          <m:r>
            <m:rPr>
              <m:sty m:val="p"/>
            </m:rPr>
            <m:t>+</m:t>
          </m:r>
          <m:sSub>
            <m:e>
              <m:r>
                <m:t>β</m:t>
              </m:r>
            </m:e>
            <m:sub>
              <m:r>
                <m:t>5</m:t>
              </m:r>
            </m:sub>
          </m:sSub>
          <m:r>
            <m:t> </m:t>
          </m:r>
          <m:r>
            <m:t>C</m:t>
          </m:r>
          <m:r>
            <m:t>S</m:t>
          </m:r>
          <m:sSubSup>
            <m:e>
              <m:r>
                <m:t>D</m:t>
              </m:r>
            </m:e>
            <m:sub>
              <m:r>
                <m:t>i</m:t>
              </m:r>
              <m:r>
                <m:rPr>
                  <m:sty m:val="p"/>
                </m:rPr>
                <m:t>,</m:t>
              </m:r>
              <m:r>
                <m:t>t</m:t>
              </m:r>
            </m:sub>
            <m:sup>
              <m:r>
                <m:rPr>
                  <m:sty m:val="p"/>
                </m:rPr>
                <m:t>−</m:t>
              </m:r>
            </m:sup>
          </m:sSubSup>
          <m:r>
            <m:rPr>
              <m:sty m:val="p"/>
            </m:rPr>
            <m:t>×</m:t>
          </m:r>
          <m:r>
            <m:t>M</m:t>
          </m:r>
          <m:r>
            <m:t>A</m:t>
          </m:r>
          <m:sSub>
            <m:e>
              <m:r>
                <m:t>T</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8</m:t>
          </m:r>
          <m:r>
            <m:rPr>
              <m:sty m:val="p"/>
            </m:rPr>
            <m:t>)</m:t>
          </m:r>
        </m:oMath>
      </m:oMathPara>
    </w:p>
    <w:p>
      <w:pPr>
        <w:pStyle w:val="FirstParagraph"/>
      </w:pPr>
      <w:r>
        <w:t xml:space="preserve">H2b predicts β₅ &gt; 0: the over-investment effect of under-leverage is stronger in maturity (β₂ + β₅) than in growth and decline (β₂).</w:t>
      </w:r>
    </w:p>
    <w:bookmarkEnd w:id="16"/>
    <w:bookmarkStart w:id="17" w:name="X420d5b88753e873b4db52d96be6d1de9ec8e292"/>
    <w:p>
      <w:pPr>
        <w:pStyle w:val="Heading3"/>
      </w:pPr>
      <w:r>
        <w:t xml:space="preserve">3.7.3 Managerial ability within the life cycle (H3a, H3b)</w:t>
      </w:r>
    </w:p>
    <w:p>
      <w:pPr>
        <w:pStyle w:val="FirstParagraph"/>
      </w:pPr>
      <w:r>
        <w:t xml:space="preserve">H3a is tested first with a two-way interaction: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β</m:t>
              </m:r>
            </m:e>
            <m:sub>
              <m:r>
                <m:t>3</m:t>
              </m:r>
            </m:sub>
          </m:sSub>
          <m:r>
            <m:t>M</m:t>
          </m:r>
          <m:sSub>
            <m:e>
              <m:r>
                <m:t>A</m:t>
              </m:r>
            </m:e>
            <m:sub>
              <m:r>
                <m:t>i</m:t>
              </m:r>
              <m:r>
                <m:rPr>
                  <m:sty m:val="p"/>
                </m:rPr>
                <m:t>,</m:t>
              </m:r>
              <m:r>
                <m:t>t</m:t>
              </m:r>
            </m:sub>
          </m:sSub>
          <m:r>
            <m:rPr>
              <m:sty m:val="p"/>
            </m:rPr>
            <m:t>+</m:t>
          </m:r>
          <m:sSub>
            <m:e>
              <m:r>
                <m:t>β</m:t>
              </m:r>
            </m:e>
            <m:sub>
              <m:r>
                <m:t>4</m:t>
              </m:r>
            </m:sub>
          </m:sSub>
          <m:r>
            <m:t> </m:t>
          </m:r>
          <m:r>
            <m:t>C</m:t>
          </m:r>
          <m:r>
            <m:t>S</m:t>
          </m:r>
          <m:sSubSup>
            <m:e>
              <m:r>
                <m:t>D</m:t>
              </m:r>
            </m:e>
            <m:sub>
              <m:r>
                <m:t>i</m:t>
              </m:r>
              <m:r>
                <m:rPr>
                  <m:sty m:val="p"/>
                </m:rPr>
                <m:t>,</m:t>
              </m:r>
              <m:r>
                <m:t>t</m:t>
              </m:r>
            </m:sub>
            <m:sup>
              <m:r>
                <m:rPr>
                  <m:sty m:val="p"/>
                </m:rPr>
                <m:t>+</m:t>
              </m:r>
            </m:sup>
          </m:sSubSup>
          <m:r>
            <m:rPr>
              <m:sty m:val="p"/>
            </m:rPr>
            <m:t>×</m:t>
          </m:r>
          <m:r>
            <m:t>M</m:t>
          </m:r>
          <m:sSub>
            <m:e>
              <m:r>
                <m:t>A</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9</m:t>
          </m:r>
          <m:r>
            <m:rPr>
              <m:sty m:val="p"/>
            </m:rPr>
            <m:t>)</m:t>
          </m:r>
        </m:oMath>
      </m:oMathPara>
    </w:p>
    <w:p>
      <w:pPr>
        <w:pStyle w:val="FirstParagraph"/>
      </w:pPr>
      <w:r>
        <w:t xml:space="preserve">The marginal effect of over-leverage is β₁ + β₄·MA. H3a predicts β₄ &gt; 0: higher ability makes the negative effect smaller. To test</w:t>
      </w:r>
      <w:r>
        <w:t xml:space="preserve"> </w:t>
      </w:r>
      <w:r>
        <w:t xml:space="preserve">“especially in growth and decline”</w:t>
      </w:r>
      <w:r>
        <w:t xml:space="preserve">, GD (= 1 for growth or decline at t−1, 0 for maturity) is added with all lower-order terms:</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4</m:t>
              </m:r>
            </m:sub>
          </m:sSub>
          <m:r>
            <m:t> </m:t>
          </m:r>
          <m:r>
            <m:t>C</m:t>
          </m:r>
          <m:r>
            <m:t>S</m:t>
          </m:r>
          <m:sSup>
            <m:e>
              <m:r>
                <m:t>D</m:t>
              </m:r>
            </m:e>
            <m:sup>
              <m:r>
                <m:rPr>
                  <m:sty m:val="p"/>
                </m:rPr>
                <m:t>+</m:t>
              </m:r>
            </m:sup>
          </m:sSup>
          <m:r>
            <m:rPr>
              <m:sty m:val="p"/>
            </m:rPr>
            <m:t>×</m:t>
          </m:r>
          <m:r>
            <m:t>M</m:t>
          </m:r>
          <m:r>
            <m:t>A</m:t>
          </m:r>
          <m:r>
            <m:rPr>
              <m:sty m:val="p"/>
            </m:rPr>
            <m:t>+</m:t>
          </m:r>
          <m:r>
            <m:t>ϕ</m:t>
          </m:r>
          <m:r>
            <m:t> </m:t>
          </m:r>
          <m:r>
            <m:t>G</m:t>
          </m:r>
          <m:r>
            <m:t>D</m:t>
          </m:r>
          <m:r>
            <m:rPr>
              <m:sty m:val="p"/>
            </m:rPr>
            <m:t>+</m:t>
          </m:r>
          <m:sSub>
            <m:e>
              <m:r>
                <m:t>β</m:t>
              </m:r>
            </m:e>
            <m:sub>
              <m:r>
                <m:t>5</m:t>
              </m:r>
            </m:sub>
          </m:sSub>
          <m:r>
            <m:t> </m:t>
          </m:r>
          <m:r>
            <m:t>C</m:t>
          </m:r>
          <m:r>
            <m:t>S</m:t>
          </m:r>
          <m:sSup>
            <m:e>
              <m:r>
                <m:t>D</m:t>
              </m:r>
            </m:e>
            <m:sup>
              <m:r>
                <m:rPr>
                  <m:sty m:val="p"/>
                </m:rPr>
                <m:t>+</m:t>
              </m:r>
            </m:sup>
          </m:sSup>
          <m:r>
            <m:rPr>
              <m:sty m:val="p"/>
            </m:rPr>
            <m:t>×</m:t>
          </m:r>
          <m:r>
            <m:t>G</m:t>
          </m:r>
          <m:r>
            <m:t>D</m:t>
          </m:r>
          <m:r>
            <m:rPr>
              <m:sty m:val="p"/>
            </m:rPr>
            <m:t>+</m:t>
          </m:r>
          <m:sSub>
            <m:e>
              <m:r>
                <m:t>β</m:t>
              </m:r>
            </m:e>
            <m:sub>
              <m:r>
                <m:t>6</m:t>
              </m:r>
            </m:sub>
          </m:sSub>
          <m:r>
            <m:t> </m:t>
          </m:r>
          <m:r>
            <m:t>M</m:t>
          </m:r>
          <m:r>
            <m:t>A</m:t>
          </m:r>
          <m:r>
            <m:rPr>
              <m:sty m:val="p"/>
            </m:rPr>
            <m:t>×</m:t>
          </m:r>
          <m:r>
            <m:t>G</m:t>
          </m:r>
          <m:r>
            <m:t>D</m:t>
          </m:r>
          <m:r>
            <m:rPr>
              <m:sty m:val="p"/>
            </m:rPr>
            <m:t>+</m:t>
          </m:r>
          <m:sSub>
            <m:e>
              <m:r>
                <m:t>β</m:t>
              </m:r>
            </m:e>
            <m:sub>
              <m:r>
                <m:t>7</m:t>
              </m:r>
            </m:sub>
          </m:sSub>
          <m:r>
            <m:t> </m:t>
          </m:r>
          <m:r>
            <m:t>C</m:t>
          </m:r>
          <m:r>
            <m:t>S</m:t>
          </m:r>
          <m:sSup>
            <m:e>
              <m:r>
                <m:t>D</m:t>
              </m:r>
            </m:e>
            <m:sup>
              <m:r>
                <m:rPr>
                  <m:sty m:val="p"/>
                </m:rPr>
                <m:t>+</m:t>
              </m:r>
            </m:sup>
          </m:sSup>
          <m:r>
            <m:rPr>
              <m:sty m:val="p"/>
            </m:rPr>
            <m:t>×</m:t>
          </m:r>
          <m:r>
            <m:t>M</m:t>
          </m:r>
          <m:r>
            <m:t>A</m:t>
          </m:r>
          <m:r>
            <m:rPr>
              <m:sty m:val="p"/>
            </m:rPr>
            <m:t>×</m:t>
          </m:r>
          <m:r>
            <m:t>G</m:t>
          </m:r>
          <m:r>
            <m:t>D</m:t>
          </m:r>
          <m:r>
            <m:rPr>
              <m:sty m:val="p"/>
            </m:rPr>
            <m:t>+</m:t>
          </m:r>
          <m:r>
            <m:rPr>
              <m:sty m:val="p"/>
            </m:rPr>
            <m:t>…</m:t>
          </m:r>
          <m:r>
            <m:t>  </m:t>
          </m:r>
          <m:r>
            <m:rPr>
              <m:sty m:val="p"/>
            </m:rPr>
            <m:t>(</m:t>
          </m:r>
          <m:r>
            <m:t>10</m:t>
          </m:r>
          <m:r>
            <m:rPr>
              <m:sty m:val="p"/>
            </m:rPr>
            <m:t>)</m:t>
          </m:r>
        </m:oMath>
      </m:oMathPara>
    </w:p>
    <w:p>
      <w:pPr>
        <w:pStyle w:val="FirstParagraph"/>
      </w:pPr>
      <w:r>
        <w:t xml:space="preserve">H3a predicts β₇ &gt; 0: mitigation is stronger in growth and decline (β₄ + β₇) than in maturity (β₄).</w:t>
      </w:r>
    </w:p>
    <w:p>
      <w:pPr>
        <w:pStyle w:val="BodyText"/>
      </w:pPr>
      <w:r>
        <w:t xml:space="preserve">H3b is tested in the same way for under-leverage: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sub>
            <m:sup>
              <m:r>
                <m:rPr>
                  <m:sty m:val="p"/>
                </m:rPr>
                <m:t>+</m:t>
              </m:r>
            </m:sup>
          </m:sSubSup>
          <m:r>
            <m:rPr>
              <m:sty m:val="p"/>
            </m:rPr>
            <m:t>+</m:t>
          </m:r>
          <m:sSub>
            <m:e>
              <m:r>
                <m:t>β</m:t>
              </m:r>
            </m:e>
            <m:sub>
              <m:r>
                <m:t>2</m:t>
              </m:r>
            </m:sub>
          </m:sSub>
          <m:r>
            <m:t>C</m:t>
          </m:r>
          <m:r>
            <m:t>S</m:t>
          </m:r>
          <m:sSubSup>
            <m:e>
              <m:r>
                <m:t>D</m:t>
              </m:r>
            </m:e>
            <m:sub>
              <m:r>
                <m:t>i</m:t>
              </m:r>
              <m:r>
                <m:rPr>
                  <m:sty m:val="p"/>
                </m:rPr>
                <m:t>,</m:t>
              </m:r>
              <m:r>
                <m:t>t</m:t>
              </m:r>
            </m:sub>
            <m:sup>
              <m:r>
                <m:rPr>
                  <m:sty m:val="p"/>
                </m:rPr>
                <m:t>−</m:t>
              </m:r>
            </m:sup>
          </m:sSubSup>
          <m:r>
            <m:rPr>
              <m:sty m:val="p"/>
            </m:rPr>
            <m:t>+</m:t>
          </m:r>
          <m:sSub>
            <m:e>
              <m:r>
                <m:t>β</m:t>
              </m:r>
            </m:e>
            <m:sub>
              <m:r>
                <m:t>3</m:t>
              </m:r>
            </m:sub>
          </m:sSub>
          <m:r>
            <m:t>M</m:t>
          </m:r>
          <m:sSub>
            <m:e>
              <m:r>
                <m:t>A</m:t>
              </m:r>
            </m:e>
            <m:sub>
              <m:r>
                <m:t>i</m:t>
              </m:r>
              <m:r>
                <m:rPr>
                  <m:sty m:val="p"/>
                </m:rPr>
                <m:t>,</m:t>
              </m:r>
              <m:r>
                <m:t>t</m:t>
              </m:r>
            </m:sub>
          </m:sSub>
          <m:r>
            <m:rPr>
              <m:sty m:val="p"/>
            </m:rPr>
            <m:t>+</m:t>
          </m:r>
          <m:sSub>
            <m:e>
              <m:r>
                <m:t>β</m:t>
              </m:r>
            </m:e>
            <m:sub>
              <m:r>
                <m:t>8</m:t>
              </m:r>
            </m:sub>
          </m:sSub>
          <m:r>
            <m:t> </m:t>
          </m:r>
          <m:r>
            <m:t>C</m:t>
          </m:r>
          <m:r>
            <m:t>S</m:t>
          </m:r>
          <m:sSubSup>
            <m:e>
              <m:r>
                <m:t>D</m:t>
              </m:r>
            </m:e>
            <m:sub>
              <m:r>
                <m:t>i</m:t>
              </m:r>
              <m:r>
                <m:rPr>
                  <m:sty m:val="p"/>
                </m:rPr>
                <m:t>,</m:t>
              </m:r>
              <m:r>
                <m:t>t</m:t>
              </m:r>
            </m:sub>
            <m:sup>
              <m:r>
                <m:rPr>
                  <m:sty m:val="p"/>
                </m:rPr>
                <m:t>−</m:t>
              </m:r>
            </m:sup>
          </m:sSubSup>
          <m:r>
            <m:rPr>
              <m:sty m:val="p"/>
            </m:rPr>
            <m:t>×</m:t>
          </m:r>
          <m:r>
            <m:t>M</m:t>
          </m:r>
          <m:sSub>
            <m:e>
              <m:r>
                <m:t>A</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11</m:t>
          </m:r>
          <m:r>
            <m:rPr>
              <m:sty m:val="p"/>
            </m:rPr>
            <m:t>)</m:t>
          </m:r>
        </m:oMath>
      </m:oMathPara>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8</m:t>
              </m:r>
            </m:sub>
          </m:sSub>
          <m:r>
            <m:t> </m:t>
          </m:r>
          <m:r>
            <m:t>C</m:t>
          </m:r>
          <m:r>
            <m:t>S</m:t>
          </m:r>
          <m:sSup>
            <m:e>
              <m:r>
                <m:t>D</m:t>
              </m:r>
            </m:e>
            <m:sup>
              <m:r>
                <m:rPr>
                  <m:sty m:val="p"/>
                </m:rPr>
                <m:t>−</m:t>
              </m:r>
            </m:sup>
          </m:sSup>
          <m:r>
            <m:rPr>
              <m:sty m:val="p"/>
            </m:rPr>
            <m:t>×</m:t>
          </m:r>
          <m:r>
            <m:t>M</m:t>
          </m:r>
          <m:r>
            <m:t>A</m:t>
          </m:r>
          <m:r>
            <m:rPr>
              <m:sty m:val="p"/>
            </m:rPr>
            <m:t>+</m:t>
          </m:r>
          <m:r>
            <m:t>ϕ</m:t>
          </m:r>
          <m:r>
            <m:t> </m:t>
          </m:r>
          <m:r>
            <m:t>M</m:t>
          </m:r>
          <m:r>
            <m:t>A</m:t>
          </m:r>
          <m:r>
            <m:t>T</m:t>
          </m:r>
          <m:r>
            <m:rPr>
              <m:sty m:val="p"/>
            </m:rPr>
            <m:t>+</m:t>
          </m:r>
          <m:sSub>
            <m:e>
              <m:r>
                <m:t>β</m:t>
              </m:r>
            </m:e>
            <m:sub>
              <m:r>
                <m:t>9</m:t>
              </m:r>
            </m:sub>
          </m:sSub>
          <m:r>
            <m:t> </m:t>
          </m:r>
          <m:r>
            <m:t>C</m:t>
          </m:r>
          <m:r>
            <m:t>S</m:t>
          </m:r>
          <m:sSup>
            <m:e>
              <m:r>
                <m:t>D</m:t>
              </m:r>
            </m:e>
            <m:sup>
              <m:r>
                <m:rPr>
                  <m:sty m:val="p"/>
                </m:rPr>
                <m:t>−</m:t>
              </m:r>
            </m:sup>
          </m:sSup>
          <m:r>
            <m:rPr>
              <m:sty m:val="p"/>
            </m:rPr>
            <m:t>×</m:t>
          </m:r>
          <m:r>
            <m:t>M</m:t>
          </m:r>
          <m:r>
            <m:t>A</m:t>
          </m:r>
          <m:r>
            <m:t>T</m:t>
          </m:r>
          <m:r>
            <m:rPr>
              <m:sty m:val="p"/>
            </m:rPr>
            <m:t>+</m:t>
          </m:r>
          <m:sSub>
            <m:e>
              <m:r>
                <m:t>β</m:t>
              </m:r>
            </m:e>
            <m:sub>
              <m:r>
                <m:t>10</m:t>
              </m:r>
            </m:sub>
          </m:sSub>
          <m:r>
            <m:t> </m:t>
          </m:r>
          <m:r>
            <m:t>M</m:t>
          </m:r>
          <m:r>
            <m:t>A</m:t>
          </m:r>
          <m:r>
            <m:rPr>
              <m:sty m:val="p"/>
            </m:rPr>
            <m:t>×</m:t>
          </m:r>
          <m:r>
            <m:t>M</m:t>
          </m:r>
          <m:r>
            <m:t>A</m:t>
          </m:r>
          <m:r>
            <m:t>T</m:t>
          </m:r>
          <m:r>
            <m:rPr>
              <m:sty m:val="p"/>
            </m:rPr>
            <m:t>+</m:t>
          </m:r>
          <m:sSub>
            <m:e>
              <m:r>
                <m:t>β</m:t>
              </m:r>
            </m:e>
            <m:sub>
              <m:r>
                <m:t>11</m:t>
              </m:r>
            </m:sub>
          </m:sSub>
          <m:r>
            <m:t> </m:t>
          </m:r>
          <m:r>
            <m:t>C</m:t>
          </m:r>
          <m:r>
            <m:t>S</m:t>
          </m:r>
          <m:sSup>
            <m:e>
              <m:r>
                <m:t>D</m:t>
              </m:r>
            </m:e>
            <m:sup>
              <m:r>
                <m:rPr>
                  <m:sty m:val="p"/>
                </m:rPr>
                <m:t>−</m:t>
              </m:r>
            </m:sup>
          </m:sSup>
          <m:r>
            <m:rPr>
              <m:sty m:val="p"/>
            </m:rPr>
            <m:t>×</m:t>
          </m:r>
          <m:r>
            <m:t>M</m:t>
          </m:r>
          <m:r>
            <m:t>A</m:t>
          </m:r>
          <m:r>
            <m:rPr>
              <m:sty m:val="p"/>
            </m:rPr>
            <m:t>×</m:t>
          </m:r>
          <m:r>
            <m:t>M</m:t>
          </m:r>
          <m:r>
            <m:t>A</m:t>
          </m:r>
          <m:r>
            <m:t>T</m:t>
          </m:r>
          <m:r>
            <m:rPr>
              <m:sty m:val="p"/>
            </m:rPr>
            <m:t>+</m:t>
          </m:r>
          <m:r>
            <m:rPr>
              <m:sty m:val="p"/>
            </m:rPr>
            <m:t>…</m:t>
          </m:r>
          <m:r>
            <m:t>  </m:t>
          </m:r>
          <m:r>
            <m:rPr>
              <m:sty m:val="p"/>
            </m:rPr>
            <m:t>(</m:t>
          </m:r>
          <m:r>
            <m:t>12</m:t>
          </m:r>
          <m:r>
            <m:rPr>
              <m:sty m:val="p"/>
            </m:rPr>
            <m:t>)</m:t>
          </m:r>
        </m:oMath>
      </m:oMathPara>
    </w:p>
    <w:p>
      <w:pPr>
        <w:pStyle w:val="FirstParagraph"/>
      </w:pPr>
      <w:r>
        <w:t xml:space="preserve">H3b predicts β₈ &lt; 0 (higher ability reduces over-investment from under-leverage) and β₁₁ &lt; 0 (the reduction is stronger in maturity).</w:t>
      </w:r>
    </w:p>
    <w:bookmarkEnd w:id="17"/>
    <w:bookmarkStart w:id="18" w:name="summary-of-predictions"/>
    <w:p>
      <w:pPr>
        <w:pStyle w:val="Heading3"/>
      </w:pPr>
      <w:r>
        <w:t xml:space="preserve">3.7.4 Summary of predictions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Hypothesis</w:t>
            </w:r>
          </w:p>
        </w:tc>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Coefficient</w:t>
            </w:r>
          </w:p>
        </w:tc>
        <w:tc>
          <w:tcPr>
            <w:shd w:val="clear" w:color="auto" w:fill="E8ECF3"/>
          </w:tcPr>
          <w:p>
            <w:pPr>
              <w:pStyle w:val="Compact"/>
            </w:pPr>
            <w:r>
              <w:rPr>
                <w:b/>
                <w:sz w:val="19"/>
              </w:rPr>
              <w:t xml:space="preserve">Predicted sign</w:t>
            </w:r>
          </w:p>
        </w:tc>
      </w:tr>
      <w:tr>
        <w:tc>
          <w:tcPr/>
          <w:p>
            <w:pPr>
              <w:pStyle w:val="Compact"/>
            </w:pPr>
            <w:r>
              <w:rPr>
                <w:sz w:val="19"/>
              </w:rPr>
              <w:t xml:space="preserve">H1a</w:t>
            </w:r>
          </w:p>
        </w:tc>
        <w:tc>
          <w:tcPr/>
          <w:p>
            <w:pPr>
              <w:pStyle w:val="Compact"/>
            </w:pPr>
            <w:r>
              <w:rPr>
                <w:sz w:val="19"/>
              </w:rPr>
              <w:t xml:space="preserve">(6a)</w:t>
            </w:r>
          </w:p>
        </w:tc>
        <w:tc>
          <w:tcPr/>
          <w:p>
            <w:pPr>
              <w:pStyle w:val="Compact"/>
            </w:pPr>
            <w:r>
              <w:rPr>
                <w:sz w:val="19"/>
              </w:rPr>
              <w:t xml:space="preserve">β₁: CSD⁺</w:t>
            </w:r>
          </w:p>
        </w:tc>
        <w:tc>
          <w:tcPr/>
          <w:p>
            <w:pPr>
              <w:pStyle w:val="Compact"/>
            </w:pPr>
            <w:r>
              <w:rPr>
                <w:sz w:val="19"/>
              </w:rPr>
              <w:t xml:space="preserve">−</w:t>
            </w:r>
          </w:p>
        </w:tc>
      </w:tr>
      <w:tr>
        <w:tc>
          <w:tcPr/>
          <w:p>
            <w:pPr>
              <w:pStyle w:val="Compact"/>
            </w:pPr>
            <w:r>
              <w:rPr>
                <w:sz w:val="19"/>
              </w:rPr>
              <w:t xml:space="preserve">H1b</w:t>
            </w:r>
          </w:p>
        </w:tc>
        <w:tc>
          <w:tcPr/>
          <w:p>
            <w:pPr>
              <w:pStyle w:val="Compact"/>
            </w:pPr>
            <w:r>
              <w:rPr>
                <w:sz w:val="19"/>
              </w:rPr>
              <w:t xml:space="preserve">(6b)</w:t>
            </w:r>
          </w:p>
        </w:tc>
        <w:tc>
          <w:tcPr/>
          <w:p>
            <w:pPr>
              <w:pStyle w:val="Compact"/>
            </w:pPr>
            <w:r>
              <w:rPr>
                <w:sz w:val="19"/>
              </w:rPr>
              <w:t xml:space="preserve">β₂: CSD⁻</w:t>
            </w:r>
          </w:p>
        </w:tc>
        <w:tc>
          <w:tcPr/>
          <w:p>
            <w:pPr>
              <w:pStyle w:val="Compact"/>
            </w:pPr>
            <w:r>
              <w:rPr>
                <w:sz w:val="19"/>
              </w:rPr>
              <w:t xml:space="preserve">+</w:t>
            </w:r>
          </w:p>
        </w:tc>
      </w:tr>
      <w:tr>
        <w:tc>
          <w:tcPr/>
          <w:p>
            <w:pPr>
              <w:pStyle w:val="Compact"/>
            </w:pPr>
            <w:r>
              <w:rPr>
                <w:sz w:val="19"/>
              </w:rPr>
              <w:t xml:space="preserve">Asymmetry</w:t>
            </w:r>
          </w:p>
        </w:tc>
        <w:tc>
          <w:tcPr/>
          <w:p>
            <w:pPr>
              <w:pStyle w:val="Compact"/>
            </w:pPr>
            <w:r>
              <w:rPr>
                <w:sz w:val="19"/>
              </w:rPr>
              <w:t xml:space="preserve">(6)</w:t>
            </w:r>
          </w:p>
        </w:tc>
        <w:tc>
          <w:tcPr/>
          <w:p>
            <w:pPr>
              <w:pStyle w:val="Compact"/>
            </w:pPr>
            <w:r>
              <w:rPr>
                <w:sz w:val="19"/>
              </w:rPr>
              <w:t xml:space="preserve">β₁ + β₂</w:t>
            </w:r>
          </w:p>
        </w:tc>
        <w:tc>
          <w:tcPr/>
          <w:p>
            <w:pPr>
              <w:pStyle w:val="Compact"/>
            </w:pPr>
            <w:r>
              <w:rPr>
                <w:sz w:val="19"/>
              </w:rPr>
              <w:t xml:space="preserve">≠ 0</w:t>
            </w:r>
          </w:p>
        </w:tc>
      </w:tr>
      <w:tr>
        <w:tc>
          <w:tcPr/>
          <w:p>
            <w:pPr>
              <w:pStyle w:val="Compact"/>
            </w:pPr>
            <w:r>
              <w:rPr>
                <w:sz w:val="19"/>
              </w:rPr>
              <w:t xml:space="preserve">H2a</w:t>
            </w:r>
          </w:p>
        </w:tc>
        <w:tc>
          <w:tcPr/>
          <w:p>
            <w:pPr>
              <w:pStyle w:val="Compact"/>
            </w:pPr>
            <w:r>
              <w:rPr>
                <w:sz w:val="19"/>
              </w:rPr>
              <w:t xml:space="preserve">(7)</w:t>
            </w:r>
          </w:p>
        </w:tc>
        <w:tc>
          <w:tcPr/>
          <w:p>
            <w:pPr>
              <w:pStyle w:val="Compact"/>
            </w:pPr>
            <w:r>
              <w:rPr>
                <w:sz w:val="19"/>
              </w:rPr>
              <w:t xml:space="preserve">β₃: CSD⁺ × GROW; β₄: CSD⁺ × DEC</w:t>
            </w:r>
          </w:p>
        </w:tc>
        <w:tc>
          <w:tcPr/>
          <w:p>
            <w:pPr>
              <w:pStyle w:val="Compact"/>
            </w:pPr>
            <w:r>
              <w:rPr>
                <w:sz w:val="19"/>
              </w:rPr>
              <w:t xml:space="preserve">−; −</w:t>
            </w:r>
          </w:p>
        </w:tc>
      </w:tr>
      <w:tr>
        <w:tc>
          <w:tcPr/>
          <w:p>
            <w:pPr>
              <w:pStyle w:val="Compact"/>
            </w:pPr>
            <w:r>
              <w:rPr>
                <w:sz w:val="19"/>
              </w:rPr>
              <w:t xml:space="preserve">H2b</w:t>
            </w:r>
          </w:p>
        </w:tc>
        <w:tc>
          <w:tcPr/>
          <w:p>
            <w:pPr>
              <w:pStyle w:val="Compact"/>
            </w:pPr>
            <w:r>
              <w:rPr>
                <w:sz w:val="19"/>
              </w:rPr>
              <w:t xml:space="preserve">(8)</w:t>
            </w:r>
          </w:p>
        </w:tc>
        <w:tc>
          <w:tcPr/>
          <w:p>
            <w:pPr>
              <w:pStyle w:val="Compact"/>
            </w:pPr>
            <w:r>
              <w:rPr>
                <w:sz w:val="19"/>
              </w:rPr>
              <w:t xml:space="preserve">β₅: CSD⁻ × MAT</w:t>
            </w:r>
          </w:p>
        </w:tc>
        <w:tc>
          <w:tcPr/>
          <w:p>
            <w:pPr>
              <w:pStyle w:val="Compact"/>
            </w:pPr>
            <w:r>
              <w:rPr>
                <w:sz w:val="19"/>
              </w:rPr>
              <w:t xml:space="preserve">+</w:t>
            </w:r>
          </w:p>
        </w:tc>
      </w:tr>
      <w:tr>
        <w:tc>
          <w:tcPr/>
          <w:p>
            <w:pPr>
              <w:pStyle w:val="Compact"/>
            </w:pPr>
            <w:r>
              <w:rPr>
                <w:sz w:val="19"/>
              </w:rPr>
              <w:t xml:space="preserve">H3a</w:t>
            </w:r>
          </w:p>
        </w:tc>
        <w:tc>
          <w:tcPr/>
          <w:p>
            <w:pPr>
              <w:pStyle w:val="Compact"/>
            </w:pPr>
            <w:r>
              <w:rPr>
                <w:sz w:val="19"/>
              </w:rPr>
              <w:t xml:space="preserve">(9), (10)</w:t>
            </w:r>
          </w:p>
        </w:tc>
        <w:tc>
          <w:tcPr/>
          <w:p>
            <w:pPr>
              <w:pStyle w:val="Compact"/>
            </w:pPr>
            <w:r>
              <w:rPr>
                <w:sz w:val="19"/>
              </w:rPr>
              <w:t xml:space="preserve">β₄: CSD⁺ × MA; β₇: CSD⁺ × MA × GD</w:t>
            </w:r>
          </w:p>
        </w:tc>
        <w:tc>
          <w:tcPr/>
          <w:p>
            <w:pPr>
              <w:pStyle w:val="Compact"/>
            </w:pPr>
            <w:r>
              <w:rPr>
                <w:sz w:val="19"/>
              </w:rPr>
              <w:t xml:space="preserve">+; +</w:t>
            </w:r>
          </w:p>
        </w:tc>
      </w:tr>
      <w:tr>
        <w:tc>
          <w:tcPr/>
          <w:p>
            <w:pPr>
              <w:pStyle w:val="Compact"/>
            </w:pPr>
            <w:r>
              <w:rPr>
                <w:sz w:val="19"/>
              </w:rPr>
              <w:t xml:space="preserve">H3b</w:t>
            </w:r>
          </w:p>
        </w:tc>
        <w:tc>
          <w:tcPr/>
          <w:p>
            <w:pPr>
              <w:pStyle w:val="Compact"/>
            </w:pPr>
            <w:r>
              <w:rPr>
                <w:sz w:val="19"/>
              </w:rPr>
              <w:t xml:space="preserve">(11), (12)</w:t>
            </w:r>
          </w:p>
        </w:tc>
        <w:tc>
          <w:tcPr/>
          <w:p>
            <w:pPr>
              <w:pStyle w:val="Compact"/>
            </w:pPr>
            <w:r>
              <w:rPr>
                <w:sz w:val="19"/>
              </w:rPr>
              <w:t xml:space="preserve">β₈: CSD⁻ × MA; β₁₁: CSD⁻ × MA × MAT</w:t>
            </w:r>
          </w:p>
        </w:tc>
        <w:tc>
          <w:tcPr/>
          <w:p>
            <w:pPr>
              <w:pStyle w:val="Compact"/>
            </w:pPr>
            <w:r>
              <w:rPr>
                <w:sz w:val="19"/>
              </w:rPr>
              <w:t xml:space="preserve">−; −</w:t>
            </w:r>
          </w:p>
        </w:tc>
      </w:tr>
    </w:tbl>
    <w:p>
      <w:pPr>
        <w:pStyle w:val="BodyText"/>
      </w:pPr>
      <w:r>
        <w:t xml:space="preserve">Stage differences are inferred only from the interaction terms above. As a descriptive complement, Eqs. (6), (9) and (11) are also estimated within each stage, but these subsample estimates are not used to test H2 or H3: a difference in significance between separate regressions is not a test of a difference in effects (Gelman &amp; Stern, 2006).</w:t>
      </w:r>
    </w:p>
    <w:bookmarkEnd w:id="18"/>
    <w:bookmarkEnd w:id="19"/>
    <w:bookmarkStart w:id="25" w:name="identification-and-estimation"/>
    <w:p>
      <w:pPr>
        <w:pStyle w:val="Heading2"/>
      </w:pPr>
      <w:r>
        <w:t xml:space="preserve">3.8 Identification and Estimation</w:t>
      </w:r>
    </w:p>
    <w:bookmarkStart w:id="20" w:name="sources-of-endogeneity"/>
    <w:p>
      <w:pPr>
        <w:pStyle w:val="Heading3"/>
      </w:pPr>
      <w:r>
        <w:t xml:space="preserve">3.8.1 Sources of endogeneity</w:t>
      </w:r>
    </w:p>
    <w:p>
      <w:pPr>
        <w:pStyle w:val="FirstParagraph"/>
      </w:pPr>
      <w:r>
        <w:t xml:space="preserve">Three sources of endogeneity make static panel estimators inconsistent in this setting (Wintoki, Linck &amp; Netter, 2012):</w:t>
      </w:r>
    </w:p>
    <w:p>
      <w:pPr>
        <w:pStyle w:val="Compact"/>
        <w:numPr>
          <w:ilvl w:val="0"/>
          <w:numId w:val="1004"/>
        </w:numPr>
      </w:pPr>
      <w:r>
        <w:rPr>
          <w:b/>
          <w:bCs/>
        </w:rPr>
        <w:t xml:space="preserve">Dynamic dependence.</w:t>
      </w:r>
      <w:r>
        <w:t xml:space="preserve"> </w:t>
      </w:r>
      <w:r>
        <w:t xml:space="preserve">Investment distortions persist, so InvEff</w:t>
      </w:r>
      <w:r>
        <w:rPr>
          <w:vertAlign w:val="subscript"/>
        </w:rPr>
        <w:t xml:space="preserve">t−1</w:t>
      </w:r>
      <w:r>
        <w:t xml:space="preserve"> </w:t>
      </w:r>
      <w:r>
        <w:t xml:space="preserve">belongs in the model. With a firm effect η</w:t>
      </w:r>
      <w:r>
        <w:rPr>
          <w:vertAlign w:val="subscript"/>
        </w:rPr>
        <w:t xml:space="preserve">i</w:t>
      </w:r>
      <w:r>
        <w:t xml:space="preserve">, pooled OLS biases γ₁ upward and the within estimator biases it downward; the within bias is of order 1/T (Nickell, 1981) and is not negligible with about nine effective years.</w:t>
      </w:r>
    </w:p>
    <w:p>
      <w:pPr>
        <w:pStyle w:val="Compact"/>
        <w:numPr>
          <w:ilvl w:val="0"/>
          <w:numId w:val="1004"/>
        </w:numPr>
      </w:pPr>
      <w:r>
        <w:rPr>
          <w:b/>
          <w:bCs/>
        </w:rPr>
        <w:t xml:space="preserve">Simultaneity.</w:t>
      </w:r>
      <w:r>
        <w:t xml:space="preserve"> </w:t>
      </w:r>
      <w:r>
        <w:t xml:space="preserve">Investment financed with new debt raises leverage in the same year, so CSD⁺ and CSD⁻ are jointly determined with InvEff. This mechanical link works against H1a and H1b.</w:t>
      </w:r>
    </w:p>
    <w:p>
      <w:pPr>
        <w:pStyle w:val="Compact"/>
        <w:numPr>
          <w:ilvl w:val="0"/>
          <w:numId w:val="1004"/>
        </w:numPr>
      </w:pPr>
      <w:r>
        <w:rPr>
          <w:b/>
          <w:bCs/>
        </w:rPr>
        <w:t xml:space="preserve">Unobserved heterogeneity and measurement error.</w:t>
      </w:r>
      <w:r>
        <w:t xml:space="preserve"> </w:t>
      </w:r>
      <w:r>
        <w:t xml:space="preserve">MA is constructed from same-year sales efficiency, and both MA and CSDev are estimated regressors.</w:t>
      </w:r>
    </w:p>
    <w:bookmarkEnd w:id="20"/>
    <w:bookmarkStart w:id="21" w:name="two-step-system-gmm"/>
    <w:p>
      <w:pPr>
        <w:pStyle w:val="Heading3"/>
      </w:pPr>
      <w:r>
        <w:t xml:space="preserve">3.8.2 Two-step System GMM</w:t>
      </w:r>
    </w:p>
    <w:p>
      <w:pPr>
        <w:pStyle w:val="FirstParagraph"/>
      </w:pPr>
      <w:r>
        <w:t xml:space="preserve">Eqs. (6)–(12) are estimated with the two-step System GMM estimator (Arellano &amp; Bover, 1995; Blundell &amp; Bond, 1998), implemented with xtabond2 (Roodman, 2009b). Standard errors use the Windmeijer (2005) finite-sample correction. System GMM stacks the first-differenced equation, which removes η</w:t>
      </w:r>
      <w:r>
        <w:rPr>
          <w:vertAlign w:val="subscript"/>
        </w:rPr>
        <w:t xml:space="preserve">i</w:t>
      </w:r>
      <w:r>
        <w:t xml:space="preserve"> </w:t>
      </w:r>
      <w:r>
        <w:t xml:space="preserve">and is instrumented with lagged levels, and the levels equation, instrumented with lagged first differences. The levels equation is valid if changes in the instruments are uncorrelated with the firm effect. It adds information that is valuable when the series are persistent and the panel is short, in which case lagged levels are weak instruments for first differences (Blundell &amp; Bond, 1998).</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Regressor</w:t>
            </w:r>
          </w:p>
        </w:tc>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Differenced equation: GMM-style instruments</w:t>
            </w:r>
          </w:p>
        </w:tc>
        <w:tc>
          <w:tcPr>
            <w:shd w:val="clear" w:color="auto" w:fill="E8ECF3"/>
          </w:tcPr>
          <w:p>
            <w:pPr>
              <w:pStyle w:val="Compact"/>
            </w:pPr>
            <w:r>
              <w:rPr>
                <w:b/>
                <w:sz w:val="19"/>
              </w:rPr>
              <w:t xml:space="preserve">Levels equation: instruments</w:t>
            </w:r>
          </w:p>
        </w:tc>
      </w:tr>
      <w:tr>
        <w:tc>
          <w:tcPr/>
          <w:p>
            <w:pPr>
              <w:pStyle w:val="Compact"/>
            </w:pPr>
            <w:r>
              <w:rPr>
                <w:sz w:val="19"/>
              </w:rPr>
              <w:t xml:space="preserve">InvEff</w:t>
            </w:r>
            <w:r>
              <w:rPr>
                <w:sz w:val="19"/>
                <w:vertAlign w:val="subscript"/>
              </w:rPr>
              <w:t xml:space="preserve">t−1</w:t>
            </w:r>
          </w:p>
        </w:tc>
        <w:tc>
          <w:tcPr/>
          <w:p>
            <w:pPr>
              <w:pStyle w:val="Compact"/>
            </w:pPr>
            <w:r>
              <w:rPr>
                <w:sz w:val="19"/>
              </w:rPr>
              <w:t xml:space="preserve">Endogenous</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CSD⁺, CSD⁻, UNDER, OVER, MA</w:t>
            </w:r>
          </w:p>
        </w:tc>
        <w:tc>
          <w:tcPr/>
          <w:p>
            <w:pPr>
              <w:pStyle w:val="Compact"/>
            </w:pPr>
            <w:r>
              <w:rPr>
                <w:sz w:val="19"/>
              </w:rPr>
              <w:t xml:space="preserve">Endogenous</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Products with CSD⁺, CSD⁻ or MA</w:t>
            </w:r>
          </w:p>
        </w:tc>
        <w:tc>
          <w:tcPr/>
          <w:p>
            <w:pPr>
              <w:pStyle w:val="Compact"/>
            </w:pPr>
            <w:r>
              <w:rPr>
                <w:sz w:val="19"/>
              </w:rPr>
              <w:t xml:space="preserve">Endogenous; instrumented by lags of the product itself</w:t>
            </w:r>
          </w:p>
        </w:tc>
        <w:tc>
          <w:tcPr/>
          <w:p>
            <w:pPr>
              <w:pStyle w:val="Compact"/>
            </w:pPr>
            <w:r>
              <w:rPr>
                <w:sz w:val="19"/>
              </w:rPr>
              <w:t xml:space="preserve">Levels at t−2 and t−3</w:t>
            </w:r>
          </w:p>
        </w:tc>
        <w:tc>
          <w:tcPr/>
          <w:p>
            <w:pPr>
              <w:pStyle w:val="Compact"/>
            </w:pPr>
            <w:r>
              <w:rPr>
                <w:sz w:val="19"/>
              </w:rPr>
              <w:t xml:space="preserve">Δ at t−1</w:t>
            </w:r>
          </w:p>
        </w:tc>
      </w:tr>
      <w:tr>
        <w:tc>
          <w:tcPr/>
          <w:p>
            <w:pPr>
              <w:pStyle w:val="Compact"/>
            </w:pPr>
            <w:r>
              <w:rPr>
                <w:sz w:val="19"/>
              </w:rPr>
              <w:t xml:space="preserve">Stage indicators (t−1)</w:t>
            </w:r>
          </w:p>
        </w:tc>
        <w:tc>
          <w:tcPr/>
          <w:p>
            <w:pPr>
              <w:pStyle w:val="Compact"/>
            </w:pPr>
            <w:r>
              <w:rPr>
                <w:sz w:val="19"/>
              </w:rPr>
              <w:t xml:space="preserve">Predetermined</w:t>
            </w:r>
          </w:p>
        </w:tc>
        <w:tc>
          <w:tcPr/>
          <w:p>
            <w:pPr>
              <w:pStyle w:val="Compact"/>
            </w:pPr>
            <w:r>
              <w:rPr>
                <w:sz w:val="19"/>
              </w:rPr>
              <w:t xml:space="preserve">Levels at t−1 and t−2</w:t>
            </w:r>
          </w:p>
        </w:tc>
        <w:tc>
          <w:tcPr/>
          <w:p>
            <w:pPr>
              <w:pStyle w:val="Compact"/>
            </w:pPr>
            <w:r>
              <w:rPr>
                <w:sz w:val="19"/>
              </w:rPr>
              <w:t xml:space="preserve">Δ at t</w:t>
            </w:r>
          </w:p>
        </w:tc>
      </w:tr>
      <w:tr>
        <w:tc>
          <w:tcPr/>
          <w:p>
            <w:pPr>
              <w:pStyle w:val="Compact"/>
            </w:pPr>
            <w:r>
              <w:rPr>
                <w:sz w:val="19"/>
              </w:rPr>
              <w:t xml:space="preserve">LTA, MTB, PROFIT, FCF</w:t>
            </w:r>
          </w:p>
        </w:tc>
        <w:tc>
          <w:tcPr/>
          <w:p>
            <w:pPr>
              <w:pStyle w:val="Compact"/>
            </w:pPr>
            <w:r>
              <w:rPr>
                <w:sz w:val="19"/>
              </w:rPr>
              <w:t xml:space="preserve">Predetermined</w:t>
            </w:r>
          </w:p>
        </w:tc>
        <w:tc>
          <w:tcPr/>
          <w:p>
            <w:pPr>
              <w:pStyle w:val="Compact"/>
            </w:pPr>
            <w:r>
              <w:rPr>
                <w:sz w:val="19"/>
              </w:rPr>
              <w:t xml:space="preserve">Levels at t−1 and t−2</w:t>
            </w:r>
          </w:p>
        </w:tc>
        <w:tc>
          <w:tcPr/>
          <w:p>
            <w:pPr>
              <w:pStyle w:val="Compact"/>
            </w:pPr>
            <w:r>
              <w:rPr>
                <w:sz w:val="19"/>
              </w:rPr>
              <w:t xml:space="preserve">Δ at t</w:t>
            </w:r>
          </w:p>
        </w:tc>
      </w:tr>
      <w:tr>
        <w:tc>
          <w:tcPr/>
          <w:p>
            <w:pPr>
              <w:pStyle w:val="Compact"/>
            </w:pPr>
            <w:r>
              <w:rPr>
                <w:sz w:val="19"/>
              </w:rPr>
              <w:t xml:space="preserve">Year dummies</w:t>
            </w:r>
          </w:p>
        </w:tc>
        <w:tc>
          <w:tcPr/>
          <w:p>
            <w:pPr>
              <w:pStyle w:val="Compact"/>
            </w:pPr>
            <w:r>
              <w:rPr>
                <w:sz w:val="19"/>
              </w:rPr>
              <w:t xml:space="preserve">Strictly exogenous</w:t>
            </w:r>
          </w:p>
        </w:tc>
        <w:tc>
          <w:tcPr/>
          <w:p>
            <w:pPr>
              <w:pStyle w:val="Compact"/>
            </w:pPr>
            <w:r>
              <w:rPr>
                <w:sz w:val="19"/>
              </w:rPr>
              <w:t xml:space="preserve">IV-style</w:t>
            </w:r>
          </w:p>
        </w:tc>
        <w:tc>
          <w:tcPr/>
          <w:p>
            <w:pPr>
              <w:pStyle w:val="Compact"/>
            </w:pPr>
            <w:r>
              <w:rPr>
                <w:sz w:val="19"/>
              </w:rPr>
              <w:t xml:space="preserve">IV-style</w:t>
            </w:r>
          </w:p>
        </w:tc>
      </w:tr>
      <w:tr>
        <w:tc>
          <w:tcPr/>
          <w:p>
            <w:pPr>
              <w:pStyle w:val="Compact"/>
            </w:pPr>
            <w:r>
              <w:rPr>
                <w:sz w:val="19"/>
              </w:rPr>
              <w:t xml:space="preserve">Industry dummies, ln(Age)</w:t>
            </w:r>
          </w:p>
        </w:tc>
        <w:tc>
          <w:tcPr/>
          <w:p>
            <w:pPr>
              <w:pStyle w:val="Compact"/>
            </w:pPr>
            <w:r>
              <w:rPr>
                <w:sz w:val="19"/>
              </w:rPr>
              <w:t xml:space="preserve">Time-invariant / deterministic trend</w:t>
            </w:r>
          </w:p>
        </w:tc>
        <w:tc>
          <w:tcPr/>
          <w:p>
            <w:pPr>
              <w:pStyle w:val="Compact"/>
            </w:pPr>
            <w:r>
              <w:rPr>
                <w:sz w:val="19"/>
              </w:rPr>
              <w:t xml:space="preserve">Not used</w:t>
            </w:r>
          </w:p>
        </w:tc>
        <w:tc>
          <w:tcPr/>
          <w:p>
            <w:pPr>
              <w:pStyle w:val="Compact"/>
            </w:pPr>
            <w:r>
              <w:rPr>
                <w:sz w:val="19"/>
              </w:rPr>
              <w:t xml:space="preserve">IV-style, levels only</w:t>
            </w:r>
          </w:p>
        </w:tc>
      </w:tr>
    </w:tbl>
    <w:p>
      <w:pPr>
        <w:pStyle w:val="BodyText"/>
      </w:pPr>
      <w:r>
        <w:t xml:space="preserve">The instrument matrix is collapsed and lag depth is restricted to two, so that the instrument count stays below the 299 cross-sectional units. Instrument proliferation overfits the endogenous regressors and weakens the Hansen test (Roodman, 2009a). The instrument count is reported for every model.</w:t>
      </w:r>
    </w:p>
    <w:bookmarkEnd w:id="21"/>
    <w:bookmarkStart w:id="22" w:name="year-and-industry-effects"/>
    <w:p>
      <w:pPr>
        <w:pStyle w:val="Heading3"/>
      </w:pPr>
      <w:r>
        <w:t xml:space="preserve">3.8.3 Year and industry effects</w:t>
      </w:r>
    </w:p>
    <w:p>
      <w:pPr>
        <w:pStyle w:val="FirstParagraph"/>
      </w:pPr>
      <w:r>
        <w:t xml:space="preserve">Year and industry effects enter every equation in which they are identified:</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Year effects</w:t>
            </w:r>
          </w:p>
        </w:tc>
        <w:tc>
          <w:tcPr>
            <w:shd w:val="clear" w:color="auto" w:fill="E8ECF3"/>
          </w:tcPr>
          <w:p>
            <w:pPr>
              <w:pStyle w:val="Compact"/>
            </w:pPr>
            <w:r>
              <w:rPr>
                <w:b/>
                <w:sz w:val="19"/>
              </w:rPr>
              <w:t xml:space="preserve">Industry effects</w:t>
            </w:r>
          </w:p>
        </w:tc>
      </w:tr>
      <w:tr>
        <w:tc>
          <w:tcPr/>
          <w:p>
            <w:pPr>
              <w:pStyle w:val="Compact"/>
            </w:pPr>
            <w:r>
              <w:rPr>
                <w:sz w:val="19"/>
              </w:rPr>
              <w:t xml:space="preserve">Expectation model, Eq. (1)</w:t>
            </w:r>
          </w:p>
        </w:tc>
        <w:tc>
          <w:tcPr/>
          <w:p>
            <w:pPr>
              <w:pStyle w:val="Compact"/>
            </w:pPr>
            <w:r>
              <w:rPr>
                <w:sz w:val="19"/>
              </w:rPr>
              <w:t xml:space="preserve">Absorbed: separate estimation for each industry-year</w:t>
            </w:r>
          </w:p>
        </w:tc>
        <w:tc>
          <w:tcPr/>
          <w:p>
            <w:pPr>
              <w:pStyle w:val="Compact"/>
            </w:pPr>
            <w:r>
              <w:rPr>
                <w:sz w:val="19"/>
              </w:rPr>
              <w:t xml:space="preserve">Absorbed: separate estimation for each industry-year</w:t>
            </w:r>
          </w:p>
        </w:tc>
      </w:tr>
      <w:tr>
        <w:tc>
          <w:tcPr/>
          <w:p>
            <w:pPr>
              <w:pStyle w:val="Compact"/>
            </w:pPr>
            <w:r>
              <w:rPr>
                <w:sz w:val="19"/>
              </w:rPr>
              <w:t xml:space="preserve">Target leverage, Eq. (2)</w:t>
            </w:r>
          </w:p>
        </w:tc>
        <w:tc>
          <w:tcPr/>
          <w:p>
            <w:pPr>
              <w:pStyle w:val="Compact"/>
            </w:pPr>
            <w:r>
              <w:rPr>
                <w:sz w:val="19"/>
              </w:rPr>
              <w:t xml:space="preserve">Captured by INF (year dummies would absorb INF)</w:t>
            </w:r>
          </w:p>
        </w:tc>
        <w:tc>
          <w:tcPr/>
          <w:p>
            <w:pPr>
              <w:pStyle w:val="Compact"/>
            </w:pPr>
            <w:r>
              <w:rPr>
                <w:sz w:val="19"/>
              </w:rPr>
              <w:t xml:space="preserve">Industry dummies</w:t>
            </w:r>
          </w:p>
        </w:tc>
      </w:tr>
      <w:tr>
        <w:tc>
          <w:tcPr/>
          <w:p>
            <w:pPr>
              <w:pStyle w:val="Compact"/>
            </w:pPr>
            <w:r>
              <w:rPr>
                <w:sz w:val="19"/>
              </w:rPr>
              <w:t xml:space="preserve">DEA frontier</w:t>
            </w:r>
          </w:p>
        </w:tc>
        <w:tc>
          <w:tcPr/>
          <w:p>
            <w:pPr>
              <w:pStyle w:val="Compact"/>
            </w:pPr>
            <w:r>
              <w:rPr>
                <w:sz w:val="19"/>
              </w:rPr>
              <w:t xml:space="preserve">Frontier per industry-year</w:t>
            </w:r>
          </w:p>
        </w:tc>
        <w:tc>
          <w:tcPr/>
          <w:p>
            <w:pPr>
              <w:pStyle w:val="Compact"/>
            </w:pPr>
            <w:r>
              <w:rPr>
                <w:sz w:val="19"/>
              </w:rPr>
              <w:t xml:space="preserve">Frontier per industry-year</w:t>
            </w:r>
          </w:p>
        </w:tc>
      </w:tr>
      <w:tr>
        <w:tc>
          <w:tcPr/>
          <w:p>
            <w:pPr>
              <w:pStyle w:val="Compact"/>
            </w:pPr>
            <w:r>
              <w:rPr>
                <w:sz w:val="19"/>
              </w:rPr>
              <w:t xml:space="preserve">Tobit, Eq. (5)</w:t>
            </w:r>
          </w:p>
        </w:tc>
        <w:tc>
          <w:tcPr/>
          <w:p>
            <w:pPr>
              <w:pStyle w:val="Compact"/>
            </w:pPr>
            <w:r>
              <w:rPr>
                <w:sz w:val="19"/>
              </w:rPr>
              <w:t xml:space="preserve">Year dummies</w:t>
            </w:r>
          </w:p>
        </w:tc>
        <w:tc>
          <w:tcPr/>
          <w:p>
            <w:pPr>
              <w:pStyle w:val="Compact"/>
            </w:pPr>
            <w:r>
              <w:rPr>
                <w:sz w:val="19"/>
              </w:rPr>
              <w:t xml:space="preserve">Industry dummies</w:t>
            </w:r>
          </w:p>
        </w:tc>
      </w:tr>
      <w:tr>
        <w:tc>
          <w:tcPr/>
          <w:p>
            <w:pPr>
              <w:pStyle w:val="Compact"/>
            </w:pPr>
            <w:r>
              <w:rPr>
                <w:sz w:val="19"/>
              </w:rPr>
              <w:t xml:space="preserve">GMM models, Eqs. (6)–(12)</w:t>
            </w:r>
          </w:p>
        </w:tc>
        <w:tc>
          <w:tcPr/>
          <w:p>
            <w:pPr>
              <w:pStyle w:val="Compact"/>
            </w:pPr>
            <w:r>
              <w:rPr>
                <w:sz w:val="19"/>
              </w:rPr>
              <w:t xml:space="preserve">Year dummies in both equations</w:t>
            </w:r>
          </w:p>
        </w:tc>
        <w:tc>
          <w:tcPr/>
          <w:p>
            <w:pPr>
              <w:pStyle w:val="Compact"/>
            </w:pPr>
            <w:r>
              <w:rPr>
                <w:sz w:val="19"/>
              </w:rPr>
              <w:t xml:space="preserve">Industry dummies in the levels equation only</w:t>
            </w:r>
          </w:p>
        </w:tc>
      </w:tr>
    </w:tbl>
    <w:p>
      <w:pPr>
        <w:pStyle w:val="BodyText"/>
      </w:pPr>
      <w:r>
        <w:t xml:space="preserve">In the GMM models, year dummies absorb shocks common to all TSE firms, such as currency devaluations, sanctions and policy-rate changes. Without them, these shocks enter the error term as cross-sectional correlation, which invalidates the autocorrelation tests (Roodman, 2009b). Industry dummies are time-invariant: first-differencing removes them, so they enter only the levels equation. Industry × year dummies are not used because they would add more than a hundred instruments.</w:t>
      </w:r>
    </w:p>
    <w:bookmarkEnd w:id="22"/>
    <w:bookmarkStart w:id="23" w:name="specification-tests"/>
    <w:p>
      <w:pPr>
        <w:pStyle w:val="Heading3"/>
      </w:pPr>
      <w:r>
        <w:t xml:space="preserve">3.8.4 Specification tests</w:t>
      </w:r>
    </w:p>
    <w:p>
      <w:pPr>
        <w:pStyle w:val="FirstParagraph"/>
      </w:pPr>
      <w:r>
        <w:t xml:space="preserve">Every GMM model reports the following:</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Requirement</w:t>
            </w:r>
          </w:p>
        </w:tc>
      </w:tr>
      <w:tr>
        <w:tc>
          <w:tcPr/>
          <w:p>
            <w:pPr>
              <w:pStyle w:val="Compact"/>
            </w:pPr>
            <w:r>
              <w:rPr>
                <w:sz w:val="19"/>
              </w:rPr>
              <w:t xml:space="preserve">Arellano–Bond AR(1) in first differences</w:t>
            </w:r>
          </w:p>
        </w:tc>
        <w:tc>
          <w:tcPr/>
          <w:p>
            <w:pPr>
              <w:pStyle w:val="Compact"/>
            </w:pPr>
            <w:r>
              <w:rPr>
                <w:sz w:val="19"/>
              </w:rPr>
              <w:t xml:space="preserve">Rejected (expected by construction)</w:t>
            </w:r>
          </w:p>
        </w:tc>
      </w:tr>
      <w:tr>
        <w:tc>
          <w:tcPr/>
          <w:p>
            <w:pPr>
              <w:pStyle w:val="Compact"/>
            </w:pPr>
            <w:r>
              <w:rPr>
                <w:sz w:val="19"/>
              </w:rPr>
              <w:t xml:space="preserve">Arellano–Bond AR(2) in first differences</w:t>
            </w:r>
          </w:p>
        </w:tc>
        <w:tc>
          <w:tcPr/>
          <w:p>
            <w:pPr>
              <w:pStyle w:val="Compact"/>
            </w:pPr>
            <w:r>
              <w:rPr>
                <w:sz w:val="19"/>
              </w:rPr>
              <w:t xml:space="preserve">Not rejected (p &gt; 0.10)</w:t>
            </w:r>
          </w:p>
        </w:tc>
      </w:tr>
      <w:tr>
        <w:tc>
          <w:tcPr/>
          <w:p>
            <w:pPr>
              <w:pStyle w:val="Compact"/>
            </w:pPr>
            <w:r>
              <w:rPr>
                <w:sz w:val="19"/>
              </w:rPr>
              <w:t xml:space="preserve">Hansen J test of over-identifying restrictions</w:t>
            </w:r>
          </w:p>
        </w:tc>
        <w:tc>
          <w:tcPr/>
          <w:p>
            <w:pPr>
              <w:pStyle w:val="Compact"/>
            </w:pPr>
            <w:r>
              <w:rPr>
                <w:sz w:val="19"/>
              </w:rPr>
              <w:t xml:space="preserve">Not rejected (p &gt; 0.10) and not implausibly close to 1</w:t>
            </w:r>
          </w:p>
        </w:tc>
      </w:tr>
      <w:tr>
        <w:tc>
          <w:tcPr/>
          <w:p>
            <w:pPr>
              <w:pStyle w:val="Compact"/>
            </w:pPr>
            <w:r>
              <w:rPr>
                <w:sz w:val="19"/>
              </w:rPr>
              <w:t xml:space="preserve">Difference-in-Hansen test of the levels-equation instruments</w:t>
            </w:r>
          </w:p>
        </w:tc>
        <w:tc>
          <w:tcPr/>
          <w:p>
            <w:pPr>
              <w:pStyle w:val="Compact"/>
            </w:pPr>
            <w:r>
              <w:rPr>
                <w:sz w:val="19"/>
              </w:rPr>
              <w:t xml:space="preserve">Not rejected</w:t>
            </w:r>
          </w:p>
        </w:tc>
      </w:tr>
      <w:tr>
        <w:tc>
          <w:tcPr/>
          <w:p>
            <w:pPr>
              <w:pStyle w:val="Compact"/>
            </w:pPr>
            <w:r>
              <w:rPr>
                <w:sz w:val="19"/>
              </w:rPr>
              <w:t xml:space="preserve">Instrument count</w:t>
            </w:r>
          </w:p>
        </w:tc>
        <w:tc>
          <w:tcPr/>
          <w:p>
            <w:pPr>
              <w:pStyle w:val="Compact"/>
            </w:pPr>
            <w:r>
              <w:rPr>
                <w:sz w:val="19"/>
              </w:rPr>
              <w:t xml:space="preserve">Below the number of firms</w:t>
            </w:r>
          </w:p>
        </w:tc>
      </w:tr>
      <w:tr>
        <w:tc>
          <w:tcPr/>
          <w:p>
            <w:pPr>
              <w:pStyle w:val="Compact"/>
            </w:pPr>
            <w:r>
              <w:rPr>
                <w:sz w:val="19"/>
              </w:rPr>
              <w:t xml:space="preserve">Bond (2002) bounds</w:t>
            </w:r>
          </w:p>
        </w:tc>
        <w:tc>
          <w:tcPr/>
          <w:p>
            <w:pPr>
              <w:pStyle w:val="Compact"/>
            </w:pPr>
            <w:r>
              <w:rPr>
                <w:sz w:val="19"/>
              </w:rPr>
              <w:t xml:space="preserve">γ̂₁ between the within and pooled-OLS estimates</w:t>
            </w:r>
          </w:p>
        </w:tc>
      </w:tr>
      <w:tr>
        <w:tc>
          <w:tcPr/>
          <w:p>
            <w:pPr>
              <w:pStyle w:val="Compact"/>
            </w:pPr>
            <w:r>
              <w:rPr>
                <w:sz w:val="19"/>
              </w:rPr>
              <w:t xml:space="preserve">Stability</w:t>
            </w:r>
          </w:p>
        </w:tc>
        <w:tc>
          <w:tcPr/>
          <w:p>
            <w:pPr>
              <w:pStyle w:val="Compact"/>
            </w:pPr>
            <w:r>
              <w:rPr>
                <w:sz w:val="19"/>
              </w:rPr>
              <w:t xml:space="preserve">|γ̂₁| &lt; 1</w:t>
            </w:r>
          </w:p>
        </w:tc>
      </w:tr>
    </w:tbl>
    <w:p>
      <w:pPr>
        <w:pStyle w:val="BodyText"/>
      </w:pPr>
      <w:r>
        <w:t xml:space="preserve">Static two-way fixed-effects estimates of every model, with firm-clustered standard errors, are reported alongside the GMM estimates for transparency.</w:t>
      </w:r>
    </w:p>
    <w:bookmarkEnd w:id="23"/>
    <w:bookmarkStart w:id="24" w:name="reverse-causality"/>
    <w:p>
      <w:pPr>
        <w:pStyle w:val="Heading3"/>
      </w:pPr>
      <w:r>
        <w:t xml:space="preserve">3.8.5 Reverse causality</w:t>
      </w:r>
    </w:p>
    <w:p>
      <w:pPr>
        <w:pStyle w:val="FirstParagraph"/>
      </w:pPr>
      <w:r>
        <w:t xml:space="preserve">If investment distortions move leverage away from target, rather than the reverse, the estimated β₁ and β₂ could reflect reverse causality. This is tested directly by reversing the roles of the two constructs: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sSub>
            <m:e>
              <m:r>
                <m:t>ρ</m:t>
              </m:r>
            </m:e>
            <m:sub>
              <m:r>
                <m:t>0</m:t>
              </m:r>
            </m:sub>
          </m:sSub>
          <m:r>
            <m:rPr>
              <m:sty m:val="p"/>
            </m:rPr>
            <m:t>+</m:t>
          </m:r>
          <m:sSub>
            <m:e>
              <m:r>
                <m:t>ρ</m:t>
              </m:r>
            </m:e>
            <m:sub>
              <m:r>
                <m:t>1</m:t>
              </m:r>
            </m:sub>
          </m:sSub>
          <m:r>
            <m:t>C</m:t>
          </m:r>
          <m:r>
            <m:t>S</m:t>
          </m:r>
          <m:r>
            <m:t>D</m:t>
          </m:r>
          <m:r>
            <m:t>e</m:t>
          </m:r>
          <m:sSub>
            <m:e>
              <m:r>
                <m:t>v</m:t>
              </m:r>
            </m:e>
            <m:sub>
              <m:r>
                <m:t>i</m:t>
              </m:r>
              <m:r>
                <m:rPr>
                  <m:sty m:val="p"/>
                </m:rPr>
                <m:t>,</m:t>
              </m:r>
              <m:r>
                <m:t>t</m:t>
              </m:r>
              <m:r>
                <m:rPr>
                  <m:sty m:val="p"/>
                </m:rPr>
                <m:t>−</m:t>
              </m:r>
              <m:r>
                <m:t>1</m:t>
              </m:r>
            </m:sub>
          </m:sSub>
          <m:r>
            <m:rPr>
              <m:sty m:val="p"/>
            </m:rPr>
            <m:t>+</m:t>
          </m:r>
          <m:r>
            <m:t>θ</m:t>
          </m:r>
          <m:r>
            <m:t> </m:t>
          </m:r>
          <m:r>
            <m:t>I</m:t>
          </m:r>
          <m:r>
            <m:t>n</m:t>
          </m:r>
          <m:r>
            <m:t>v</m:t>
          </m:r>
          <m:r>
            <m:t>E</m:t>
          </m:r>
          <m:r>
            <m:t>f</m:t>
          </m:r>
          <m:sSub>
            <m:e>
              <m:r>
                <m:t>f</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sub>
          </m:sSub>
          <m:r>
            <m:rPr>
              <m:sty m:val="p"/>
            </m:rPr>
            <m:t>+</m:t>
          </m:r>
          <m:sSub>
            <m:e>
              <m:r>
                <m:t>η</m:t>
              </m:r>
            </m:e>
            <m:sub>
              <m:r>
                <m:t>i</m:t>
              </m:r>
            </m:sub>
          </m:sSub>
          <m:r>
            <m:rPr>
              <m:sty m:val="p"/>
            </m:rPr>
            <m:t>+</m:t>
          </m:r>
          <m:sSub>
            <m:e>
              <m:r>
                <m:t>ν</m:t>
              </m:r>
            </m:e>
            <m:sub>
              <m:r>
                <m:t>t</m:t>
              </m:r>
            </m:sub>
          </m:sSub>
          <m:r>
            <m:rPr>
              <m:sty m:val="p"/>
            </m:rPr>
            <m:t>+</m:t>
          </m:r>
          <m:sSub>
            <m:e>
              <m:r>
                <m:t>ε</m:t>
              </m:r>
            </m:e>
            <m:sub>
              <m:r>
                <m:t>i</m:t>
              </m:r>
              <m:r>
                <m:rPr>
                  <m:sty m:val="p"/>
                </m:rPr>
                <m:t>,</m:t>
              </m:r>
              <m:r>
                <m:t>t</m:t>
              </m:r>
            </m:sub>
          </m:sSub>
          <m:r>
            <m:t>  </m:t>
          </m:r>
          <m:r>
            <m:rPr>
              <m:sty m:val="p"/>
            </m:rPr>
            <m:t>(</m:t>
          </m:r>
          <m:r>
            <m:t>13</m:t>
          </m:r>
          <m:r>
            <m:rPr>
              <m:sty m:val="p"/>
            </m:rPr>
            <m:t>)</m:t>
          </m:r>
        </m:oMath>
      </m:oMathPara>
    </w:p>
    <w:p>
      <w:pPr>
        <w:pStyle w:val="FirstParagraph"/>
      </w:pPr>
      <w:r>
        <w:t xml:space="preserve">Eq. (13) is estimated with the same System GMM design. A significant θ indicates feedback from investment to leverage deviation. In that case the GMM treatment of CSD⁺ and CSD⁻ as endogenous in Eqs. (6)–(12) is necessary, and Granger-type evidence on the direction of the relation (Eq. 6 versus Eq. 13) is reported.</w:t>
      </w:r>
    </w:p>
    <w:bookmarkEnd w:id="24"/>
    <w:bookmarkEnd w:id="25"/>
    <w:bookmarkStart w:id="26" w:name="inference-on-moderation-effects"/>
    <w:p>
      <w:pPr>
        <w:pStyle w:val="Heading2"/>
      </w:pPr>
      <w:r>
        <w:t xml:space="preserve">3.9 Inference on Moderation Effects</w:t>
      </w:r>
    </w:p>
    <w:p>
      <w:pPr>
        <w:pStyle w:val="FirstParagraph"/>
      </w:pPr>
      <w:r>
        <w:t xml:space="preserve">The moderation tests follow Aiken and West (1991) and Brambor, Clark and Golder (2006):</w:t>
      </w:r>
    </w:p>
    <w:p>
      <w:pPr>
        <w:pStyle w:val="Compact"/>
        <w:numPr>
          <w:ilvl w:val="0"/>
          <w:numId w:val="1005"/>
        </w:numPr>
      </w:pPr>
      <w:r>
        <w:rPr>
          <w:b/>
          <w:bCs/>
        </w:rPr>
        <w:t xml:space="preserve">Constituent terms.</w:t>
      </w:r>
      <w:r>
        <w:t xml:space="preserve"> </w:t>
      </w:r>
      <w:r>
        <w:t xml:space="preserve">Every product term is accompanied by all of its lower-order terms. In the three-way models this means all three main effects and all three two-way products.</w:t>
      </w:r>
    </w:p>
    <w:p>
      <w:pPr>
        <w:pStyle w:val="Compact"/>
        <w:numPr>
          <w:ilvl w:val="0"/>
          <w:numId w:val="1005"/>
        </w:numPr>
      </w:pPr>
      <w:r>
        <w:rPr>
          <w:b/>
          <w:bCs/>
        </w:rPr>
        <w:t xml:space="preserve">Scaling.</w:t>
      </w:r>
      <w:r>
        <w:t xml:space="preserve"> </w:t>
      </w:r>
      <w:r>
        <w:t xml:space="preserve">MA is mean-centered, so the coefficients on CSD⁺ and CSD⁻ are the effects at average managerial ability. CSD⁺ and CSD⁻ are not centered, because zero is a meaningful value: the firm is at its target.</w:t>
      </w:r>
    </w:p>
    <w:p>
      <w:pPr>
        <w:pStyle w:val="Compact"/>
        <w:numPr>
          <w:ilvl w:val="0"/>
          <w:numId w:val="1005"/>
        </w:numPr>
      </w:pPr>
      <w:r>
        <w:rPr>
          <w:b/>
          <w:bCs/>
        </w:rPr>
        <w:t xml:space="preserve">Reference categories.</w:t>
      </w:r>
      <w:r>
        <w:t xml:space="preserve"> </w:t>
      </w:r>
      <w:r>
        <w:t xml:space="preserve">One stage is omitted in every model, and the omitted stage is stated with each equation.</w:t>
      </w:r>
    </w:p>
    <w:p>
      <w:pPr>
        <w:pStyle w:val="Compact"/>
        <w:numPr>
          <w:ilvl w:val="0"/>
          <w:numId w:val="1005"/>
        </w:numPr>
      </w:pPr>
      <w:r>
        <w:rPr>
          <w:b/>
          <w:bCs/>
        </w:rPr>
        <w:t xml:space="preserve">Marginal effects.</w:t>
      </w:r>
      <w:r>
        <w:t xml:space="preserve"> </w:t>
      </w:r>
      <w:r>
        <w:t xml:space="preserve">Interaction coefficients are not interpreted in isolation. The marginal effect of CSD⁺ (or CSD⁻) on InvEff is computed across the observed range of MA, for example β₁ + β₄·MA in Eq. (9), with 95% confidence intervals from the full covariance matrix of the estimates. It is plotted against MA, separately for growth/decline and maturity in Eqs. (10) and (12). The Johnson–Neyman interval, the range of MA over which the marginal effect is significant, is reported.</w:t>
      </w:r>
    </w:p>
    <w:p>
      <w:pPr>
        <w:pStyle w:val="Compact"/>
        <w:numPr>
          <w:ilvl w:val="0"/>
          <w:numId w:val="1005"/>
        </w:numPr>
      </w:pPr>
      <w:r>
        <w:rPr>
          <w:b/>
          <w:bCs/>
        </w:rPr>
        <w:t xml:space="preserve">Common support.</w:t>
      </w:r>
      <w:r>
        <w:t xml:space="preserve"> </w:t>
      </w:r>
      <w:r>
        <w:t xml:space="preserve">Marginal effects are evaluated only within the observed range of MA in each stage, and a binned estimator is reported to check that the interaction is approximately linear (Hainmueller, Mummolo &amp; Xu, 2019).</w:t>
      </w:r>
    </w:p>
    <w:p>
      <w:pPr>
        <w:pStyle w:val="Compact"/>
        <w:numPr>
          <w:ilvl w:val="0"/>
          <w:numId w:val="1005"/>
        </w:numPr>
      </w:pPr>
      <w:r>
        <w:rPr>
          <w:b/>
          <w:bCs/>
        </w:rPr>
        <w:t xml:space="preserve">Direct tests of differences.</w:t>
      </w:r>
      <w:r>
        <w:t xml:space="preserve"> </w:t>
      </w:r>
      <w:r>
        <w:t xml:space="preserve">Differences across stages are tested with interaction coefficients and joint Wald tests within one model, not by comparing significance across subsamples.</w:t>
      </w:r>
    </w:p>
    <w:p>
      <w:pPr>
        <w:pStyle w:val="Compact"/>
        <w:numPr>
          <w:ilvl w:val="0"/>
          <w:numId w:val="1005"/>
        </w:numPr>
      </w:pPr>
      <w:r>
        <w:rPr>
          <w:b/>
          <w:bCs/>
        </w:rPr>
        <w:t xml:space="preserve">Endogenous products.</w:t>
      </w:r>
      <w:r>
        <w:t xml:space="preserve"> </w:t>
      </w:r>
      <w:r>
        <w:t xml:space="preserve">Products of endogenous variables are endogenous; each is instrumented with lags of the product itself (Section 3.8.2).</w:t>
      </w:r>
    </w:p>
    <w:p>
      <w:pPr>
        <w:pStyle w:val="FirstParagraph"/>
      </w:pPr>
      <w:r>
        <w:t xml:space="preserve">Economic magnitude is reported alongside statistical significance: the change in InvEff associated with a one-standard-deviation increase in CSD⁺ or CSD⁻, computed at low MA (mean − 1 SD) and high MA (mean + 1 SD) and expressed as a percentage of the mean absolute investment residual.</w:t>
      </w:r>
    </w:p>
    <w:bookmarkEnd w:id="26"/>
    <w:bookmarkStart w:id="31" w:name="X4c7f80402268df8105c68b8039577137153f403"/>
    <w:p>
      <w:pPr>
        <w:pStyle w:val="Heading2"/>
      </w:pPr>
      <w:r>
        <w:t xml:space="preserve">3.10 Diagnostics, Multicollinearity and Model Assumptions</w:t>
      </w:r>
    </w:p>
    <w:p>
      <w:pPr>
        <w:pStyle w:val="FirstParagraph"/>
      </w:pPr>
      <w:r>
        <w:t xml:space="preserve">The descriptive analysis reports summary statistics, the Pearson and Spearman correlation matrices, the frequency of each original Dickinson stage, and a cross-tabulation of stage by deviation direction (over- versus under-leveraged). The cross-tabulation shows whether every stage × direction cell contains enough observations to identify the interaction terms.</w:t>
      </w:r>
    </w:p>
    <w:bookmarkStart w:id="27" w:name="multicollinearity"/>
    <w:p>
      <w:pPr>
        <w:pStyle w:val="Heading3"/>
      </w:pPr>
      <w:r>
        <w:t xml:space="preserve">3.10.1 Multicollinearity</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Source</w:t>
            </w:r>
          </w:p>
        </w:tc>
        <w:tc>
          <w:tcPr>
            <w:shd w:val="clear" w:color="auto" w:fill="E8ECF3"/>
          </w:tcPr>
          <w:p>
            <w:pPr>
              <w:pStyle w:val="Compact"/>
            </w:pPr>
            <w:r>
              <w:rPr>
                <w:b/>
                <w:sz w:val="19"/>
              </w:rPr>
              <w:t xml:space="preserve">Diagnosis</w:t>
            </w:r>
          </w:p>
        </w:tc>
        <w:tc>
          <w:tcPr>
            <w:shd w:val="clear" w:color="auto" w:fill="E8ECF3"/>
          </w:tcPr>
          <w:p>
            <w:pPr>
              <w:pStyle w:val="Compact"/>
            </w:pPr>
            <w:r>
              <w:rPr>
                <w:b/>
                <w:sz w:val="19"/>
              </w:rPr>
              <w:t xml:space="preserve">Treatment</w:t>
            </w:r>
          </w:p>
        </w:tc>
      </w:tr>
      <w:tr>
        <w:tc>
          <w:tcPr/>
          <w:p>
            <w:pPr>
              <w:pStyle w:val="Compact"/>
            </w:pPr>
            <w:r>
              <w:rPr>
                <w:sz w:val="19"/>
              </w:rPr>
              <w:t xml:space="preserve">Main effects</w:t>
            </w:r>
          </w:p>
        </w:tc>
        <w:tc>
          <w:tcPr/>
          <w:p>
            <w:pPr>
              <w:pStyle w:val="Compact"/>
            </w:pPr>
            <w:r>
              <w:rPr>
                <w:sz w:val="19"/>
              </w:rPr>
              <w:t xml:space="preserve">Variance inflation factors from the static, main-effects version of each model</w:t>
            </w:r>
          </w:p>
        </w:tc>
        <w:tc>
          <w:tcPr/>
          <w:p>
            <w:pPr>
              <w:pStyle w:val="Compact"/>
            </w:pPr>
            <w:r>
              <w:rPr>
                <w:sz w:val="19"/>
              </w:rPr>
              <w:t xml:space="preserve">Maximum VIF &lt; 10 and mean VIF &lt; 5</w:t>
            </w:r>
          </w:p>
        </w:tc>
      </w:tr>
      <w:tr>
        <w:tc>
          <w:tcPr/>
          <w:p>
            <w:pPr>
              <w:pStyle w:val="Compact"/>
            </w:pPr>
            <w:r>
              <w:rPr>
                <w:sz w:val="19"/>
              </w:rPr>
              <w:t xml:space="preserve">Product terms</w:t>
            </w:r>
          </w:p>
        </w:tc>
        <w:tc>
          <w:tcPr/>
          <w:p>
            <w:pPr>
              <w:pStyle w:val="Compact"/>
            </w:pPr>
            <w:r>
              <w:rPr>
                <w:sz w:val="19"/>
              </w:rPr>
              <w:t xml:space="preserve">High VIF between a product and its components is structural and does not bias the estimates (Brambor et al., 2006)</w:t>
            </w:r>
          </w:p>
        </w:tc>
        <w:tc>
          <w:tcPr/>
          <w:p>
            <w:pPr>
              <w:pStyle w:val="Compact"/>
            </w:pPr>
            <w:r>
              <w:rPr>
                <w:sz w:val="19"/>
              </w:rPr>
              <w:t xml:space="preserve">MA centered; VIF of product terms not used as a criterion</w:t>
            </w:r>
          </w:p>
        </w:tc>
      </w:tr>
      <w:tr>
        <w:tc>
          <w:tcPr/>
          <w:p>
            <w:pPr>
              <w:pStyle w:val="Compact"/>
            </w:pPr>
            <w:r>
              <w:rPr>
                <w:sz w:val="19"/>
              </w:rPr>
              <w:t xml:space="preserve">INF in investment models</w:t>
            </w:r>
          </w:p>
        </w:tc>
        <w:tc>
          <w:tcPr/>
          <w:p>
            <w:pPr>
              <w:pStyle w:val="Compact"/>
            </w:pPr>
            <w:r>
              <w:rPr>
                <w:sz w:val="19"/>
              </w:rPr>
              <w:t xml:space="preserve">Perfectly collinear with year dummies</w:t>
            </w:r>
          </w:p>
        </w:tc>
        <w:tc>
          <w:tcPr/>
          <w:p>
            <w:pPr>
              <w:pStyle w:val="Compact"/>
            </w:pPr>
            <w:r>
              <w:rPr>
                <w:sz w:val="19"/>
              </w:rPr>
              <w:t xml:space="preserve">Excluded; enters through Eq. (2)</w:t>
            </w:r>
          </w:p>
        </w:tc>
      </w:tr>
      <w:tr>
        <w:tc>
          <w:tcPr/>
          <w:p>
            <w:pPr>
              <w:pStyle w:val="Compact"/>
            </w:pPr>
            <w:r>
              <w:rPr>
                <w:sz w:val="19"/>
              </w:rPr>
              <w:t xml:space="preserve">Age in differenced equation</w:t>
            </w:r>
          </w:p>
        </w:tc>
        <w:tc>
          <w:tcPr/>
          <w:p>
            <w:pPr>
              <w:pStyle w:val="Compact"/>
            </w:pPr>
            <w:r>
              <w:rPr>
                <w:sz w:val="19"/>
              </w:rPr>
              <w:t xml:space="preserve">ΔAge = 1 for every firm-year</w:t>
            </w:r>
          </w:p>
        </w:tc>
        <w:tc>
          <w:tcPr/>
          <w:p>
            <w:pPr>
              <w:pStyle w:val="Compact"/>
            </w:pPr>
            <w:r>
              <w:rPr>
                <w:sz w:val="19"/>
              </w:rPr>
              <w:t xml:space="preserve">Levels equation only</w:t>
            </w:r>
          </w:p>
        </w:tc>
      </w:tr>
      <w:tr>
        <w:tc>
          <w:tcPr/>
          <w:p>
            <w:pPr>
              <w:pStyle w:val="Compact"/>
            </w:pPr>
            <w:r>
              <w:rPr>
                <w:sz w:val="19"/>
              </w:rPr>
              <w:t xml:space="preserve">Stage indicators</w:t>
            </w:r>
          </w:p>
        </w:tc>
        <w:tc>
          <w:tcPr/>
          <w:p>
            <w:pPr>
              <w:pStyle w:val="Compact"/>
            </w:pPr>
            <w:r>
              <w:rPr>
                <w:sz w:val="19"/>
              </w:rPr>
              <w:t xml:space="preserve">Exhaustive categories</w:t>
            </w:r>
          </w:p>
        </w:tc>
        <w:tc>
          <w:tcPr/>
          <w:p>
            <w:pPr>
              <w:pStyle w:val="Compact"/>
            </w:pPr>
            <w:r>
              <w:rPr>
                <w:sz w:val="19"/>
              </w:rPr>
              <w:t xml:space="preserve">One reference category omitted</w:t>
            </w:r>
          </w:p>
        </w:tc>
      </w:tr>
      <w:tr>
        <w:tc>
          <w:tcPr/>
          <w:p>
            <w:pPr>
              <w:pStyle w:val="Compact"/>
            </w:pPr>
            <w:r>
              <w:rPr>
                <w:sz w:val="19"/>
              </w:rPr>
              <w:t xml:space="preserve">CSDev and controls</w:t>
            </w:r>
          </w:p>
        </w:tc>
        <w:tc>
          <w:tcPr/>
          <w:p>
            <w:pPr>
              <w:pStyle w:val="Compact"/>
            </w:pPr>
            <w:r>
              <w:rPr>
                <w:sz w:val="19"/>
              </w:rPr>
              <w:t xml:space="preserve">CSDev is an OLS residual from Eq. (2), orthogonal by construction to its determinants</w:t>
            </w:r>
          </w:p>
        </w:tc>
        <w:tc>
          <w:tcPr/>
          <w:p>
            <w:pPr>
              <w:pStyle w:val="Compact"/>
            </w:pPr>
            <w:r>
              <w:rPr>
                <w:sz w:val="19"/>
              </w:rPr>
              <w:t xml:space="preserve">LTA, MTB and PROFIT can be controls without collinearity</w:t>
            </w:r>
          </w:p>
        </w:tc>
      </w:tr>
      <w:tr>
        <w:tc>
          <w:tcPr/>
          <w:p>
            <w:pPr>
              <w:pStyle w:val="Compact"/>
            </w:pPr>
            <w:r>
              <w:rPr>
                <w:sz w:val="19"/>
              </w:rPr>
              <w:t xml:space="preserve">CSD⁺ and CSD⁻</w:t>
            </w:r>
          </w:p>
        </w:tc>
        <w:tc>
          <w:tcPr/>
          <w:p>
            <w:pPr>
              <w:pStyle w:val="Compact"/>
            </w:pPr>
            <w:r>
              <w:rPr>
                <w:sz w:val="19"/>
              </w:rPr>
              <w:t xml:space="preserve">At most one is non-zero per firm-year, but each varies independently</w:t>
            </w:r>
          </w:p>
        </w:tc>
        <w:tc>
          <w:tcPr/>
          <w:p>
            <w:pPr>
              <w:pStyle w:val="Compact"/>
            </w:pPr>
            <w:r>
              <w:rPr>
                <w:sz w:val="19"/>
              </w:rPr>
              <w:t xml:space="preserve">Not collinear; both included</w:t>
            </w:r>
          </w:p>
        </w:tc>
      </w:tr>
    </w:tbl>
    <w:bookmarkEnd w:id="27"/>
    <w:bookmarkStart w:id="28" w:name="assumptions-of-the-gmm-estimator"/>
    <w:p>
      <w:pPr>
        <w:pStyle w:val="Heading3"/>
      </w:pPr>
      <w:r>
        <w:t xml:space="preserve">3.10.2 Assumptions of the GMM estimator</w:t>
      </w:r>
    </w:p>
    <w:p>
      <w:pPr>
        <w:pStyle w:val="FirstParagraph"/>
      </w:pPr>
      <w:r>
        <w:t xml:space="preserve">GMM does not require normally distributed or homoskedastic errors. Its validity rests on the moment conditions, which are tested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Response if violated</w:t>
            </w:r>
          </w:p>
        </w:tc>
      </w:tr>
      <w:tr>
        <w:tc>
          <w:tcPr/>
          <w:p>
            <w:pPr>
              <w:pStyle w:val="Compact"/>
            </w:pPr>
            <w:r>
              <w:rPr>
                <w:sz w:val="19"/>
              </w:rPr>
              <w:t xml:space="preserve">No second-order serial correlation in differenced errors</w:t>
            </w:r>
          </w:p>
        </w:tc>
        <w:tc>
          <w:tcPr/>
          <w:p>
            <w:pPr>
              <w:pStyle w:val="Compact"/>
            </w:pPr>
            <w:r>
              <w:rPr>
                <w:sz w:val="19"/>
              </w:rPr>
              <w:t xml:space="preserve">Arellano–Bond AR(2)</w:t>
            </w:r>
          </w:p>
        </w:tc>
        <w:tc>
          <w:tcPr/>
          <w:p>
            <w:pPr>
              <w:pStyle w:val="Compact"/>
            </w:pPr>
            <w:r>
              <w:rPr>
                <w:sz w:val="19"/>
              </w:rPr>
              <w:t xml:space="preserve">Start instruments at deeper lags</w:t>
            </w:r>
          </w:p>
        </w:tc>
      </w:tr>
      <w:tr>
        <w:tc>
          <w:tcPr/>
          <w:p>
            <w:pPr>
              <w:pStyle w:val="Compact"/>
            </w:pPr>
            <w:r>
              <w:rPr>
                <w:sz w:val="19"/>
              </w:rPr>
              <w:t xml:space="preserve">Instrument exogeneity</w:t>
            </w:r>
          </w:p>
        </w:tc>
        <w:tc>
          <w:tcPr/>
          <w:p>
            <w:pPr>
              <w:pStyle w:val="Compact"/>
            </w:pPr>
            <w:r>
              <w:rPr>
                <w:sz w:val="19"/>
              </w:rPr>
              <w:t xml:space="preserve">Hansen J; Difference-in-Hansen</w:t>
            </w:r>
          </w:p>
        </w:tc>
        <w:tc>
          <w:tcPr/>
          <w:p>
            <w:pPr>
              <w:pStyle w:val="Compact"/>
            </w:pPr>
            <w:r>
              <w:rPr>
                <w:sz w:val="19"/>
              </w:rPr>
              <w:t xml:space="preserve">Revise the instrument set or the assumed timing of regressors</w:t>
            </w:r>
          </w:p>
        </w:tc>
      </w:tr>
      <w:tr>
        <w:tc>
          <w:tcPr/>
          <w:p>
            <w:pPr>
              <w:pStyle w:val="Compact"/>
            </w:pPr>
            <w:r>
              <w:rPr>
                <w:sz w:val="19"/>
              </w:rPr>
              <w:t xml:space="preserve">Heteroskedasticity and within-firm correlation</w:t>
            </w:r>
          </w:p>
        </w:tc>
        <w:tc>
          <w:tcPr/>
          <w:p>
            <w:pPr>
              <w:pStyle w:val="Compact"/>
            </w:pPr>
            <w:r>
              <w:rPr>
                <w:sz w:val="19"/>
              </w:rPr>
              <w:t xml:space="preserve">Not required</w:t>
            </w:r>
          </w:p>
        </w:tc>
        <w:tc>
          <w:tcPr/>
          <w:p>
            <w:pPr>
              <w:pStyle w:val="Compact"/>
            </w:pPr>
            <w:r>
              <w:rPr>
                <w:sz w:val="19"/>
              </w:rPr>
              <w:t xml:space="preserve">Two-step robust covariance with Windmeijer correction</w:t>
            </w:r>
          </w:p>
        </w:tc>
      </w:tr>
      <w:tr>
        <w:tc>
          <w:tcPr/>
          <w:p>
            <w:pPr>
              <w:pStyle w:val="Compact"/>
            </w:pPr>
            <w:r>
              <w:rPr>
                <w:sz w:val="19"/>
              </w:rPr>
              <w:t xml:space="preserve">Cross-sectional dependence</w:t>
            </w:r>
          </w:p>
        </w:tc>
        <w:tc>
          <w:tcPr/>
          <w:p>
            <w:pPr>
              <w:pStyle w:val="Compact"/>
            </w:pPr>
            <w:r>
              <w:rPr>
                <w:sz w:val="19"/>
              </w:rPr>
              <w:t xml:space="preserve">Pesaran (2015) CD test on residuals</w:t>
            </w:r>
          </w:p>
        </w:tc>
        <w:tc>
          <w:tcPr/>
          <w:p>
            <w:pPr>
              <w:pStyle w:val="Compact"/>
            </w:pPr>
            <w:r>
              <w:rPr>
                <w:sz w:val="19"/>
              </w:rPr>
              <w:t xml:space="preserve">Year dummies absorb common shocks</w:t>
            </w:r>
          </w:p>
        </w:tc>
      </w:tr>
      <w:tr>
        <w:tc>
          <w:tcPr/>
          <w:p>
            <w:pPr>
              <w:pStyle w:val="Compact"/>
            </w:pPr>
            <w:r>
              <w:rPr>
                <w:sz w:val="19"/>
              </w:rPr>
              <w:t xml:space="preserve">Stationarity</w:t>
            </w:r>
          </w:p>
        </w:tc>
        <w:tc>
          <w:tcPr/>
          <w:p>
            <w:pPr>
              <w:pStyle w:val="Compact"/>
            </w:pPr>
            <w:r>
              <w:rPr>
                <w:sz w:val="19"/>
              </w:rPr>
              <w:t xml:space="preserve">With N = 299 and T ≈ 9, asymptotics run in N; Fisher-type panel unit-root tests on InvEff and CSDev are reported for completeness</w:t>
            </w:r>
          </w:p>
        </w:tc>
        <w:tc>
          <w:tcPr/>
          <w:p>
            <w:pPr>
              <w:pStyle w:val="Compact"/>
            </w:pPr>
            <w:r>
              <w:rPr>
                <w:sz w:val="19"/>
              </w:rPr>
              <w:t xml:space="preserve">—</w:t>
            </w:r>
          </w:p>
        </w:tc>
      </w:tr>
      <w:tr>
        <w:tc>
          <w:tcPr/>
          <w:p>
            <w:pPr>
              <w:pStyle w:val="Compact"/>
            </w:pPr>
            <w:r>
              <w:rPr>
                <w:sz w:val="19"/>
              </w:rPr>
              <w:t xml:space="preserve">Influential observations</w:t>
            </w:r>
          </w:p>
        </w:tc>
        <w:tc>
          <w:tcPr/>
          <w:p>
            <w:pPr>
              <w:pStyle w:val="Compact"/>
            </w:pPr>
            <w:r>
              <w:rPr>
                <w:sz w:val="19"/>
              </w:rPr>
              <w:t xml:space="preserve">Distribution checks</w:t>
            </w:r>
          </w:p>
        </w:tc>
        <w:tc>
          <w:tcPr/>
          <w:p>
            <w:pPr>
              <w:pStyle w:val="Compact"/>
            </w:pPr>
            <w:r>
              <w:rPr>
                <w:sz w:val="19"/>
              </w:rPr>
              <w:t xml:space="preserve">1/99 winsorization; trimming in sensitivity tests</w:t>
            </w:r>
          </w:p>
        </w:tc>
      </w:tr>
    </w:tbl>
    <w:bookmarkEnd w:id="28"/>
    <w:bookmarkStart w:id="29" w:name="static-benchmarks"/>
    <w:p>
      <w:pPr>
        <w:pStyle w:val="Heading3"/>
      </w:pPr>
      <w:r>
        <w:t xml:space="preserve">3.10.3 Static benchmarks</w:t>
      </w:r>
    </w:p>
    <w:p>
      <w:pPr>
        <w:pStyle w:val="FirstParagraph"/>
      </w:pPr>
      <w:r>
        <w:t xml:space="preserve">For the static fixed-effects benchmarks, the F test (pooled OLS against fixed effects) and the Hausman (1978) test (random against fixed effects) are reported. The classical assumptions of the static model are also documented with the modified Wald test for groupwise heteroskedasticity, the Wooldridge (2002) test for serial correlation and the skewness–kurtosis test for normality of residuals. Violations motivate the robust two-step GMM covariance and are not required assumptions of the GMM estimator. These estimates also supply the bounds for the Bond (2002) check on γ̂₁.</w:t>
      </w:r>
    </w:p>
    <w:bookmarkEnd w:id="29"/>
    <w:bookmarkStart w:id="30" w:name="generated-regressors"/>
    <w:p>
      <w:pPr>
        <w:pStyle w:val="Heading3"/>
      </w:pPr>
      <w:r>
        <w:t xml:space="preserve">3.10.4 Generated regressors</w:t>
      </w:r>
    </w:p>
    <w:p>
      <w:pPr>
        <w:pStyle w:val="FirstParagraph"/>
      </w:pPr>
      <w:r>
        <w:t xml:space="preserve">InvEff, CSDev and MA are estimated in first-stage models, so conventional second-stage standard errors understate sampling uncertainty (Pagan, 1984). For the main coefficients, standard errors are also computed by a firm-level cluster bootstrap that repeats the entire procedure, from Eqs. (1), (2) and (5) to the GMM models, in each replication.</w:t>
      </w:r>
    </w:p>
    <w:bookmarkEnd w:id="30"/>
    <w:bookmarkEnd w:id="31"/>
    <w:bookmarkStart w:id="36" w:name="robustness-and-sensitivity-analyses"/>
    <w:p>
      <w:pPr>
        <w:pStyle w:val="Heading2"/>
      </w:pPr>
      <w:r>
        <w:t xml:space="preserve">3.11 Robustness and Sensitivity Analyses</w:t>
      </w:r>
    </w:p>
    <w:p>
      <w:pPr>
        <w:pStyle w:val="FirstParagraph"/>
      </w:pPr>
      <w:r>
        <w:t xml:space="preserve">The robustness tests replace one element of the design at a time with an accepted alternative. The sensitivity tests vary the researcher-chosen parameters of the main design. The main text reports the key coefficients (β₁, β₂, β₃, β₄, β₅, β₇, β₈, β₁₁) of every test in one summary table; the full estimates are in the Online Appendix.</w:t>
      </w:r>
    </w:p>
    <w:bookmarkStart w:id="32" w:name="Xcd217612ea5042a1dcb1425ad9dd2e278970d01"/>
    <w:p>
      <w:pPr>
        <w:pStyle w:val="Heading3"/>
      </w:pPr>
      <w:r>
        <w:t xml:space="preserve">3.11.1 Robustness: alternative measures and estimators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Element replaced</w:t>
            </w:r>
          </w:p>
        </w:tc>
        <w:tc>
          <w:tcPr>
            <w:shd w:val="clear" w:color="auto" w:fill="E8ECF3"/>
          </w:tcPr>
          <w:p>
            <w:pPr>
              <w:pStyle w:val="Compact"/>
            </w:pPr>
            <w:r>
              <w:rPr>
                <w:b/>
                <w:sz w:val="19"/>
              </w:rPr>
              <w:t xml:space="preserve">Alternative</w:t>
            </w:r>
          </w:p>
        </w:tc>
      </w:tr>
      <w:tr>
        <w:tc>
          <w:tcPr/>
          <w:p>
            <w:pPr>
              <w:pStyle w:val="Compact"/>
            </w:pPr>
            <w:r>
              <w:rPr>
                <w:sz w:val="19"/>
              </w:rPr>
              <w:t xml:space="preserve">R1</w:t>
            </w:r>
          </w:p>
        </w:tc>
        <w:tc>
          <w:tcPr/>
          <w:p>
            <w:pPr>
              <w:pStyle w:val="Compact"/>
            </w:pPr>
            <w:r>
              <w:rPr>
                <w:sz w:val="19"/>
              </w:rPr>
              <w:t xml:space="preserve">Target leverage</w:t>
            </w:r>
          </w:p>
        </w:tc>
        <w:tc>
          <w:tcPr/>
          <w:p>
            <w:pPr>
              <w:pStyle w:val="Compact"/>
            </w:pPr>
            <w:r>
              <w:rPr>
                <w:sz w:val="19"/>
              </w:rPr>
              <w:t xml:space="preserve">Eq. (2) without IOB, because financial expense is approximately the interest rate times debt and may mechanically absorb part of actual leverage</w:t>
            </w:r>
          </w:p>
        </w:tc>
      </w:tr>
      <w:tr>
        <w:tc>
          <w:tcPr/>
          <w:p>
            <w:pPr>
              <w:pStyle w:val="Compact"/>
            </w:pPr>
            <w:r>
              <w:rPr>
                <w:sz w:val="19"/>
              </w:rPr>
              <w:t xml:space="preserve">R2</w:t>
            </w:r>
          </w:p>
        </w:tc>
        <w:tc>
          <w:tcPr/>
          <w:p>
            <w:pPr>
              <w:pStyle w:val="Compact"/>
            </w:pPr>
            <w:r>
              <w:rPr>
                <w:sz w:val="19"/>
              </w:rPr>
              <w:t xml:space="preserve">Leverage definition</w:t>
            </w:r>
          </w:p>
        </w:tc>
        <w:tc>
          <w:tcPr/>
          <w:p>
            <w:pPr>
              <w:pStyle w:val="Compact"/>
            </w:pPr>
            <w:r>
              <w:rPr>
                <w:sz w:val="19"/>
              </w:rPr>
              <w:t xml:space="preserve">Market leverage, TD / (TD + MV)</w:t>
            </w:r>
          </w:p>
        </w:tc>
      </w:tr>
      <w:tr>
        <w:tc>
          <w:tcPr/>
          <w:p>
            <w:pPr>
              <w:pStyle w:val="Compact"/>
            </w:pPr>
            <w:r>
              <w:rPr>
                <w:sz w:val="19"/>
              </w:rPr>
              <w:t xml:space="preserve">R3</w:t>
            </w:r>
          </w:p>
        </w:tc>
        <w:tc>
          <w:tcPr/>
          <w:p>
            <w:pPr>
              <w:pStyle w:val="Compact"/>
            </w:pPr>
            <w:r>
              <w:rPr>
                <w:sz w:val="19"/>
              </w:rPr>
              <w:t xml:space="preserve">Target-leverage estimator</w:t>
            </w:r>
          </w:p>
        </w:tc>
        <w:tc>
          <w:tcPr/>
          <w:p>
            <w:pPr>
              <w:pStyle w:val="Compact"/>
            </w:pPr>
            <w:r>
              <w:rPr>
                <w:sz w:val="19"/>
              </w:rPr>
              <w:t xml:space="preserve">Eq. (2) with firm fixed effects, isolating transitory deviation from a firm-specific target</w:t>
            </w:r>
          </w:p>
        </w:tc>
      </w:tr>
      <w:tr>
        <w:tc>
          <w:tcPr/>
          <w:p>
            <w:pPr>
              <w:pStyle w:val="Compact"/>
            </w:pPr>
            <w:r>
              <w:rPr>
                <w:sz w:val="19"/>
              </w:rPr>
              <w:t xml:space="preserve">R4</w:t>
            </w:r>
          </w:p>
        </w:tc>
        <w:tc>
          <w:tcPr/>
          <w:p>
            <w:pPr>
              <w:pStyle w:val="Compact"/>
            </w:pPr>
            <w:r>
              <w:rPr>
                <w:sz w:val="19"/>
              </w:rPr>
              <w:t xml:space="preserve">Timing of deviation</w:t>
            </w:r>
          </w:p>
        </w:tc>
        <w:tc>
          <w:tcPr/>
          <w:p>
            <w:pPr>
              <w:pStyle w:val="Compact"/>
            </w:pPr>
            <w:r>
              <w:rPr>
                <w:sz w:val="19"/>
              </w:rPr>
              <w:t xml:space="preserve">CSD⁺ and CSD⁻ measured at t−1</w:t>
            </w:r>
          </w:p>
        </w:tc>
      </w:tr>
      <w:tr>
        <w:tc>
          <w:tcPr/>
          <w:p>
            <w:pPr>
              <w:pStyle w:val="Compact"/>
            </w:pPr>
            <w:r>
              <w:rPr>
                <w:sz w:val="19"/>
              </w:rPr>
              <w:t xml:space="preserve">R5</w:t>
            </w:r>
          </w:p>
        </w:tc>
        <w:tc>
          <w:tcPr/>
          <w:p>
            <w:pPr>
              <w:pStyle w:val="Compact"/>
            </w:pPr>
            <w:r>
              <w:rPr>
                <w:sz w:val="19"/>
              </w:rPr>
              <w:t xml:space="preserve">Expectation model</w:t>
            </w:r>
          </w:p>
        </w:tc>
        <w:tc>
          <w:tcPr/>
          <w:p>
            <w:pPr>
              <w:pStyle w:val="Compact"/>
            </w:pPr>
            <w:r>
              <w:rPr>
                <w:sz w:val="19"/>
              </w:rPr>
              <w:t xml:space="preserve">Chen et al. (2011), with an asymmetric response to sales declines</w:t>
            </w:r>
          </w:p>
        </w:tc>
      </w:tr>
      <w:tr>
        <w:tc>
          <w:tcPr/>
          <w:p>
            <w:pPr>
              <w:pStyle w:val="Compact"/>
            </w:pPr>
            <w:r>
              <w:rPr>
                <w:sz w:val="19"/>
              </w:rPr>
              <w:t xml:space="preserve">R6</w:t>
            </w:r>
          </w:p>
        </w:tc>
        <w:tc>
          <w:tcPr/>
          <w:p>
            <w:pPr>
              <w:pStyle w:val="Compact"/>
            </w:pPr>
            <w:r>
              <w:rPr>
                <w:sz w:val="19"/>
              </w:rPr>
              <w:t xml:space="preserve">Investment measure</w:t>
            </w:r>
          </w:p>
        </w:tc>
        <w:tc>
          <w:tcPr/>
          <w:p>
            <w:pPr>
              <w:pStyle w:val="Compact"/>
            </w:pPr>
            <w:r>
              <w:rPr>
                <w:sz w:val="19"/>
              </w:rPr>
              <w:t xml:space="preserve">Cash-based investment, −CFI / TA</w:t>
            </w:r>
            <w:r>
              <w:rPr>
                <w:sz w:val="19"/>
                <w:vertAlign w:val="subscript"/>
              </w:rPr>
              <w:t xml:space="preserve">t−1</w:t>
            </w:r>
            <w:r>
              <w:rPr>
                <w:sz w:val="19"/>
              </w:rPr>
              <w:t xml:space="preserve">, unaffected by asset revaluations</w:t>
            </w:r>
          </w:p>
        </w:tc>
      </w:tr>
      <w:tr>
        <w:tc>
          <w:tcPr/>
          <w:p>
            <w:pPr>
              <w:pStyle w:val="Compact"/>
            </w:pPr>
            <w:r>
              <w:rPr>
                <w:sz w:val="19"/>
              </w:rPr>
              <w:t xml:space="preserve">R7</w:t>
            </w:r>
          </w:p>
        </w:tc>
        <w:tc>
          <w:tcPr/>
          <w:p>
            <w:pPr>
              <w:pStyle w:val="Compact"/>
            </w:pPr>
            <w:r>
              <w:rPr>
                <w:sz w:val="19"/>
              </w:rPr>
              <w:t xml:space="preserve">Managerial ability</w:t>
            </w:r>
          </w:p>
        </w:tc>
        <w:tc>
          <w:tcPr/>
          <w:p>
            <w:pPr>
              <w:pStyle w:val="Compact"/>
            </w:pPr>
            <w:r>
              <w:rPr>
                <w:sz w:val="19"/>
              </w:rPr>
              <w:t xml:space="preserve">Industry-year percentile rank of MA; two-year average of MA to reduce measurement error</w:t>
            </w:r>
          </w:p>
        </w:tc>
      </w:tr>
      <w:tr>
        <w:tc>
          <w:tcPr/>
          <w:p>
            <w:pPr>
              <w:pStyle w:val="Compact"/>
            </w:pPr>
            <w:r>
              <w:rPr>
                <w:sz w:val="19"/>
              </w:rPr>
              <w:t xml:space="preserve">R8</w:t>
            </w:r>
          </w:p>
        </w:tc>
        <w:tc>
          <w:tcPr/>
          <w:p>
            <w:pPr>
              <w:pStyle w:val="Compact"/>
            </w:pPr>
            <w:r>
              <w:rPr>
                <w:sz w:val="19"/>
              </w:rPr>
              <w:t xml:space="preserve">Life cycle</w:t>
            </w:r>
          </w:p>
        </w:tc>
        <w:tc>
          <w:tcPr/>
          <w:p>
            <w:pPr>
              <w:pStyle w:val="Compact"/>
            </w:pPr>
            <w:r>
              <w:rPr>
                <w:sz w:val="19"/>
              </w:rPr>
              <w:t xml:space="preserve">Dickinson’s original five stages; age- and growth-based classification (Anthony &amp; Ramesh, 1992)</w:t>
            </w:r>
          </w:p>
        </w:tc>
      </w:tr>
      <w:tr>
        <w:tc>
          <w:tcPr/>
          <w:p>
            <w:pPr>
              <w:pStyle w:val="Compact"/>
            </w:pPr>
            <w:r>
              <w:rPr>
                <w:sz w:val="19"/>
              </w:rPr>
              <w:t xml:space="preserve">R9</w:t>
            </w:r>
          </w:p>
        </w:tc>
        <w:tc>
          <w:tcPr/>
          <w:p>
            <w:pPr>
              <w:pStyle w:val="Compact"/>
            </w:pPr>
            <w:r>
              <w:rPr>
                <w:sz w:val="19"/>
              </w:rPr>
              <w:t xml:space="preserve">Dependent variable</w:t>
            </w:r>
          </w:p>
        </w:tc>
        <w:tc>
          <w:tcPr/>
          <w:p>
            <w:pPr>
              <w:pStyle w:val="Compact"/>
            </w:pPr>
            <w:r>
              <w:rPr>
                <w:sz w:val="19"/>
              </w:rPr>
              <w:t xml:space="preserve">Multinomial logit on the Biddle et al. (2009) quartile classes: under-investment, benchmark, over-investment</w:t>
            </w:r>
          </w:p>
        </w:tc>
      </w:tr>
      <w:tr>
        <w:tc>
          <w:tcPr/>
          <w:p>
            <w:pPr>
              <w:pStyle w:val="Compact"/>
            </w:pPr>
            <w:r>
              <w:rPr>
                <w:sz w:val="19"/>
              </w:rPr>
              <w:t xml:space="preserve">R10</w:t>
            </w:r>
          </w:p>
        </w:tc>
        <w:tc>
          <w:tcPr/>
          <w:p>
            <w:pPr>
              <w:pStyle w:val="Compact"/>
            </w:pPr>
            <w:r>
              <w:rPr>
                <w:sz w:val="19"/>
              </w:rPr>
              <w:t xml:space="preserve">Estimator</w:t>
            </w:r>
          </w:p>
        </w:tc>
        <w:tc>
          <w:tcPr/>
          <w:p>
            <w:pPr>
              <w:pStyle w:val="Compact"/>
            </w:pPr>
            <w:r>
              <w:rPr>
                <w:sz w:val="19"/>
              </w:rPr>
              <w:t xml:space="preserve">Static two-way fixed effects; difference GMM</w:t>
            </w:r>
          </w:p>
        </w:tc>
      </w:tr>
    </w:tbl>
    <w:bookmarkEnd w:id="32"/>
    <w:bookmarkStart w:id="33" w:name="sensitivity-researcher-chosen-parameters"/>
    <w:p>
      <w:pPr>
        <w:pStyle w:val="Heading3"/>
      </w:pPr>
      <w:r>
        <w:t xml:space="preserve">3.11.2 Sensitivity: researcher-chosen parameters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Parameter</w:t>
            </w:r>
          </w:p>
        </w:tc>
        <w:tc>
          <w:tcPr>
            <w:shd w:val="clear" w:color="auto" w:fill="E8ECF3"/>
          </w:tcPr>
          <w:p>
            <w:pPr>
              <w:pStyle w:val="Compact"/>
            </w:pPr>
            <w:r>
              <w:rPr>
                <w:b/>
                <w:sz w:val="19"/>
              </w:rPr>
              <w:t xml:space="preserve">Values tested</w:t>
            </w:r>
          </w:p>
        </w:tc>
      </w:tr>
      <w:tr>
        <w:tc>
          <w:tcPr/>
          <w:p>
            <w:pPr>
              <w:pStyle w:val="Compact"/>
            </w:pPr>
            <w:r>
              <w:rPr>
                <w:sz w:val="19"/>
              </w:rPr>
              <w:t xml:space="preserve">S1</w:t>
            </w:r>
          </w:p>
        </w:tc>
        <w:tc>
          <w:tcPr/>
          <w:p>
            <w:pPr>
              <w:pStyle w:val="Compact"/>
            </w:pPr>
            <w:r>
              <w:rPr>
                <w:sz w:val="19"/>
              </w:rPr>
              <w:t xml:space="preserve">Winsorization</w:t>
            </w:r>
          </w:p>
        </w:tc>
        <w:tc>
          <w:tcPr/>
          <w:p>
            <w:pPr>
              <w:pStyle w:val="Compact"/>
            </w:pPr>
            <w:r>
              <w:rPr>
                <w:sz w:val="19"/>
              </w:rPr>
              <w:t xml:space="preserve">1/99 (main); 2.5/97.5; 5/95; trimming at 1/99</w:t>
            </w:r>
          </w:p>
        </w:tc>
      </w:tr>
      <w:tr>
        <w:tc>
          <w:tcPr/>
          <w:p>
            <w:pPr>
              <w:pStyle w:val="Compact"/>
            </w:pPr>
            <w:r>
              <w:rPr>
                <w:sz w:val="19"/>
              </w:rPr>
              <w:t xml:space="preserve">S2</w:t>
            </w:r>
          </w:p>
        </w:tc>
        <w:tc>
          <w:tcPr/>
          <w:p>
            <w:pPr>
              <w:pStyle w:val="Compact"/>
            </w:pPr>
            <w:r>
              <w:rPr>
                <w:sz w:val="19"/>
              </w:rPr>
              <w:t xml:space="preserve">Minimum industry-year cell in Eq. (1)</w:t>
            </w:r>
          </w:p>
        </w:tc>
        <w:tc>
          <w:tcPr/>
          <w:p>
            <w:pPr>
              <w:pStyle w:val="Compact"/>
            </w:pPr>
            <w:r>
              <w:rPr>
                <w:sz w:val="19"/>
              </w:rPr>
              <w:t xml:space="preserve">8, 10 (main), 15</w:t>
            </w:r>
          </w:p>
        </w:tc>
      </w:tr>
      <w:tr>
        <w:tc>
          <w:tcPr/>
          <w:p>
            <w:pPr>
              <w:pStyle w:val="Compact"/>
            </w:pPr>
            <w:r>
              <w:rPr>
                <w:sz w:val="19"/>
              </w:rPr>
              <w:t xml:space="preserve">S3</w:t>
            </w:r>
          </w:p>
        </w:tc>
        <w:tc>
          <w:tcPr/>
          <w:p>
            <w:pPr>
              <w:pStyle w:val="Compact"/>
            </w:pPr>
            <w:r>
              <w:rPr>
                <w:sz w:val="19"/>
              </w:rPr>
              <w:t xml:space="preserve">DEA specification</w:t>
            </w:r>
          </w:p>
        </w:tc>
        <w:tc>
          <w:tcPr/>
          <w:p>
            <w:pPr>
              <w:pStyle w:val="Compact"/>
            </w:pPr>
            <w:r>
              <w:rPr>
                <w:sz w:val="19"/>
              </w:rPr>
              <w:t xml:space="preserve">VRS (main) vs CRS; minimum frontier size 10, 15 (main), 20</w:t>
            </w:r>
          </w:p>
        </w:tc>
      </w:tr>
      <w:tr>
        <w:tc>
          <w:tcPr/>
          <w:p>
            <w:pPr>
              <w:pStyle w:val="Compact"/>
            </w:pPr>
            <w:r>
              <w:rPr>
                <w:sz w:val="19"/>
              </w:rPr>
              <w:t xml:space="preserve">S4</w:t>
            </w:r>
          </w:p>
        </w:tc>
        <w:tc>
          <w:tcPr/>
          <w:p>
            <w:pPr>
              <w:pStyle w:val="Compact"/>
            </w:pPr>
            <w:r>
              <w:rPr>
                <w:sz w:val="19"/>
              </w:rPr>
              <w:t xml:space="preserve">GMM instrument depth</w:t>
            </w:r>
          </w:p>
        </w:tc>
        <w:tc>
          <w:tcPr/>
          <w:p>
            <w:pPr>
              <w:pStyle w:val="Compact"/>
            </w:pPr>
            <w:r>
              <w:rPr>
                <w:sz w:val="19"/>
              </w:rPr>
              <w:t xml:space="preserve">Lags 2–3 (main), 2–4, 3–4; collapsed vs uncollapsed where the count allows</w:t>
            </w:r>
          </w:p>
        </w:tc>
      </w:tr>
      <w:tr>
        <w:tc>
          <w:tcPr/>
          <w:p>
            <w:pPr>
              <w:pStyle w:val="Compact"/>
            </w:pPr>
            <w:r>
              <w:rPr>
                <w:sz w:val="19"/>
              </w:rPr>
              <w:t xml:space="preserve">S5</w:t>
            </w:r>
          </w:p>
        </w:tc>
        <w:tc>
          <w:tcPr/>
          <w:p>
            <w:pPr>
              <w:pStyle w:val="Compact"/>
            </w:pPr>
            <w:r>
              <w:rPr>
                <w:sz w:val="19"/>
              </w:rPr>
              <w:t xml:space="preserve">Near-target firms</w:t>
            </w:r>
          </w:p>
        </w:tc>
        <w:tc>
          <w:tcPr/>
          <w:p>
            <w:pPr>
              <w:pStyle w:val="Compact"/>
            </w:pPr>
            <w:r>
              <w:rPr>
                <w:sz w:val="19"/>
              </w:rPr>
              <w:t xml:space="preserve">Exclude firm-years with |CSDev| &lt; 0.25 SD, whose direction is mostly estimation noise</w:t>
            </w:r>
          </w:p>
        </w:tc>
      </w:tr>
      <w:tr>
        <w:tc>
          <w:tcPr/>
          <w:p>
            <w:pPr>
              <w:pStyle w:val="Compact"/>
            </w:pPr>
            <w:r>
              <w:rPr>
                <w:sz w:val="19"/>
              </w:rPr>
              <w:t xml:space="preserve">S6</w:t>
            </w:r>
          </w:p>
        </w:tc>
        <w:tc>
          <w:tcPr/>
          <w:p>
            <w:pPr>
              <w:pStyle w:val="Compact"/>
            </w:pPr>
            <w:r>
              <w:rPr>
                <w:sz w:val="19"/>
              </w:rPr>
              <w:t xml:space="preserve">Crisis years</w:t>
            </w:r>
          </w:p>
        </w:tc>
        <w:tc>
          <w:tcPr/>
          <w:p>
            <w:pPr>
              <w:pStyle w:val="Compact"/>
            </w:pPr>
            <w:r>
              <w:rPr>
                <w:sz w:val="19"/>
              </w:rPr>
              <w:t xml:space="preserve">Exclude 1397–1398 (sanctions and currency crisis) and 1399 (COVID-19)</w:t>
            </w:r>
          </w:p>
        </w:tc>
      </w:tr>
      <w:tr>
        <w:tc>
          <w:tcPr/>
          <w:p>
            <w:pPr>
              <w:pStyle w:val="Compact"/>
            </w:pPr>
            <w:r>
              <w:rPr>
                <w:sz w:val="19"/>
              </w:rPr>
              <w:t xml:space="preserve">S7</w:t>
            </w:r>
          </w:p>
        </w:tc>
        <w:tc>
          <w:tcPr/>
          <w:p>
            <w:pPr>
              <w:pStyle w:val="Compact"/>
            </w:pPr>
            <w:r>
              <w:rPr>
                <w:sz w:val="19"/>
              </w:rPr>
              <w:t xml:space="preserve">Industry composition</w:t>
            </w:r>
          </w:p>
        </w:tc>
        <w:tc>
          <w:tcPr/>
          <w:p>
            <w:pPr>
              <w:pStyle w:val="Compact"/>
            </w:pPr>
            <w:r>
              <w:rPr>
                <w:sz w:val="19"/>
              </w:rPr>
              <w:t xml:space="preserve">Re-estimate excluding one industry at a time</w:t>
            </w:r>
          </w:p>
        </w:tc>
      </w:tr>
      <w:tr>
        <w:tc>
          <w:tcPr/>
          <w:p>
            <w:pPr>
              <w:pStyle w:val="Compact"/>
            </w:pPr>
            <w:r>
              <w:rPr>
                <w:sz w:val="19"/>
              </w:rPr>
              <w:t xml:space="preserve">S8</w:t>
            </w:r>
          </w:p>
        </w:tc>
        <w:tc>
          <w:tcPr/>
          <w:p>
            <w:pPr>
              <w:pStyle w:val="Compact"/>
            </w:pPr>
            <w:r>
              <w:rPr>
                <w:sz w:val="19"/>
              </w:rPr>
              <w:t xml:space="preserve">Sample composition</w:t>
            </w:r>
          </w:p>
        </w:tc>
        <w:tc>
          <w:tcPr/>
          <w:p>
            <w:pPr>
              <w:pStyle w:val="Compact"/>
            </w:pPr>
            <w:r>
              <w:rPr>
                <w:sz w:val="19"/>
              </w:rPr>
              <w:t xml:space="preserve">Unbalanced panel that adds firms dropped by the continuity filter, to assess survivorship bias</w:t>
            </w:r>
          </w:p>
        </w:tc>
      </w:tr>
    </w:tbl>
    <w:bookmarkEnd w:id="33"/>
    <w:bookmarkStart w:id="34" w:name="additional-identification-checks"/>
    <w:p>
      <w:pPr>
        <w:pStyle w:val="Heading3"/>
      </w:pPr>
      <w:r>
        <w:t xml:space="preserve">3.11.3 Additional identification checks</w:t>
      </w:r>
    </w:p>
    <w:p>
      <w:pPr>
        <w:pStyle w:val="Compact"/>
        <w:numPr>
          <w:ilvl w:val="0"/>
          <w:numId w:val="1006"/>
        </w:numPr>
      </w:pPr>
      <w:r>
        <w:rPr>
          <w:b/>
          <w:bCs/>
        </w:rPr>
        <w:t xml:space="preserve">Coefficient stability.</w:t>
      </w:r>
      <w:r>
        <w:t xml:space="preserve"> </w:t>
      </w:r>
      <w:r>
        <w:t xml:space="preserve">Oster’s (2019) δ is computed for β₁ and β₂, with R²max = 1.3 × R²: how strong selection on unobservables would have to be, relative to observables, to explain away the effect.</w:t>
      </w:r>
    </w:p>
    <w:p>
      <w:pPr>
        <w:pStyle w:val="Compact"/>
        <w:numPr>
          <w:ilvl w:val="0"/>
          <w:numId w:val="1006"/>
        </w:numPr>
      </w:pPr>
      <w:r>
        <w:rPr>
          <w:b/>
          <w:bCs/>
        </w:rPr>
        <w:t xml:space="preserve">Placebo test.</w:t>
      </w:r>
      <w:r>
        <w:t xml:space="preserve"> </w:t>
      </w:r>
      <w:r>
        <w:t xml:space="preserve">CSDev is randomly reassigned across firms within each industry-year 1,000 times. The distribution of placebo coefficients is compared with the actual estimates.</w:t>
      </w:r>
    </w:p>
    <w:p>
      <w:pPr>
        <w:pStyle w:val="Compact"/>
        <w:numPr>
          <w:ilvl w:val="0"/>
          <w:numId w:val="1006"/>
        </w:numPr>
      </w:pPr>
      <w:r>
        <w:rPr>
          <w:b/>
          <w:bCs/>
        </w:rPr>
        <w:t xml:space="preserve">Generated-regressor inference.</w:t>
      </w:r>
      <w:r>
        <w:t xml:space="preserve"> </w:t>
      </w:r>
      <w:r>
        <w:t xml:space="preserve">Firm-level cluster bootstrap of the full procedure (Section 3.10.4).</w:t>
      </w:r>
    </w:p>
    <w:bookmarkEnd w:id="34"/>
    <w:bookmarkStart w:id="35" w:name="online-appendix"/>
    <w:p>
      <w:pPr>
        <w:pStyle w:val="Heading3"/>
      </w:pPr>
      <w:r>
        <w:t xml:space="preserve">3.11.4 Online Appendix</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Table</w:t>
            </w:r>
          </w:p>
        </w:tc>
        <w:tc>
          <w:tcPr>
            <w:shd w:val="clear" w:color="auto" w:fill="E8ECF3"/>
          </w:tcPr>
          <w:p>
            <w:pPr>
              <w:pStyle w:val="Compact"/>
            </w:pPr>
            <w:r>
              <w:rPr>
                <w:b/>
                <w:sz w:val="19"/>
              </w:rPr>
              <w:t xml:space="preserve">Content</w:t>
            </w:r>
          </w:p>
        </w:tc>
      </w:tr>
      <w:tr>
        <w:tc>
          <w:tcPr/>
          <w:p>
            <w:pPr>
              <w:pStyle w:val="Compact"/>
            </w:pPr>
            <w:r>
              <w:rPr>
                <w:sz w:val="19"/>
              </w:rPr>
              <w:t xml:space="preserve">OA1</w:t>
            </w:r>
          </w:p>
        </w:tc>
        <w:tc>
          <w:tcPr/>
          <w:p>
            <w:pPr>
              <w:pStyle w:val="Compact"/>
            </w:pPr>
            <w:r>
              <w:rPr>
                <w:sz w:val="19"/>
              </w:rPr>
              <w:t xml:space="preserve">Sample construction by year and industry</w:t>
            </w:r>
          </w:p>
        </w:tc>
      </w:tr>
      <w:tr>
        <w:tc>
          <w:tcPr/>
          <w:p>
            <w:pPr>
              <w:pStyle w:val="Compact"/>
            </w:pPr>
            <w:r>
              <w:rPr>
                <w:sz w:val="19"/>
              </w:rPr>
              <w:t xml:space="preserve">OA2</w:t>
            </w:r>
          </w:p>
        </w:tc>
        <w:tc>
          <w:tcPr/>
          <w:p>
            <w:pPr>
              <w:pStyle w:val="Compact"/>
            </w:pPr>
            <w:r>
              <w:rPr>
                <w:sz w:val="19"/>
              </w:rPr>
              <w:t xml:space="preserve">First-stage estimates: Eq. (1) by industry-year (distribution of coefficients and R²), Eq. (2), and the Tobit model, Eq. (5)</w:t>
            </w:r>
          </w:p>
        </w:tc>
      </w:tr>
      <w:tr>
        <w:tc>
          <w:tcPr/>
          <w:p>
            <w:pPr>
              <w:pStyle w:val="Compact"/>
            </w:pPr>
            <w:r>
              <w:rPr>
                <w:sz w:val="19"/>
              </w:rPr>
              <w:t xml:space="preserve">OA3</w:t>
            </w:r>
          </w:p>
        </w:tc>
        <w:tc>
          <w:tcPr/>
          <w:p>
            <w:pPr>
              <w:pStyle w:val="Compact"/>
            </w:pPr>
            <w:r>
              <w:rPr>
                <w:sz w:val="19"/>
              </w:rPr>
              <w:t xml:space="preserve">Frequency of Dickinson’s five stages and stage transitions</w:t>
            </w:r>
          </w:p>
        </w:tc>
      </w:tr>
      <w:tr>
        <w:tc>
          <w:tcPr/>
          <w:p>
            <w:pPr>
              <w:pStyle w:val="Compact"/>
            </w:pPr>
            <w:r>
              <w:rPr>
                <w:sz w:val="19"/>
              </w:rPr>
              <w:t xml:space="preserve">OA4</w:t>
            </w:r>
          </w:p>
        </w:tc>
        <w:tc>
          <w:tcPr/>
          <w:p>
            <w:pPr>
              <w:pStyle w:val="Compact"/>
            </w:pPr>
            <w:r>
              <w:rPr>
                <w:sz w:val="19"/>
              </w:rPr>
              <w:t xml:space="preserve">Static fixed-effects estimates of Eqs. (6)–(12), with F and Hausman tests</w:t>
            </w:r>
          </w:p>
        </w:tc>
      </w:tr>
      <w:tr>
        <w:tc>
          <w:tcPr/>
          <w:p>
            <w:pPr>
              <w:pStyle w:val="Compact"/>
            </w:pPr>
            <w:r>
              <w:rPr>
                <w:sz w:val="19"/>
              </w:rPr>
              <w:t xml:space="preserve">OA5</w:t>
            </w:r>
          </w:p>
        </w:tc>
        <w:tc>
          <w:tcPr/>
          <w:p>
            <w:pPr>
              <w:pStyle w:val="Compact"/>
            </w:pPr>
            <w:r>
              <w:rPr>
                <w:sz w:val="19"/>
              </w:rPr>
              <w:t xml:space="preserve">Full estimates for R1–R10</w:t>
            </w:r>
          </w:p>
        </w:tc>
      </w:tr>
      <w:tr>
        <w:tc>
          <w:tcPr/>
          <w:p>
            <w:pPr>
              <w:pStyle w:val="Compact"/>
            </w:pPr>
            <w:r>
              <w:rPr>
                <w:sz w:val="19"/>
              </w:rPr>
              <w:t xml:space="preserve">OA6</w:t>
            </w:r>
          </w:p>
        </w:tc>
        <w:tc>
          <w:tcPr/>
          <w:p>
            <w:pPr>
              <w:pStyle w:val="Compact"/>
            </w:pPr>
            <w:r>
              <w:rPr>
                <w:sz w:val="19"/>
              </w:rPr>
              <w:t xml:space="preserve">Full estimates for S1–S8</w:t>
            </w:r>
          </w:p>
        </w:tc>
      </w:tr>
      <w:tr>
        <w:tc>
          <w:tcPr/>
          <w:p>
            <w:pPr>
              <w:pStyle w:val="Compact"/>
            </w:pPr>
            <w:r>
              <w:rPr>
                <w:sz w:val="19"/>
              </w:rPr>
              <w:t xml:space="preserve">OA7</w:t>
            </w:r>
          </w:p>
        </w:tc>
        <w:tc>
          <w:tcPr/>
          <w:p>
            <w:pPr>
              <w:pStyle w:val="Compact"/>
            </w:pPr>
            <w:r>
              <w:rPr>
                <w:sz w:val="19"/>
              </w:rPr>
              <w:t xml:space="preserve">Reverse-causality model, Eq. (13)</w:t>
            </w:r>
          </w:p>
        </w:tc>
      </w:tr>
      <w:tr>
        <w:tc>
          <w:tcPr/>
          <w:p>
            <w:pPr>
              <w:pStyle w:val="Compact"/>
            </w:pPr>
            <w:r>
              <w:rPr>
                <w:sz w:val="19"/>
              </w:rPr>
              <w:t xml:space="preserve">OA8</w:t>
            </w:r>
          </w:p>
        </w:tc>
        <w:tc>
          <w:tcPr/>
          <w:p>
            <w:pPr>
              <w:pStyle w:val="Compact"/>
            </w:pPr>
            <w:r>
              <w:rPr>
                <w:sz w:val="19"/>
              </w:rPr>
              <w:t xml:space="preserve">Oster bounds, placebo distribution and bootstrap standard errors</w:t>
            </w:r>
          </w:p>
        </w:tc>
      </w:tr>
      <w:tr>
        <w:tc>
          <w:tcPr/>
          <w:p>
            <w:pPr>
              <w:pStyle w:val="Compact"/>
            </w:pPr>
            <w:r>
              <w:rPr>
                <w:sz w:val="19"/>
              </w:rPr>
              <w:t xml:space="preserve">OA9</w:t>
            </w:r>
          </w:p>
        </w:tc>
        <w:tc>
          <w:tcPr/>
          <w:p>
            <w:pPr>
              <w:pStyle w:val="Compact"/>
            </w:pPr>
            <w:r>
              <w:rPr>
                <w:sz w:val="19"/>
              </w:rPr>
              <w:t xml:space="preserve">Within-stage estimates of Eqs. (6), (9) and (11)</w:t>
            </w:r>
          </w:p>
        </w:tc>
      </w:tr>
    </w:tbl>
    <w:bookmarkEnd w:id="35"/>
    <w:bookmarkEnd w:id="36"/>
    <w:bookmarkStart w:id="37" w:name="appendix-a.-variable-definitions"/>
    <w:p>
      <w:pPr>
        <w:pStyle w:val="Heading2"/>
      </w:pPr>
      <w:r>
        <w:t xml:space="preserve">Appendix A. Variable Definitions</w:t>
      </w:r>
    </w:p>
    <w:p>
      <w:pPr>
        <w:pStyle w:val="FirstParagraph"/>
      </w:pPr>
      <w:r>
        <w:t xml:space="preserve">Data items refer to the columns of the research dataset. Subscript t−1 denotes the prior fiscal year.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Variable</w:t>
            </w:r>
          </w:p>
        </w:tc>
        <w:tc>
          <w:tcPr>
            <w:shd w:val="clear" w:color="auto" w:fill="E8ECF3"/>
          </w:tcPr>
          <w:p>
            <w:pPr>
              <w:pStyle w:val="Compact"/>
            </w:pPr>
            <w:r>
              <w:rPr>
                <w:b/>
                <w:sz w:val="19"/>
              </w:rPr>
              <w:t xml:space="preserve">Definition</w:t>
            </w:r>
          </w:p>
        </w:tc>
        <w:tc>
          <w:tcPr>
            <w:shd w:val="clear" w:color="auto" w:fill="E8ECF3"/>
          </w:tcPr>
          <w:p>
            <w:pPr>
              <w:pStyle w:val="Compact"/>
            </w:pPr>
            <w:r>
              <w:rPr>
                <w:b/>
                <w:sz w:val="19"/>
              </w:rPr>
              <w:t xml:space="preserve">Data items</w:t>
            </w:r>
          </w:p>
        </w:tc>
      </w:tr>
      <w:tr>
        <w:tc>
          <w:tcPr/>
          <w:p>
            <w:pPr>
              <w:pStyle w:val="Compact"/>
            </w:pPr>
            <w:r>
              <w:rPr>
                <w:sz w:val="19"/>
              </w:rPr>
              <w:t xml:space="preserve">Invest</w:t>
            </w:r>
          </w:p>
        </w:tc>
        <w:tc>
          <w:tcPr/>
          <w:p>
            <w:pPr>
              <w:pStyle w:val="Compact"/>
            </w:pPr>
            <w:r>
              <w:rPr>
                <w:sz w:val="19"/>
              </w:rPr>
              <w:t xml:space="preserve">[(PPE + IA)</w:t>
            </w:r>
            <w:r>
              <w:rPr>
                <w:sz w:val="19"/>
                <w:vertAlign w:val="subscript"/>
              </w:rPr>
              <w:t xml:space="preserve">t</w:t>
            </w:r>
            <w:r>
              <w:rPr>
                <w:sz w:val="19"/>
              </w:rPr>
              <w:t xml:space="preserve"> </w:t>
            </w:r>
            <w:r>
              <w:rPr>
                <w:sz w:val="19"/>
              </w:rPr>
              <w:t xml:space="preserve">− (PPE + IA)</w:t>
            </w:r>
            <w:r>
              <w:rPr>
                <w:sz w:val="19"/>
                <w:vertAlign w:val="subscript"/>
              </w:rPr>
              <w:t xml:space="preserve">t−1</w:t>
            </w:r>
            <w:r>
              <w:rPr>
                <w:sz w:val="19"/>
              </w:rPr>
              <w:t xml:space="preserve">] / TA</w:t>
            </w:r>
            <w:r>
              <w:rPr>
                <w:sz w:val="19"/>
                <w:vertAlign w:val="subscript"/>
              </w:rPr>
              <w:t xml:space="preserve">t−1</w:t>
            </w:r>
          </w:p>
        </w:tc>
        <w:tc>
          <w:tcPr/>
          <w:p>
            <w:pPr>
              <w:pStyle w:val="Compact"/>
            </w:pPr>
            <w:r>
              <w:rPr>
                <w:sz w:val="19"/>
              </w:rPr>
              <w:t xml:space="preserve">PPE, IA, TA</w:t>
            </w:r>
          </w:p>
        </w:tc>
      </w:tr>
      <w:tr>
        <w:tc>
          <w:tcPr/>
          <w:p>
            <w:pPr>
              <w:pStyle w:val="Compact"/>
            </w:pPr>
            <w:r>
              <w:rPr>
                <w:sz w:val="19"/>
              </w:rPr>
              <w:t xml:space="preserve">SalesGrowth</w:t>
            </w:r>
          </w:p>
        </w:tc>
        <w:tc>
          <w:tcPr/>
          <w:p>
            <w:pPr>
              <w:pStyle w:val="Compact"/>
            </w:pPr>
            <w:r>
              <w:rPr>
                <w:sz w:val="19"/>
              </w:rPr>
              <w:t xml:space="preserve">(Sales</w:t>
            </w:r>
            <w:r>
              <w:rPr>
                <w:sz w:val="19"/>
                <w:vertAlign w:val="subscript"/>
              </w:rPr>
              <w:t xml:space="preserve">t</w:t>
            </w:r>
            <w:r>
              <w:rPr>
                <w:sz w:val="19"/>
              </w:rPr>
              <w:t xml:space="preserve"> </w:t>
            </w:r>
            <w:r>
              <w:rPr>
                <w:sz w:val="19"/>
              </w:rPr>
              <w:t xml:space="preserve">− Sales</w:t>
            </w:r>
            <w:r>
              <w:rPr>
                <w:sz w:val="19"/>
                <w:vertAlign w:val="subscript"/>
              </w:rPr>
              <w:t xml:space="preserve">t−1</w:t>
            </w:r>
            <w:r>
              <w:rPr>
                <w:sz w:val="19"/>
              </w:rPr>
              <w:t xml:space="preserve">) / Sales</w:t>
            </w:r>
            <w:r>
              <w:rPr>
                <w:sz w:val="19"/>
                <w:vertAlign w:val="subscript"/>
              </w:rPr>
              <w:t xml:space="preserve">t−1</w:t>
            </w:r>
          </w:p>
        </w:tc>
        <w:tc>
          <w:tcPr/>
          <w:p>
            <w:pPr>
              <w:pStyle w:val="Compact"/>
            </w:pPr>
            <w:r>
              <w:rPr>
                <w:sz w:val="19"/>
              </w:rPr>
              <w:t xml:space="preserve">Sales</w:t>
            </w:r>
          </w:p>
        </w:tc>
      </w:tr>
      <w:tr>
        <w:tc>
          <w:tcPr/>
          <w:p>
            <w:pPr>
              <w:pStyle w:val="Compact"/>
            </w:pPr>
            <w:r>
              <w:rPr>
                <w:sz w:val="19"/>
              </w:rPr>
              <w:t xml:space="preserve">InvEff</w:t>
            </w:r>
          </w:p>
        </w:tc>
        <w:tc>
          <w:tcPr/>
          <w:p>
            <w:pPr>
              <w:pStyle w:val="Compact"/>
            </w:pPr>
            <w:r>
              <w:rPr>
                <w:sz w:val="19"/>
              </w:rPr>
              <w:t xml:space="preserve">Signed residual of Eq. (1), estimated by industry-year</w:t>
            </w:r>
          </w:p>
        </w:tc>
        <w:tc>
          <w:tcPr/>
          <w:p>
            <w:pPr>
              <w:pStyle w:val="Compact"/>
            </w:pPr>
            <w:r>
              <w:rPr>
                <w:sz w:val="19"/>
              </w:rPr>
              <w:t xml:space="preserve">Invest, SalesGrowth, IndID</w:t>
            </w:r>
          </w:p>
        </w:tc>
      </w:tr>
      <w:tr>
        <w:tc>
          <w:tcPr/>
          <w:p>
            <w:pPr>
              <w:pStyle w:val="Compact"/>
            </w:pPr>
            <w:r>
              <w:rPr>
                <w:sz w:val="19"/>
              </w:rPr>
              <w:t xml:space="preserve">TDA</w:t>
            </w:r>
          </w:p>
        </w:tc>
        <w:tc>
          <w:tcPr/>
          <w:p>
            <w:pPr>
              <w:pStyle w:val="Compact"/>
            </w:pPr>
            <w:r>
              <w:rPr>
                <w:sz w:val="19"/>
              </w:rPr>
              <w:t xml:space="preserve">TD / TA</w:t>
            </w:r>
          </w:p>
        </w:tc>
        <w:tc>
          <w:tcPr/>
          <w:p>
            <w:pPr>
              <w:pStyle w:val="Compact"/>
            </w:pPr>
            <w:r>
              <w:rPr>
                <w:sz w:val="19"/>
              </w:rPr>
              <w:t xml:space="preserve">TD, TA</w:t>
            </w:r>
          </w:p>
        </w:tc>
      </w:tr>
      <w:tr>
        <w:tc>
          <w:tcPr/>
          <w:p>
            <w:pPr>
              <w:pStyle w:val="Compact"/>
            </w:pPr>
            <w:r>
              <w:rPr>
                <w:sz w:val="19"/>
              </w:rPr>
              <w:t xml:space="preserve">IOB</w:t>
            </w:r>
          </w:p>
        </w:tc>
        <w:tc>
          <w:tcPr/>
          <w:p>
            <w:pPr>
              <w:pStyle w:val="Compact"/>
            </w:pPr>
            <w:r>
              <w:rPr>
                <w:sz w:val="19"/>
              </w:rPr>
              <w:t xml:space="preserve">FinExp / TA</w:t>
            </w:r>
          </w:p>
        </w:tc>
        <w:tc>
          <w:tcPr/>
          <w:p>
            <w:pPr>
              <w:pStyle w:val="Compact"/>
            </w:pPr>
            <w:r>
              <w:rPr>
                <w:sz w:val="19"/>
              </w:rPr>
              <w:t xml:space="preserve">FinExp, TA</w:t>
            </w:r>
          </w:p>
        </w:tc>
      </w:tr>
      <w:tr>
        <w:tc>
          <w:tcPr/>
          <w:p>
            <w:pPr>
              <w:pStyle w:val="Compact"/>
            </w:pPr>
            <w:r>
              <w:rPr>
                <w:sz w:val="19"/>
              </w:rPr>
              <w:t xml:space="preserve">COL</w:t>
            </w:r>
          </w:p>
        </w:tc>
        <w:tc>
          <w:tcPr/>
          <w:p>
            <w:pPr>
              <w:pStyle w:val="Compact"/>
            </w:pPr>
            <w:r>
              <w:rPr>
                <w:sz w:val="19"/>
              </w:rPr>
              <w:t xml:space="preserve">(INV + PPE) / TA</w:t>
            </w:r>
          </w:p>
        </w:tc>
        <w:tc>
          <w:tcPr/>
          <w:p>
            <w:pPr>
              <w:pStyle w:val="Compact"/>
            </w:pPr>
            <w:r>
              <w:rPr>
                <w:sz w:val="19"/>
              </w:rPr>
              <w:t xml:space="preserve">INV, PPE, TA</w:t>
            </w:r>
          </w:p>
        </w:tc>
      </w:tr>
      <w:tr>
        <w:tc>
          <w:tcPr/>
          <w:p>
            <w:pPr>
              <w:pStyle w:val="Compact"/>
            </w:pPr>
            <w:r>
              <w:rPr>
                <w:sz w:val="19"/>
              </w:rPr>
              <w:t xml:space="preserve">LTA</w:t>
            </w:r>
          </w:p>
        </w:tc>
        <w:tc>
          <w:tcPr/>
          <w:p>
            <w:pPr>
              <w:pStyle w:val="Compact"/>
            </w:pPr>
            <w:r>
              <w:rPr>
                <w:sz w:val="19"/>
              </w:rPr>
              <w:t xml:space="preserve">ln(TA / CPI), total assets in 1392 prices</w:t>
            </w:r>
          </w:p>
        </w:tc>
        <w:tc>
          <w:tcPr/>
          <w:p>
            <w:pPr>
              <w:pStyle w:val="Compact"/>
            </w:pPr>
            <w:r>
              <w:rPr>
                <w:sz w:val="19"/>
              </w:rPr>
              <w:t xml:space="preserve">TA, INF</w:t>
            </w:r>
          </w:p>
        </w:tc>
      </w:tr>
      <w:tr>
        <w:tc>
          <w:tcPr/>
          <w:p>
            <w:pPr>
              <w:pStyle w:val="Compact"/>
            </w:pPr>
            <w:r>
              <w:rPr>
                <w:sz w:val="19"/>
              </w:rPr>
              <w:t xml:space="preserve">MTB</w:t>
            </w:r>
          </w:p>
        </w:tc>
        <w:tc>
          <w:tcPr/>
          <w:p>
            <w:pPr>
              <w:pStyle w:val="Compact"/>
            </w:pPr>
            <w:r>
              <w:rPr>
                <w:sz w:val="19"/>
              </w:rPr>
              <w:t xml:space="preserve">MV / BV</w:t>
            </w:r>
          </w:p>
        </w:tc>
        <w:tc>
          <w:tcPr/>
          <w:p>
            <w:pPr>
              <w:pStyle w:val="Compact"/>
            </w:pPr>
            <w:r>
              <w:rPr>
                <w:sz w:val="19"/>
              </w:rPr>
              <w:t xml:space="preserve">MV, BV</w:t>
            </w:r>
          </w:p>
        </w:tc>
      </w:tr>
      <w:tr>
        <w:tc>
          <w:tcPr/>
          <w:p>
            <w:pPr>
              <w:pStyle w:val="Compact"/>
            </w:pPr>
            <w:r>
              <w:rPr>
                <w:sz w:val="19"/>
              </w:rPr>
              <w:t xml:space="preserve">PROFIT</w:t>
            </w:r>
          </w:p>
        </w:tc>
        <w:tc>
          <w:tcPr/>
          <w:p>
            <w:pPr>
              <w:pStyle w:val="Compact"/>
            </w:pPr>
            <w:r>
              <w:rPr>
                <w:sz w:val="19"/>
              </w:rPr>
              <w:t xml:space="preserve">OI / TA</w:t>
            </w:r>
          </w:p>
        </w:tc>
        <w:tc>
          <w:tcPr/>
          <w:p>
            <w:pPr>
              <w:pStyle w:val="Compact"/>
            </w:pPr>
            <w:r>
              <w:rPr>
                <w:sz w:val="19"/>
              </w:rPr>
              <w:t xml:space="preserve">OI, TA</w:t>
            </w:r>
          </w:p>
        </w:tc>
      </w:tr>
      <w:tr>
        <w:tc>
          <w:tcPr/>
          <w:p>
            <w:pPr>
              <w:pStyle w:val="Compact"/>
            </w:pPr>
            <w:r>
              <w:rPr>
                <w:sz w:val="19"/>
              </w:rPr>
              <w:t xml:space="preserve">INDLEV</w:t>
            </w:r>
          </w:p>
        </w:tc>
        <w:tc>
          <w:tcPr/>
          <w:p>
            <w:pPr>
              <w:pStyle w:val="Compact"/>
            </w:pPr>
            <w:r>
              <w:rPr>
                <w:sz w:val="19"/>
              </w:rPr>
              <w:t xml:space="preserve">Median TDA of the industry-year, excluding the firm</w:t>
            </w:r>
          </w:p>
        </w:tc>
        <w:tc>
          <w:tcPr/>
          <w:p>
            <w:pPr>
              <w:pStyle w:val="Compact"/>
            </w:pPr>
            <w:r>
              <w:rPr>
                <w:sz w:val="19"/>
              </w:rPr>
              <w:t xml:space="preserve">TD, TA, IndID</w:t>
            </w:r>
          </w:p>
        </w:tc>
      </w:tr>
      <w:tr>
        <w:tc>
          <w:tcPr/>
          <w:p>
            <w:pPr>
              <w:pStyle w:val="Compact"/>
            </w:pPr>
            <w:r>
              <w:rPr>
                <w:sz w:val="19"/>
              </w:rPr>
              <w:t xml:space="preserve">INF</w:t>
            </w:r>
          </w:p>
        </w:tc>
        <w:tc>
          <w:tcPr/>
          <w:p>
            <w:pPr>
              <w:pStyle w:val="Compact"/>
            </w:pPr>
            <w:r>
              <w:rPr>
                <w:sz w:val="19"/>
              </w:rPr>
              <w:t xml:space="preserve">Annual consumer-price inflation rate</w:t>
            </w:r>
          </w:p>
        </w:tc>
        <w:tc>
          <w:tcPr/>
          <w:p>
            <w:pPr>
              <w:pStyle w:val="Compact"/>
            </w:pPr>
            <w:r>
              <w:rPr>
                <w:sz w:val="19"/>
              </w:rPr>
              <w:t xml:space="preserve">INF</w:t>
            </w:r>
          </w:p>
        </w:tc>
      </w:tr>
      <w:tr>
        <w:tc>
          <w:tcPr/>
          <w:p>
            <w:pPr>
              <w:pStyle w:val="Compact"/>
            </w:pPr>
            <w:r>
              <w:rPr>
                <w:sz w:val="19"/>
              </w:rPr>
              <w:t xml:space="preserve">CSDev</w:t>
            </w:r>
          </w:p>
        </w:tc>
        <w:tc>
          <w:tcPr/>
          <w:p>
            <w:pPr>
              <w:pStyle w:val="Compact"/>
            </w:pPr>
            <w:r>
              <w:rPr>
                <w:sz w:val="19"/>
              </w:rPr>
              <w:t xml:space="preserve">TDA minus fitted target leverage from Eq. (2)</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GROW, MAT, DEC</w:t>
            </w:r>
          </w:p>
        </w:tc>
        <w:tc>
          <w:tcPr/>
          <w:p>
            <w:pPr>
              <w:pStyle w:val="Compact"/>
            </w:pPr>
            <w:r>
              <w:rPr>
                <w:sz w:val="19"/>
              </w:rPr>
              <w:t xml:space="preserve">Life-cycle indicators at t−1 (Section 3.4)</w:t>
            </w:r>
          </w:p>
        </w:tc>
        <w:tc>
          <w:tcPr/>
          <w:p>
            <w:pPr>
              <w:pStyle w:val="Compact"/>
            </w:pPr>
            <w:r>
              <w:rPr>
                <w:sz w:val="19"/>
              </w:rPr>
              <w:t xml:space="preserve">CFO, CFI, CFF</w:t>
            </w:r>
          </w:p>
        </w:tc>
      </w:tr>
      <w:tr>
        <w:tc>
          <w:tcPr/>
          <w:p>
            <w:pPr>
              <w:pStyle w:val="Compact"/>
            </w:pPr>
            <w:r>
              <w:rPr>
                <w:sz w:val="19"/>
              </w:rPr>
              <w:t xml:space="preserve">GD</w:t>
            </w:r>
          </w:p>
        </w:tc>
        <w:tc>
          <w:tcPr/>
          <w:p>
            <w:pPr>
              <w:pStyle w:val="Compact"/>
            </w:pPr>
            <w:r>
              <w:rPr>
                <w:sz w:val="19"/>
              </w:rPr>
              <w:t xml:space="preserve">1 if GROW or DEC at t−1, 0 if MAT</w:t>
            </w:r>
          </w:p>
        </w:tc>
        <w:tc>
          <w:tcPr/>
          <w:p>
            <w:pPr>
              <w:pStyle w:val="Compact"/>
            </w:pPr>
            <w:r>
              <w:rPr>
                <w:sz w:val="19"/>
              </w:rPr>
              <w:t xml:space="preserve">CFO, CFI, CFF</w:t>
            </w:r>
          </w:p>
        </w:tc>
      </w:tr>
      <w:tr>
        <w:tc>
          <w:tcPr/>
          <w:p>
            <w:pPr>
              <w:pStyle w:val="Compact"/>
            </w:pPr>
            <w:r>
              <w:rPr>
                <w:sz w:val="19"/>
              </w:rPr>
              <w:t xml:space="preserve">FE</w:t>
            </w:r>
          </w:p>
        </w:tc>
        <w:tc>
          <w:tcPr/>
          <w:p>
            <w:pPr>
              <w:pStyle w:val="Compact"/>
            </w:pPr>
            <w:r>
              <w:rPr>
                <w:sz w:val="19"/>
              </w:rPr>
              <w:t xml:space="preserve">DEA efficiency score; output Sales; inputs COGS, SGA, PPE</w:t>
            </w:r>
            <w:r>
              <w:rPr>
                <w:sz w:val="19"/>
                <w:vertAlign w:val="subscript"/>
              </w:rPr>
              <w:t xml:space="preserve">t−1</w:t>
            </w:r>
            <w:r>
              <w:rPr>
                <w:sz w:val="19"/>
              </w:rPr>
              <w:t xml:space="preserve">, IA</w:t>
            </w:r>
            <w:r>
              <w:rPr>
                <w:sz w:val="19"/>
                <w:vertAlign w:val="subscript"/>
              </w:rPr>
              <w:t xml:space="preserve">t−1</w:t>
            </w:r>
          </w:p>
        </w:tc>
        <w:tc>
          <w:tcPr/>
          <w:p>
            <w:pPr>
              <w:pStyle w:val="Compact"/>
            </w:pPr>
            <w:r>
              <w:rPr>
                <w:sz w:val="19"/>
              </w:rPr>
              <w:t xml:space="preserve">Sales, COGS, SGA, PPE, IA</w:t>
            </w:r>
          </w:p>
        </w:tc>
      </w:tr>
      <w:tr>
        <w:tc>
          <w:tcPr/>
          <w:p>
            <w:pPr>
              <w:pStyle w:val="Compact"/>
            </w:pPr>
            <w:r>
              <w:rPr>
                <w:sz w:val="19"/>
              </w:rPr>
              <w:t xml:space="preserve">MktShare</w:t>
            </w:r>
          </w:p>
        </w:tc>
        <w:tc>
          <w:tcPr/>
          <w:p>
            <w:pPr>
              <w:pStyle w:val="Compact"/>
            </w:pPr>
            <w:r>
              <w:rPr>
                <w:sz w:val="19"/>
              </w:rPr>
              <w:t xml:space="preserve">Sales / total industry-year sales</w:t>
            </w:r>
          </w:p>
        </w:tc>
        <w:tc>
          <w:tcPr/>
          <w:p>
            <w:pPr>
              <w:pStyle w:val="Compact"/>
            </w:pPr>
            <w:r>
              <w:rPr>
                <w:sz w:val="19"/>
              </w:rPr>
              <w:t xml:space="preserve">Sales, IndID</w:t>
            </w:r>
          </w:p>
        </w:tc>
      </w:tr>
      <w:tr>
        <w:tc>
          <w:tcPr/>
          <w:p>
            <w:pPr>
              <w:pStyle w:val="Compact"/>
            </w:pPr>
            <w:r>
              <w:rPr>
                <w:sz w:val="19"/>
              </w:rPr>
              <w:t xml:space="preserve">FCF⁺</w:t>
            </w:r>
          </w:p>
        </w:tc>
        <w:tc>
          <w:tcPr/>
          <w:p>
            <w:pPr>
              <w:pStyle w:val="Compact"/>
            </w:pPr>
            <w:r>
              <w:rPr>
                <w:sz w:val="19"/>
              </w:rPr>
              <w:t xml:space="preserve">1 if (CFO + CFI) &gt; 0, else 0</w:t>
            </w:r>
          </w:p>
        </w:tc>
        <w:tc>
          <w:tcPr/>
          <w:p>
            <w:pPr>
              <w:pStyle w:val="Compact"/>
            </w:pPr>
            <w:r>
              <w:rPr>
                <w:sz w:val="19"/>
              </w:rPr>
              <w:t xml:space="preserve">CFO, CFI</w:t>
            </w:r>
          </w:p>
        </w:tc>
      </w:tr>
      <w:tr>
        <w:tc>
          <w:tcPr/>
          <w:p>
            <w:pPr>
              <w:pStyle w:val="Compact"/>
            </w:pPr>
            <w:r>
              <w:rPr>
                <w:sz w:val="19"/>
              </w:rPr>
              <w:t xml:space="preserve">MA</w:t>
            </w:r>
          </w:p>
        </w:tc>
        <w:tc>
          <w:tcPr/>
          <w:p>
            <w:pPr>
              <w:pStyle w:val="Compact"/>
            </w:pPr>
            <w:r>
              <w:rPr>
                <w:sz w:val="19"/>
              </w:rPr>
              <w:t xml:space="preserve">Residual of the Tobit model, Eq. (5), mean-centered</w:t>
            </w:r>
          </w:p>
        </w:tc>
        <w:tc>
          <w:tcPr/>
          <w:p>
            <w:pPr>
              <w:pStyle w:val="Compact"/>
            </w:pPr>
            <w:r>
              <w:rPr>
                <w:sz w:val="19"/>
              </w:rPr>
              <w:t xml:space="preserve">—</w:t>
            </w:r>
          </w:p>
        </w:tc>
      </w:tr>
      <w:tr>
        <w:tc>
          <w:tcPr/>
          <w:p>
            <w:pPr>
              <w:pStyle w:val="Compact"/>
            </w:pPr>
            <w:r>
              <w:rPr>
                <w:sz w:val="19"/>
              </w:rPr>
              <w:t xml:space="preserve">FCF</w:t>
            </w:r>
          </w:p>
        </w:tc>
        <w:tc>
          <w:tcPr/>
          <w:p>
            <w:pPr>
              <w:pStyle w:val="Compact"/>
            </w:pPr>
            <w:r>
              <w:rPr>
                <w:sz w:val="19"/>
              </w:rPr>
              <w:t xml:space="preserve">CFO / TA</w:t>
            </w:r>
          </w:p>
        </w:tc>
        <w:tc>
          <w:tcPr/>
          <w:p>
            <w:pPr>
              <w:pStyle w:val="Compact"/>
            </w:pPr>
            <w:r>
              <w:rPr>
                <w:sz w:val="19"/>
              </w:rPr>
              <w:t xml:space="preserve">CFO, TA</w:t>
            </w:r>
          </w:p>
        </w:tc>
      </w:tr>
      <w:tr>
        <w:tc>
          <w:tcPr/>
          <w:p>
            <w:pPr>
              <w:pStyle w:val="Compact"/>
            </w:pPr>
            <w:r>
              <w:rPr>
                <w:sz w:val="19"/>
              </w:rPr>
              <w:t xml:space="preserve">Age</w:t>
            </w:r>
          </w:p>
        </w:tc>
        <w:tc>
          <w:tcPr/>
          <w:p>
            <w:pPr>
              <w:pStyle w:val="Compact"/>
            </w:pPr>
            <w:r>
              <w:rPr>
                <w:sz w:val="19"/>
              </w:rPr>
              <w:t xml:space="preserve">ln(1 + firm age in years)</w:t>
            </w:r>
          </w:p>
        </w:tc>
        <w:tc>
          <w:tcPr/>
          <w:p>
            <w:pPr>
              <w:pStyle w:val="Compact"/>
            </w:pPr>
            <w:r>
              <w:rPr>
                <w:sz w:val="19"/>
              </w:rPr>
              <w:t xml:space="preserve">Age</w:t>
            </w:r>
          </w:p>
        </w:tc>
      </w:tr>
      <w:tr>
        <w:tc>
          <w:tcPr/>
          <w:p>
            <w:pPr>
              <w:pStyle w:val="Compact"/>
            </w:pPr>
            <w:r>
              <w:rPr>
                <w:sz w:val="19"/>
              </w:rPr>
              <w:t xml:space="preserve">CPI</w:t>
            </w:r>
          </w:p>
        </w:tc>
        <w:tc>
          <w:tcPr/>
          <w:p>
            <w:pPr>
              <w:pStyle w:val="Compact"/>
            </w:pPr>
            <w:r>
              <w:rPr>
                <w:sz w:val="19"/>
              </w:rPr>
              <w:t xml:space="preserve">Price index built from INF, base year 1392 = 1</w:t>
            </w:r>
          </w:p>
        </w:tc>
        <w:tc>
          <w:tcPr/>
          <w:p>
            <w:pPr>
              <w:pStyle w:val="Compact"/>
            </w:pPr>
            <w:r>
              <w:rPr>
                <w:sz w:val="19"/>
              </w:rPr>
              <w:t xml:space="preserve">INF</w:t>
            </w:r>
          </w:p>
        </w:tc>
      </w:tr>
    </w:tbl>
    <w:bookmarkEnd w:id="37"/>
    <w:bookmarkStart w:id="38" w:name="references"/>
    <w:p>
      <w:pPr>
        <w:pStyle w:val="Heading2"/>
      </w:pPr>
      <w:r>
        <w:t xml:space="preserve">References</w:t>
      </w:r>
    </w:p>
    <w:p>
      <w:pPr>
        <w:pStyle w:val="Compact"/>
        <w:numPr>
          <w:ilvl w:val="0"/>
          <w:numId w:val="1007"/>
        </w:numPr>
      </w:pPr>
      <w:r>
        <w:t xml:space="preserve">Aiken, L. S., &amp; West, S. G. (1991).</w:t>
      </w:r>
      <w:r>
        <w:t xml:space="preserve"> </w:t>
      </w:r>
      <w:r>
        <w:rPr>
          <w:i/>
          <w:iCs/>
        </w:rPr>
        <w:t xml:space="preserve">Multiple regression: Testing and interpreting interactions</w:t>
      </w:r>
      <w:r>
        <w:t xml:space="preserve">. Sage.</w:t>
      </w:r>
    </w:p>
    <w:p>
      <w:pPr>
        <w:pStyle w:val="Compact"/>
        <w:numPr>
          <w:ilvl w:val="0"/>
          <w:numId w:val="1007"/>
        </w:numPr>
      </w:pPr>
      <w:r>
        <w:t xml:space="preserve">Anthony, J. H., &amp; Ramesh, K. (1992). Association between accounting performance measures and stock prices: A test of the life cycle hypothesis.</w:t>
      </w:r>
      <w:r>
        <w:t xml:space="preserve"> </w:t>
      </w:r>
      <w:r>
        <w:rPr>
          <w:i/>
          <w:iCs/>
        </w:rPr>
        <w:t xml:space="preserve">Journal of Accounting and Economics, 15</w:t>
      </w:r>
      <w:r>
        <w:t xml:space="preserve">(2–3), 203–227.</w:t>
      </w:r>
    </w:p>
    <w:p>
      <w:pPr>
        <w:pStyle w:val="Compact"/>
        <w:numPr>
          <w:ilvl w:val="0"/>
          <w:numId w:val="1007"/>
        </w:numPr>
      </w:pPr>
      <w:r>
        <w:t xml:space="preserve">Arellano, M., &amp; Bond, S. (1991). Some tests of specification for panel data: Monte Carlo evidence and an application to employment equations.</w:t>
      </w:r>
      <w:r>
        <w:t xml:space="preserve"> </w:t>
      </w:r>
      <w:r>
        <w:rPr>
          <w:i/>
          <w:iCs/>
        </w:rPr>
        <w:t xml:space="preserve">Review of Economic Studies, 58</w:t>
      </w:r>
      <w:r>
        <w:t xml:space="preserve">(2), 277–297.</w:t>
      </w:r>
    </w:p>
    <w:p>
      <w:pPr>
        <w:pStyle w:val="Compact"/>
        <w:numPr>
          <w:ilvl w:val="0"/>
          <w:numId w:val="1007"/>
        </w:numPr>
      </w:pPr>
      <w:r>
        <w:t xml:space="preserve">Arellano, M., &amp; Bover, O. (1995). Another look at the instrumental variable estimation of error-components models.</w:t>
      </w:r>
      <w:r>
        <w:t xml:space="preserve"> </w:t>
      </w:r>
      <w:r>
        <w:rPr>
          <w:i/>
          <w:iCs/>
        </w:rPr>
        <w:t xml:space="preserve">Journal of Econometrics, 68</w:t>
      </w:r>
      <w:r>
        <w:t xml:space="preserve">(1), 29–51.</w:t>
      </w:r>
    </w:p>
    <w:p>
      <w:pPr>
        <w:pStyle w:val="Compact"/>
        <w:numPr>
          <w:ilvl w:val="0"/>
          <w:numId w:val="1007"/>
        </w:numPr>
      </w:pPr>
      <w:r>
        <w:t xml:space="preserve">Biddle, G. C., Hilary, G., &amp; Verdi, R. S. (2009). How does financial reporting quality relate to investment efficiency?</w:t>
      </w:r>
      <w:r>
        <w:t xml:space="preserve"> </w:t>
      </w:r>
      <w:r>
        <w:rPr>
          <w:i/>
          <w:iCs/>
        </w:rPr>
        <w:t xml:space="preserve">Journal of Accounting and Economics, 48</w:t>
      </w:r>
      <w:r>
        <w:t xml:space="preserve">(2–3), 112–131.</w:t>
      </w:r>
    </w:p>
    <w:p>
      <w:pPr>
        <w:pStyle w:val="Compact"/>
        <w:numPr>
          <w:ilvl w:val="0"/>
          <w:numId w:val="1007"/>
        </w:numPr>
      </w:pPr>
      <w:r>
        <w:t xml:space="preserve">Blundell, R., &amp; Bond, S. (1998). Initial conditions and moment restrictions in dynamic panel data models.</w:t>
      </w:r>
      <w:r>
        <w:t xml:space="preserve"> </w:t>
      </w:r>
      <w:r>
        <w:rPr>
          <w:i/>
          <w:iCs/>
        </w:rPr>
        <w:t xml:space="preserve">Journal of Econometrics, 87</w:t>
      </w:r>
      <w:r>
        <w:t xml:space="preserve">(1), 115–143.</w:t>
      </w:r>
    </w:p>
    <w:p>
      <w:pPr>
        <w:pStyle w:val="Compact"/>
        <w:numPr>
          <w:ilvl w:val="0"/>
          <w:numId w:val="1007"/>
        </w:numPr>
      </w:pPr>
      <w:r>
        <w:t xml:space="preserve">Bond, S. R. (2002). Dynamic panel data models: A guide to micro data methods and practice.</w:t>
      </w:r>
      <w:r>
        <w:t xml:space="preserve"> </w:t>
      </w:r>
      <w:r>
        <w:rPr>
          <w:i/>
          <w:iCs/>
        </w:rPr>
        <w:t xml:space="preserve">Portuguese Economic Journal, 1</w:t>
      </w:r>
      <w:r>
        <w:t xml:space="preserve">(2), 141–162.</w:t>
      </w:r>
    </w:p>
    <w:p>
      <w:pPr>
        <w:pStyle w:val="Compact"/>
        <w:numPr>
          <w:ilvl w:val="0"/>
          <w:numId w:val="1007"/>
        </w:numPr>
      </w:pPr>
      <w:r>
        <w:t xml:space="preserve">Brambor, T., Clark, W. R., &amp; Golder, M. (2006). Understanding interaction models: Improving empirical analyses.</w:t>
      </w:r>
      <w:r>
        <w:t xml:space="preserve"> </w:t>
      </w:r>
      <w:r>
        <w:rPr>
          <w:i/>
          <w:iCs/>
        </w:rPr>
        <w:t xml:space="preserve">Political Analysis, 14</w:t>
      </w:r>
      <w:r>
        <w:t xml:space="preserve">(1), 63–82.</w:t>
      </w:r>
    </w:p>
    <w:p>
      <w:pPr>
        <w:pStyle w:val="Compact"/>
        <w:numPr>
          <w:ilvl w:val="0"/>
          <w:numId w:val="1007"/>
        </w:numPr>
      </w:pPr>
      <w:r>
        <w:t xml:space="preserve">Chen, F., Hope, O.-K., Li, Q., &amp; Wang, X. (2011). Financial reporting quality and investment efficiency of private firms in emerging markets.</w:t>
      </w:r>
      <w:r>
        <w:t xml:space="preserve"> </w:t>
      </w:r>
      <w:r>
        <w:rPr>
          <w:i/>
          <w:iCs/>
        </w:rPr>
        <w:t xml:space="preserve">The Accounting Review, 86</w:t>
      </w:r>
      <w:r>
        <w:t xml:space="preserve">(4), 1255–1288.</w:t>
      </w:r>
    </w:p>
    <w:p>
      <w:pPr>
        <w:pStyle w:val="Compact"/>
        <w:numPr>
          <w:ilvl w:val="0"/>
          <w:numId w:val="1007"/>
        </w:numPr>
      </w:pPr>
      <w:r>
        <w:t xml:space="preserve">Cooper, W. W., Seiford, L. M., &amp; Tone, K. (2007).</w:t>
      </w:r>
      <w:r>
        <w:t xml:space="preserve"> </w:t>
      </w:r>
      <w:r>
        <w:rPr>
          <w:i/>
          <w:iCs/>
        </w:rPr>
        <w:t xml:space="preserve">Data envelopment analysis: A comprehensive text with models, applications, references and DEA-Solver software</w:t>
      </w:r>
      <w:r>
        <w:t xml:space="preserve"> </w:t>
      </w:r>
      <w:r>
        <w:t xml:space="preserve">(2nd ed.). Springer.</w:t>
      </w:r>
    </w:p>
    <w:p>
      <w:pPr>
        <w:pStyle w:val="Compact"/>
        <w:numPr>
          <w:ilvl w:val="0"/>
          <w:numId w:val="1007"/>
        </w:numPr>
      </w:pPr>
      <w:r>
        <w:t xml:space="preserve">Demerjian, P., Lev, B., &amp; McVay, S. (2012). Quantifying managerial ability: A new measure and validity tests.</w:t>
      </w:r>
      <w:r>
        <w:t xml:space="preserve"> </w:t>
      </w:r>
      <w:r>
        <w:rPr>
          <w:i/>
          <w:iCs/>
        </w:rPr>
        <w:t xml:space="preserve">Management Science, 58</w:t>
      </w:r>
      <w:r>
        <w:t xml:space="preserve">(7), 1229–1248.</w:t>
      </w:r>
    </w:p>
    <w:p>
      <w:pPr>
        <w:pStyle w:val="Compact"/>
        <w:numPr>
          <w:ilvl w:val="0"/>
          <w:numId w:val="1007"/>
        </w:numPr>
      </w:pPr>
      <w:r>
        <w:t xml:space="preserve">Dickinson, V. (2011). Cash flow patterns as a proxy for firm life cycle.</w:t>
      </w:r>
      <w:r>
        <w:t xml:space="preserve"> </w:t>
      </w:r>
      <w:r>
        <w:rPr>
          <w:i/>
          <w:iCs/>
        </w:rPr>
        <w:t xml:space="preserve">The Accounting Review, 86</w:t>
      </w:r>
      <w:r>
        <w:t xml:space="preserve">(6), 1969–1994.</w:t>
      </w:r>
    </w:p>
    <w:p>
      <w:pPr>
        <w:pStyle w:val="Compact"/>
        <w:numPr>
          <w:ilvl w:val="0"/>
          <w:numId w:val="1007"/>
        </w:numPr>
      </w:pPr>
      <w:r>
        <w:t xml:space="preserve">Fama, E. F., &amp; French, K. R. (1992). The cross-section of expected stock returns.</w:t>
      </w:r>
      <w:r>
        <w:t xml:space="preserve"> </w:t>
      </w:r>
      <w:r>
        <w:rPr>
          <w:i/>
          <w:iCs/>
        </w:rPr>
        <w:t xml:space="preserve">Journal of Finance, 47</w:t>
      </w:r>
      <w:r>
        <w:t xml:space="preserve">(2), 427–465.</w:t>
      </w:r>
    </w:p>
    <w:p>
      <w:pPr>
        <w:pStyle w:val="Compact"/>
        <w:numPr>
          <w:ilvl w:val="0"/>
          <w:numId w:val="1007"/>
        </w:numPr>
      </w:pPr>
      <w:r>
        <w:t xml:space="preserve">Flannery, M. J., &amp; Rangan, K. P. (2006). Partial adjustment toward target capital structures.</w:t>
      </w:r>
      <w:r>
        <w:t xml:space="preserve"> </w:t>
      </w:r>
      <w:r>
        <w:rPr>
          <w:i/>
          <w:iCs/>
        </w:rPr>
        <w:t xml:space="preserve">Journal of Financial Economics, 79</w:t>
      </w:r>
      <w:r>
        <w:t xml:space="preserve">(3), 469–506.</w:t>
      </w:r>
    </w:p>
    <w:p>
      <w:pPr>
        <w:pStyle w:val="Compact"/>
        <w:numPr>
          <w:ilvl w:val="0"/>
          <w:numId w:val="1007"/>
        </w:numPr>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 60</w:t>
      </w:r>
      <w:r>
        <w:t xml:space="preserve">(4), 328–331.</w:t>
      </w:r>
    </w:p>
    <w:p>
      <w:pPr>
        <w:pStyle w:val="Compact"/>
        <w:numPr>
          <w:ilvl w:val="0"/>
          <w:numId w:val="1007"/>
        </w:numPr>
      </w:pPr>
      <w:r>
        <w:t xml:space="preserve">Hainmueller, J., Mummolo, J., &amp; Xu, Y. (2019). How much should we trust estimates from multiplicative interaction models? Simple tools to improve empirical practice.</w:t>
      </w:r>
      <w:r>
        <w:t xml:space="preserve"> </w:t>
      </w:r>
      <w:r>
        <w:rPr>
          <w:i/>
          <w:iCs/>
        </w:rPr>
        <w:t xml:space="preserve">Political Analysis, 27</w:t>
      </w:r>
      <w:r>
        <w:t xml:space="preserve">(2), 163–192.</w:t>
      </w:r>
    </w:p>
    <w:p>
      <w:pPr>
        <w:pStyle w:val="Compact"/>
        <w:numPr>
          <w:ilvl w:val="0"/>
          <w:numId w:val="1007"/>
        </w:numPr>
      </w:pPr>
      <w:r>
        <w:t xml:space="preserve">Hausman, J. A. (1978). Specification tests in econometrics.</w:t>
      </w:r>
      <w:r>
        <w:t xml:space="preserve"> </w:t>
      </w:r>
      <w:r>
        <w:rPr>
          <w:i/>
          <w:iCs/>
        </w:rPr>
        <w:t xml:space="preserve">Econometrica, 46</w:t>
      </w:r>
      <w:r>
        <w:t xml:space="preserve">(6), 1251–1271.</w:t>
      </w:r>
    </w:p>
    <w:p>
      <w:pPr>
        <w:pStyle w:val="Compact"/>
        <w:numPr>
          <w:ilvl w:val="0"/>
          <w:numId w:val="1007"/>
        </w:numPr>
      </w:pPr>
      <w:r>
        <w:t xml:space="preserve">Jensen, M. C. (1986). Agency costs of free cash flow, corporate finance, and takeovers.</w:t>
      </w:r>
      <w:r>
        <w:t xml:space="preserve"> </w:t>
      </w:r>
      <w:r>
        <w:rPr>
          <w:i/>
          <w:iCs/>
        </w:rPr>
        <w:t xml:space="preserve">American Economic Review, 76</w:t>
      </w:r>
      <w:r>
        <w:t xml:space="preserve">(2), 323–329.</w:t>
      </w:r>
    </w:p>
    <w:p>
      <w:pPr>
        <w:pStyle w:val="Compact"/>
        <w:numPr>
          <w:ilvl w:val="0"/>
          <w:numId w:val="1007"/>
        </w:numPr>
      </w:pPr>
      <w:r>
        <w:t xml:space="preserve">Myers, S. C. (1977). Determinants of corporate borrowing.</w:t>
      </w:r>
      <w:r>
        <w:t xml:space="preserve"> </w:t>
      </w:r>
      <w:r>
        <w:rPr>
          <w:i/>
          <w:iCs/>
        </w:rPr>
        <w:t xml:space="preserve">Journal of Financial Economics, 5</w:t>
      </w:r>
      <w:r>
        <w:t xml:space="preserve">(2), 147–175.</w:t>
      </w:r>
    </w:p>
    <w:p>
      <w:pPr>
        <w:pStyle w:val="Compact"/>
        <w:numPr>
          <w:ilvl w:val="0"/>
          <w:numId w:val="1007"/>
        </w:numPr>
      </w:pPr>
      <w:r>
        <w:t xml:space="preserve">Nickell, S. (1981). Biases in dynamic models with fixed effects.</w:t>
      </w:r>
      <w:r>
        <w:t xml:space="preserve"> </w:t>
      </w:r>
      <w:r>
        <w:rPr>
          <w:i/>
          <w:iCs/>
        </w:rPr>
        <w:t xml:space="preserve">Econometrica, 49</w:t>
      </w:r>
      <w:r>
        <w:t xml:space="preserve">(6), 1417–1426.</w:t>
      </w:r>
    </w:p>
    <w:p>
      <w:pPr>
        <w:pStyle w:val="Compact"/>
        <w:numPr>
          <w:ilvl w:val="0"/>
          <w:numId w:val="1007"/>
        </w:numPr>
      </w:pPr>
      <w:r>
        <w:t xml:space="preserve">Oster, E. (2019). Unobservable selection and coefficient stability: Theory and evidence.</w:t>
      </w:r>
      <w:r>
        <w:t xml:space="preserve"> </w:t>
      </w:r>
      <w:r>
        <w:rPr>
          <w:i/>
          <w:iCs/>
        </w:rPr>
        <w:t xml:space="preserve">Journal of Business &amp; Economic Statistics, 37</w:t>
      </w:r>
      <w:r>
        <w:t xml:space="preserve">(2), 187–204.</w:t>
      </w:r>
    </w:p>
    <w:p>
      <w:pPr>
        <w:pStyle w:val="Compact"/>
        <w:numPr>
          <w:ilvl w:val="0"/>
          <w:numId w:val="1007"/>
        </w:numPr>
      </w:pPr>
      <w:r>
        <w:t xml:space="preserve">Pagan, A. (1984). Econometric issues in the analysis of regressions with generated regressors.</w:t>
      </w:r>
      <w:r>
        <w:t xml:space="preserve"> </w:t>
      </w:r>
      <w:r>
        <w:rPr>
          <w:i/>
          <w:iCs/>
        </w:rPr>
        <w:t xml:space="preserve">International Economic Review, 25</w:t>
      </w:r>
      <w:r>
        <w:t xml:space="preserve">(1), 221–247.</w:t>
      </w:r>
    </w:p>
    <w:p>
      <w:pPr>
        <w:pStyle w:val="Compact"/>
        <w:numPr>
          <w:ilvl w:val="0"/>
          <w:numId w:val="1007"/>
        </w:numPr>
      </w:pPr>
      <w:r>
        <w:t xml:space="preserve">Pesaran, M. H. (2015). Testing weak cross-sectional dependence in large panels.</w:t>
      </w:r>
      <w:r>
        <w:t xml:space="preserve"> </w:t>
      </w:r>
      <w:r>
        <w:rPr>
          <w:i/>
          <w:iCs/>
        </w:rPr>
        <w:t xml:space="preserve">Econometric Reviews, 34</w:t>
      </w:r>
      <w:r>
        <w:t xml:space="preserve">(6–10), 1089–1117.</w:t>
      </w:r>
    </w:p>
    <w:p>
      <w:pPr>
        <w:pStyle w:val="Compact"/>
        <w:numPr>
          <w:ilvl w:val="0"/>
          <w:numId w:val="1007"/>
        </w:numPr>
      </w:pPr>
      <w:r>
        <w:t xml:space="preserve">Petersen, M. A. (2009). Estimating standard errors in finance panel data sets: Comparing approaches.</w:t>
      </w:r>
      <w:r>
        <w:t xml:space="preserve"> </w:t>
      </w:r>
      <w:r>
        <w:rPr>
          <w:i/>
          <w:iCs/>
        </w:rPr>
        <w:t xml:space="preserve">Review of Financial Studies, 22</w:t>
      </w:r>
      <w:r>
        <w:t xml:space="preserve">(1), 435–480.</w:t>
      </w:r>
    </w:p>
    <w:p>
      <w:pPr>
        <w:pStyle w:val="Compact"/>
        <w:numPr>
          <w:ilvl w:val="0"/>
          <w:numId w:val="1007"/>
        </w:numPr>
      </w:pPr>
      <w:r>
        <w:t xml:space="preserve">Roodman, D. (2009a). A note on the theme of too many instruments.</w:t>
      </w:r>
      <w:r>
        <w:t xml:space="preserve"> </w:t>
      </w:r>
      <w:r>
        <w:rPr>
          <w:i/>
          <w:iCs/>
        </w:rPr>
        <w:t xml:space="preserve">Oxford Bulletin of Economics and Statistics, 71</w:t>
      </w:r>
      <w:r>
        <w:t xml:space="preserve">(1), 135–158.</w:t>
      </w:r>
    </w:p>
    <w:p>
      <w:pPr>
        <w:pStyle w:val="Compact"/>
        <w:numPr>
          <w:ilvl w:val="0"/>
          <w:numId w:val="1007"/>
        </w:numPr>
      </w:pPr>
      <w:r>
        <w:t xml:space="preserve">Roodman, D. (2009b). How to do xtabond2: An introduction to difference and system GMM in Stata.</w:t>
      </w:r>
      <w:r>
        <w:t xml:space="preserve"> </w:t>
      </w:r>
      <w:r>
        <w:rPr>
          <w:i/>
          <w:iCs/>
        </w:rPr>
        <w:t xml:space="preserve">Stata Journal, 9</w:t>
      </w:r>
      <w:r>
        <w:t xml:space="preserve">(1), 86–136.</w:t>
      </w:r>
    </w:p>
    <w:p>
      <w:pPr>
        <w:pStyle w:val="Compact"/>
        <w:numPr>
          <w:ilvl w:val="0"/>
          <w:numId w:val="1007"/>
        </w:numPr>
      </w:pPr>
      <w:r>
        <w:t xml:space="preserve">Synn, C., &amp; Williams, C. (2015). [Complete title, journal, volume and pages from your source.]</w:t>
      </w:r>
    </w:p>
    <w:p>
      <w:pPr>
        <w:pStyle w:val="Compact"/>
        <w:numPr>
          <w:ilvl w:val="0"/>
          <w:numId w:val="1007"/>
        </w:numPr>
      </w:pPr>
      <w:r>
        <w:t xml:space="preserve">Windmeijer, F. (2005). A finite sample correction for the variance of linear efficient two-step GMM estimators.</w:t>
      </w:r>
      <w:r>
        <w:t xml:space="preserve"> </w:t>
      </w:r>
      <w:r>
        <w:rPr>
          <w:i/>
          <w:iCs/>
        </w:rPr>
        <w:t xml:space="preserve">Journal of Econometrics, 126</w:t>
      </w:r>
      <w:r>
        <w:t xml:space="preserve">(1), 25–51.</w:t>
      </w:r>
    </w:p>
    <w:p>
      <w:pPr>
        <w:pStyle w:val="Compact"/>
        <w:numPr>
          <w:ilvl w:val="0"/>
          <w:numId w:val="1007"/>
        </w:numPr>
      </w:pPr>
      <w:r>
        <w:t xml:space="preserve">Wintoki, M. B., Linck, J. S., &amp; Netter, J. M. (2012). Endogeneity and the dynamics of internal corporate governance.</w:t>
      </w:r>
      <w:r>
        <w:t xml:space="preserve"> </w:t>
      </w:r>
      <w:r>
        <w:rPr>
          <w:i/>
          <w:iCs/>
        </w:rPr>
        <w:t xml:space="preserve">Journal of Financial Economics, 105</w:t>
      </w:r>
      <w:r>
        <w:t xml:space="preserve">(3), 581–606.</w:t>
      </w:r>
    </w:p>
    <w:p>
      <w:pPr>
        <w:pStyle w:val="Compact"/>
        <w:numPr>
          <w:ilvl w:val="0"/>
          <w:numId w:val="1007"/>
        </w:numPr>
      </w:pPr>
      <w:r>
        <w:t xml:space="preserve">Wooldridge, J. M. (2002).</w:t>
      </w:r>
      <w:r>
        <w:t xml:space="preserve"> </w:t>
      </w:r>
      <w:r>
        <w:rPr>
          <w:i/>
          <w:iCs/>
        </w:rPr>
        <w:t xml:space="preserve">Econometric analysis of cross section and panel data</w:t>
      </w:r>
      <w:r>
        <w:t xml:space="preserve">. MIT Press.</w:t>
      </w:r>
    </w:p>
    <w:bookmarkEnd w:id="38"/>
    <w:bookmarkStart w:id="39" w:name="Xc368652321f98a6fc9bc6569be8011430f1ec9c"/>
    <w:p>
      <w:pPr>
        <w:pStyle w:val="Heading2"/>
      </w:pPr>
      <w:r>
        <w:t xml:space="preserve">Notes for the Author (remove before submission)</w:t>
      </w:r>
    </w:p>
    <w:p>
      <w:pPr>
        <w:pStyle w:val="Compact"/>
        <w:numPr>
          <w:ilvl w:val="0"/>
          <w:numId w:val="1008"/>
        </w:numPr>
      </w:pPr>
      <w:r>
        <w:t xml:space="preserve">Fill in the [n] counts in the sample-construction table in 3.1 from your screening records.</w:t>
      </w:r>
    </w:p>
    <w:p>
      <w:pPr>
        <w:pStyle w:val="Compact"/>
        <w:numPr>
          <w:ilvl w:val="0"/>
          <w:numId w:val="1008"/>
        </w:numPr>
      </w:pPr>
      <w:r>
        <w:t xml:space="preserve">Complete the Synn and Williams (2015) reference, and check every reference against the published version before submission.</w:t>
      </w:r>
    </w:p>
    <w:p>
      <w:pPr>
        <w:pStyle w:val="Compact"/>
        <w:numPr>
          <w:ilvl w:val="0"/>
          <w:numId w:val="1008"/>
        </w:numPr>
      </w:pPr>
      <w:r>
        <w:t xml:space="preserve">The firm-year counts in the effective-window table assume the panel stays balanced after lags; update them with the actual estimation N.</w:t>
      </w:r>
    </w:p>
    <w:p>
      <w:pPr>
        <w:pStyle w:val="Compact"/>
        <w:numPr>
          <w:ilvl w:val="0"/>
          <w:numId w:val="1008"/>
        </w:numPr>
      </w:pPr>
      <w:r>
        <w:t xml:space="preserve">Sales and total assets for 1391, if available, would extend InvEff to 1393 and the GMM sample to 1394.</w:t>
      </w:r>
    </w:p>
    <w:p>
      <w:pPr>
        <w:pStyle w:val="Compact"/>
        <w:numPr>
          <w:ilvl w:val="0"/>
          <w:numId w:val="1008"/>
        </w:numPr>
      </w:pPr>
      <w:r>
        <w:t xml:space="preserve">Report the frequency of Dickinson’s five original stages to support the consolidation in 3.4.</w:t>
      </w:r>
    </w:p>
    <w:p>
      <w:pPr>
        <w:pStyle w:val="Compact"/>
        <w:numPr>
          <w:ilvl w:val="0"/>
          <w:numId w:val="1008"/>
        </w:numPr>
      </w:pPr>
      <w:r>
        <w:t xml:space="preserve">Check the number of industries and firms per industry-year. This determines how many industry-years use the pooled fallback in Eq. (1) and in the DEA.</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1F2A4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1F2A44"/>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1F2A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1F2A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1F2A44"/>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Research Methodology</dc:title>
  <dc:creator/>
  <cp:keywords/>
  <dcterms:created xsi:type="dcterms:W3CDTF">2026-10-01T08:45:59Z</dcterms:created>
  <dcterms:modified xsi:type="dcterms:W3CDTF">2026-10-01T08:45:59Z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Asymmetric Impact of Managerial Ability on Investment Efficiency under Capital Structure Deviation: Evidence from Emerging Markets</vt:lpwstr>
  </property>
</Properties>
</file>