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 balanced panel of 299 non-financial firms listed on the Tehran Stock Exchange (TSE) over the Iranian fiscal years 1393–1403 (approximately March 2014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w:t>
      </w:r>
    </w:p>
    <w:p>
      <w:pPr>
        <w:pStyle w:val="BodyText"/>
      </w:pPr>
      <w:r>
        <w:t xml:space="preserve">The sample is constructed in the following steps:</w:t>
      </w:r>
    </w:p>
    <w:p>
      <w:pPr>
        <w:pStyle w:val="Compact"/>
        <w:numPr>
          <w:ilvl w:val="0"/>
          <w:numId w:val="1001"/>
        </w:numPr>
      </w:pPr>
      <w:r>
        <w:t xml:space="preserve">Start from all firms listed on the TSE during 1392–1403.</w:t>
      </w:r>
    </w:p>
    <w:p>
      <w:pPr>
        <w:pStyle w:val="Compact"/>
        <w:numPr>
          <w:ilvl w:val="0"/>
          <w:numId w:val="1001"/>
        </w:numPr>
      </w:pPr>
      <w:r>
        <w:t xml:space="preserve">Exclude banks, credit institutions, insurance companies, investment companies, holding companies and leasing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Retain firms whose fiscal year ends in Esfand (March) and that did not change their fiscal year during the period, so that every firm-year shares the same macroeconomic window.</w:t>
      </w:r>
    </w:p>
    <w:p>
      <w:pPr>
        <w:pStyle w:val="Compact"/>
        <w:numPr>
          <w:ilvl w:val="0"/>
          <w:numId w:val="1001"/>
        </w:numPr>
      </w:pPr>
      <w:r>
        <w:t xml:space="preserve">Retain firms that are continuously listed and have the accounting and market data needed to construct every variable.</w:t>
      </w:r>
    </w:p>
    <w:p>
      <w:pPr>
        <w:pStyle w:val="Compact"/>
        <w:numPr>
          <w:ilvl w:val="0"/>
          <w:numId w:val="1001"/>
        </w:numPr>
      </w:pPr>
      <w:r>
        <w:t xml:space="preserve">Exclude firm-years with zero or negative book equity. Leverage above one and a negative market-to-book ratio make a target capital structure undefined for these firm-years, and their investment reflects financial distress rather than financing choices.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Screening step</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TSE-listed firms, 1392–1403</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financial, investment, holding and leasing firms</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fiscal year not ending in Esfand, or changed during the period</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not continuously listed or missing data</w:t>
            </w:r>
          </w:p>
        </w:tc>
        <w:tc>
          <w:tcPr/>
          <w:p>
            <w:pPr>
              <w:pStyle w:val="Compact"/>
            </w:pPr>
            <w:r>
              <w:rPr>
                <w:sz w:val="19"/>
              </w:rPr>
              <w:t xml:space="preserve">[−n]</w:t>
            </w:r>
          </w:p>
        </w:tc>
        <w:tc>
          <w:tcPr/>
          <w:p>
            <w:pPr>
              <w:pStyle w:val="Compact"/>
            </w:pPr>
            <w:r>
              <w:rPr>
                <w:sz w:val="19"/>
              </w:rPr>
              <w:t xml:space="preserve">[−n]</w:t>
            </w:r>
          </w:p>
        </w:tc>
      </w:tr>
      <w:tr>
        <w:tc>
          <w:tcPr/>
          <w:p>
            <w:pPr>
              <w:pStyle w:val="Compact"/>
            </w:pPr>
            <w:r>
              <w:rPr>
                <w:sz w:val="19"/>
              </w:rPr>
              <w:t xml:space="preserve">Less: firm-years with book equity ≤ 0</w:t>
            </w:r>
          </w:p>
        </w:tc>
        <w:tc>
          <w:tcPr/>
          <w:p>
            <w:pPr>
              <w:pStyle w:val="Compact"/>
            </w:pPr>
            <w:r>
              <w:rPr>
                <w:sz w:val="19"/>
              </w:rPr>
              <w:t xml:space="preserve">—</w:t>
            </w:r>
          </w:p>
        </w:tc>
        <w:tc>
          <w:tcPr/>
          <w:p>
            <w:pPr>
              <w:pStyle w:val="Compact"/>
            </w:pPr>
            <w:r>
              <w:rPr>
                <w:sz w:val="19"/>
              </w:rPr>
              <w:t xml:space="preserve">[−n]</w:t>
            </w:r>
          </w:p>
        </w:tc>
      </w:tr>
      <w:tr>
        <w:tc>
          <w:tcPr/>
          <w:p>
            <w:pPr>
              <w:pStyle w:val="Compact"/>
            </w:pPr>
            <w:r>
              <w:rPr>
                <w:sz w:val="19"/>
              </w:rPr>
              <w:t xml:space="preserve">Final sample, including base year 1392</w:t>
            </w:r>
          </w:p>
        </w:tc>
        <w:tc>
          <w:tcPr/>
          <w:p>
            <w:pPr>
              <w:pStyle w:val="Compact"/>
            </w:pPr>
            <w:r>
              <w:rPr>
                <w:sz w:val="19"/>
              </w:rPr>
              <w:t xml:space="preserve">299</w:t>
            </w:r>
          </w:p>
        </w:tc>
        <w:tc>
          <w:tcPr/>
          <w:p>
            <w:pPr>
              <w:pStyle w:val="Compact"/>
            </w:pPr>
            <w:r>
              <w:rPr>
                <w:sz w:val="19"/>
              </w:rPr>
              <w:t xml:space="preserve">3,588</w:t>
            </w:r>
          </w:p>
        </w:tc>
      </w:tr>
      <w:tr>
        <w:tc>
          <w:tcPr/>
          <w:p>
            <w:pPr>
              <w:pStyle w:val="Compact"/>
            </w:pPr>
            <w:r>
              <w:rPr>
                <w:sz w:val="19"/>
              </w:rPr>
              <w:t xml:space="preserve">Firm-years in the study period 1393–1403</w:t>
            </w:r>
          </w:p>
        </w:tc>
        <w:tc>
          <w:tcPr/>
          <w:p>
            <w:pPr>
              <w:pStyle w:val="Compact"/>
            </w:pPr>
            <w:r>
              <w:rPr>
                <w:sz w:val="19"/>
              </w:rPr>
              <w:t xml:space="preserve">299</w:t>
            </w:r>
          </w:p>
        </w:tc>
        <w:tc>
          <w:tcPr/>
          <w:p>
            <w:pPr>
              <w:pStyle w:val="Compact"/>
            </w:pPr>
            <w:r>
              <w:rPr>
                <w:sz w:val="19"/>
              </w:rPr>
              <w:t xml:space="preserve">3,289</w:t>
            </w:r>
          </w:p>
        </w:tc>
      </w:tr>
    </w:tbl>
    <w:p>
      <w:pPr>
        <w:pStyle w:val="BodyText"/>
      </w:pPr>
      <w:r>
        <w:t xml:space="preserve">Accounting data are collected from the Rahavard Novin database and cross-checked against the original filings in the Codal disclosure system. Market values of equity are obtained from the TSE, and the annual consumer-price inflation rate from the Central Bank of the Islamic Republic of Iran.</w:t>
      </w:r>
    </w:p>
    <w:p>
      <w:pPr>
        <w:pStyle w:val="BodyText"/>
      </w:pPr>
      <w:r>
        <w:t xml:space="preserve">Fiscal year 1392 serves only as a base year for variables that require prior-year values. Because the investment-expectation model uses lagged sales growth and the dynamic models use the lagged dependent variable, the effective estimation windows are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Estimation step</w:t>
            </w:r>
          </w:p>
        </w:tc>
        <w:tc>
          <w:tcPr>
            <w:shd w:val="clear" w:color="auto" w:fill="E8ECF3"/>
          </w:tcPr>
          <w:p>
            <w:pPr>
              <w:pStyle w:val="Compact"/>
            </w:pPr>
            <w:r>
              <w:rPr>
                <w:b/>
                <w:sz w:val="19"/>
              </w:rPr>
              <w:t xml:space="preserve">Requires</w:t>
            </w:r>
          </w:p>
        </w:tc>
        <w:tc>
          <w:tcPr>
            <w:shd w:val="clear" w:color="auto" w:fill="E8ECF3"/>
          </w:tcPr>
          <w:p>
            <w:pPr>
              <w:pStyle w:val="Compact"/>
            </w:pPr>
            <w:r>
              <w:rPr>
                <w:b/>
                <w:sz w:val="19"/>
              </w:rPr>
              <w:t xml:space="preserve">Effective window</w:t>
            </w:r>
          </w:p>
        </w:tc>
        <w:tc>
          <w:tcPr>
            <w:shd w:val="clear" w:color="auto" w:fill="E8ECF3"/>
          </w:tcPr>
          <w:p>
            <w:pPr>
              <w:pStyle w:val="Compact"/>
            </w:pPr>
            <w:r>
              <w:rPr>
                <w:b/>
                <w:sz w:val="19"/>
              </w:rPr>
              <w:t xml:space="preserve">Firm-years</w:t>
            </w:r>
          </w:p>
        </w:tc>
      </w:tr>
      <w:tr>
        <w:tc>
          <w:tcPr/>
          <w:p>
            <w:pPr>
              <w:pStyle w:val="Compact"/>
            </w:pPr>
            <w:r>
              <w:rPr>
                <w:sz w:val="19"/>
              </w:rPr>
              <w:t xml:space="preserve">Target leverage model, Eq. (2)</w:t>
            </w:r>
          </w:p>
        </w:tc>
        <w:tc>
          <w:tcPr/>
          <w:p>
            <w:pPr>
              <w:pStyle w:val="Compact"/>
            </w:pPr>
            <w:r>
              <w:rPr>
                <w:sz w:val="19"/>
              </w:rPr>
              <w:t xml:space="preserve">Determinants at t−1</w:t>
            </w:r>
          </w:p>
        </w:tc>
        <w:tc>
          <w:tcPr/>
          <w:p>
            <w:pPr>
              <w:pStyle w:val="Compact"/>
            </w:pPr>
            <w:r>
              <w:rPr>
                <w:sz w:val="19"/>
              </w:rPr>
              <w:t xml:space="preserve">1393–1403</w:t>
            </w:r>
          </w:p>
        </w:tc>
        <w:tc>
          <w:tcPr/>
          <w:p>
            <w:pPr>
              <w:pStyle w:val="Compact"/>
            </w:pPr>
            <w:r>
              <w:rPr>
                <w:sz w:val="19"/>
              </w:rPr>
              <w:t xml:space="preserve">3,289</w:t>
            </w:r>
          </w:p>
        </w:tc>
      </w:tr>
      <w:tr>
        <w:tc>
          <w:tcPr/>
          <w:p>
            <w:pPr>
              <w:pStyle w:val="Compact"/>
            </w:pPr>
            <w:r>
              <w:rPr>
                <w:sz w:val="19"/>
              </w:rPr>
              <w:t xml:space="preserve">Investment-expectation model, Eq. (1)</w:t>
            </w:r>
          </w:p>
        </w:tc>
        <w:tc>
          <w:tcPr/>
          <w:p>
            <w:pPr>
              <w:pStyle w:val="Compact"/>
            </w:pPr>
            <w:r>
              <w:rPr>
                <w:sz w:val="19"/>
              </w:rPr>
              <w:t xml:space="preserve">Sales at t−2</w:t>
            </w:r>
          </w:p>
        </w:tc>
        <w:tc>
          <w:tcPr/>
          <w:p>
            <w:pPr>
              <w:pStyle w:val="Compact"/>
            </w:pPr>
            <w:r>
              <w:rPr>
                <w:sz w:val="19"/>
              </w:rPr>
              <w:t xml:space="preserve">1394–1403</w:t>
            </w:r>
          </w:p>
        </w:tc>
        <w:tc>
          <w:tcPr/>
          <w:p>
            <w:pPr>
              <w:pStyle w:val="Compact"/>
            </w:pPr>
            <w:r>
              <w:rPr>
                <w:sz w:val="19"/>
              </w:rPr>
              <w:t xml:space="preserve">2,990</w:t>
            </w:r>
          </w:p>
        </w:tc>
      </w:tr>
      <w:tr>
        <w:tc>
          <w:tcPr/>
          <w:p>
            <w:pPr>
              <w:pStyle w:val="Compact"/>
            </w:pPr>
            <w:r>
              <w:rPr>
                <w:sz w:val="19"/>
              </w:rPr>
              <w:t xml:space="preserve">Dynamic models, Eqs. (6)–(12)</w:t>
            </w:r>
          </w:p>
        </w:tc>
        <w:tc>
          <w:tcPr/>
          <w:p>
            <w:pPr>
              <w:pStyle w:val="Compact"/>
            </w:pPr>
            <w:r>
              <w:rPr>
                <w:sz w:val="19"/>
              </w:rPr>
              <w:t xml:space="preserve">InvEff at t−1</w:t>
            </w:r>
          </w:p>
        </w:tc>
        <w:tc>
          <w:tcPr/>
          <w:p>
            <w:pPr>
              <w:pStyle w:val="Compact"/>
            </w:pPr>
            <w:r>
              <w:rPr>
                <w:sz w:val="19"/>
              </w:rPr>
              <w:t xml:space="preserve">1395–1403</w:t>
            </w:r>
          </w:p>
        </w:tc>
        <w:tc>
          <w:tcPr/>
          <w:p>
            <w:pPr>
              <w:pStyle w:val="Compact"/>
            </w:pPr>
            <w:r>
              <w:rPr>
                <w:sz w:val="19"/>
              </w:rPr>
              <w:t xml:space="preserve">2,691</w:t>
            </w:r>
          </w:p>
        </w:tc>
      </w:tr>
    </w:tbl>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The balanced-panel requirement may introduce survivorship bias toward stronger firms; Section 3.11 discusses this.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cash investment: net cash paid in investing activities (−CFI) scaled by total assets at t−1. SalesGrowth is the annual percentage change in sales. A cash-based measure is used because TSE firms revalued property, plant and equipment on a large scale in 1398–1401. Under the accrual measure, the increase in net PPE and intangible assets, these revaluations would appear as investment although no resources were spent.</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alternatives are used in the robustness tests (Section 3.11): the expectation model of Chen, Hope, Li and Wang (2011), which allows investment to respond differently to sales declines, and the accrual investment measure, [(PPE + IA)</w:t>
      </w:r>
      <w:r>
        <w:rPr>
          <w:vertAlign w:val="subscript"/>
        </w:rPr>
        <w:t xml:space="preserve">t</w:t>
      </w:r>
      <w:r>
        <w:t xml:space="preserve"> </w:t>
      </w:r>
      <w:r>
        <w:t xml:space="preserve">− (PPE + IA)</w:t>
      </w:r>
      <w:r>
        <w:rPr>
          <w:vertAlign w:val="subscript"/>
        </w:rPr>
        <w:t xml:space="preserve">t−1</w:t>
      </w:r>
      <w:r>
        <w:t xml:space="preserve">] / TA</w:t>
      </w:r>
      <w:r>
        <w:rPr>
          <w:vertAlign w:val="subscript"/>
        </w:rPr>
        <w:t xml:space="preserve">t−1</w:t>
      </w:r>
      <w:r>
        <w:t xml:space="preserve">.</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1392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in the same year, excluding the firm itself (industry leverage norm). Industries with fewer than five firms are pooled into one group, so that the median never rests on one or two peers.</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for each industry over all sample years, with monetary values deflated to 1392 prices with the consumer price index; industries with fewer than five firms are pooled into one group. Industry-year frontiers are too small in this sample: with four inputs and few firms per industry-year, more than half of the firm-years lie on the frontier, so efficiency does not discriminate between firms. The industry frontier provides many more units than the rule of thumb of three times the number of inputs and outputs (Cooper, Seiford &amp; Tone, 2007). Deflation makes values comparable across years under high inflation. Industry-year frontiers are reported as a sensitivity test.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Compact"/>
        <w:numPr>
          <w:ilvl w:val="0"/>
          <w:numId w:val="1003"/>
        </w:numPr>
      </w:pPr>
      <w:r>
        <w:rPr>
          <w:b/>
          <w:bCs/>
        </w:rPr>
        <w:t xml:space="preserve">TANG</w:t>
      </w:r>
      <w:r>
        <w:t xml:space="preserve">: net PP&amp;E / total assets. Asset tangibility determines the scope for collateralised financing and the share of investment that is lumpy and irreversible.</w:t>
      </w:r>
    </w:p>
    <w:p>
      <w:pPr>
        <w:pStyle w:val="Compact"/>
        <w:numPr>
          <w:ilvl w:val="0"/>
          <w:numId w:val="1003"/>
        </w:numPr>
      </w:pPr>
      <w:r>
        <w:rPr>
          <w:b/>
          <w:bCs/>
        </w:rPr>
        <w:t xml:space="preserve">LOSS</w:t>
      </w:r>
      <w:r>
        <w:t xml:space="preserve">: 1 if operating income is negative, 0 otherwise. Loss firms face tighter financing constraints and are more likely to cut investment.</w:t>
      </w:r>
    </w:p>
    <w:p>
      <w:pPr>
        <w:pStyle w:val="Compact"/>
        <w:numPr>
          <w:ilvl w:val="0"/>
          <w:numId w:val="1003"/>
        </w:numPr>
      </w:pPr>
      <w:r>
        <w:rPr>
          <w:b/>
          <w:bCs/>
        </w:rPr>
        <w:t xml:space="preserve">σ(CFO)</w:t>
      </w:r>
      <w:r>
        <w:t xml:space="preserve">: standard deviation of CFO / TA over t−3 to t−1. Volatile operating cash flows raise the cost of external finance and make investment harder to plan.</w:t>
      </w:r>
    </w:p>
    <w:p>
      <w:pPr>
        <w:pStyle w:val="Compact"/>
        <w:numPr>
          <w:ilvl w:val="0"/>
          <w:numId w:val="1003"/>
        </w:numPr>
      </w:pPr>
      <w:r>
        <w:rPr>
          <w:b/>
          <w:bCs/>
        </w:rPr>
        <w:t xml:space="preserve">σ(Sales)</w:t>
      </w:r>
      <w:r>
        <w:t xml:space="preserve">: standard deviation of Sales / TA over t−3 to t−1. Volatile demand reduces the accuracy of the expectation model, Eq. (1), and therefore the size of the residual.</w:t>
      </w:r>
    </w:p>
    <w:p>
      <w:pPr>
        <w:pStyle w:val="FirstParagraph"/>
      </w:pPr>
      <w:r>
        <w:t xml:space="preserve">The control set reproduces the firm-level controls of Biddle et al. (2009) that can be built from the data available for TSE firms; Z-score, dividend payout, slack and operating cycle are not included because the required items are not available. All controls are measured at t−1, as in Biddle et al. (2009); the volatility measures use the three years ending at t−1.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TANG, LOSS, σ(CFO), σ(Sales))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p>
      <w:pPr>
        <w:pStyle w:val="BodyText"/>
      </w:pPr>
      <w:r>
        <w:rPr>
          <w:b/>
          <w:bCs/>
        </w:rPr>
        <w:t xml:space="preserve">Timing.</w:t>
      </w:r>
      <w:r>
        <w:t xml:space="preserve"> </w:t>
      </w:r>
      <w:r>
        <w:t xml:space="preserve">Capital structure deviation and managerial ability enter every model at t−1, the start of the year in which the investment is made. The hypotheses concern the effect of a firm’s position relative to its target on the investment decisions that follow: debt overhang (Myers, 1977) constrains the investment of a firm that is already over-leveraged, and free cash flow (Jensen, 1986) is available to the managers of a firm that is already under-leveraged. Measured in year t, the deviation would partly reflect the financing of the investment being explained: investment financed with new debt raises TDA</w:t>
      </w:r>
      <w:r>
        <w:rPr>
          <w:vertAlign w:val="subscript"/>
        </w:rPr>
        <w:t xml:space="preserve">t</w:t>
      </w:r>
      <w:r>
        <w:t xml:space="preserve"> </w:t>
      </w:r>
      <w:r>
        <w:t xml:space="preserve">and therefore CSD⁺</w:t>
      </w:r>
      <w:r>
        <w:rPr>
          <w:vertAlign w:val="subscript"/>
        </w:rPr>
        <w:t xml:space="preserve">t</w:t>
      </w:r>
      <w:r>
        <w:t xml:space="preserve"> </w:t>
      </w:r>
      <w:r>
        <w:t xml:space="preserve">in the same year, which creates a positive mechanical relation that works against H1a. The same argument applies to MA, whose DEA inputs and output (cost of goods sold, SG&amp;A and sales) move with current-year investment. Measuring both at t−1 matches the timing of the life-cycle stage (Section 3.4) and of the controls (Section 3.6), so every explanatory variable is observed before the investment year begins. The contemporaneous specification is reported as robustness test R4.</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U</m:t>
          </m:r>
          <m:r>
            <m:t>N</m:t>
          </m:r>
          <m:r>
            <m:t>D</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O</m:t>
          </m:r>
          <m:r>
            <m:t>V</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r>
                <m:rPr>
                  <m:sty m:val="p"/>
                </m:rPr>
                <m:t>−</m:t>
              </m:r>
              <m:r>
                <m:t>1</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8</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and is not negligible with about nine effective years.</w:t>
      </w:r>
    </w:p>
    <w:p>
      <w:pPr>
        <w:pStyle w:val="Compact"/>
        <w:numPr>
          <w:ilvl w:val="0"/>
          <w:numId w:val="1004"/>
        </w:numPr>
      </w:pPr>
      <w:r>
        <w:rPr>
          <w:b/>
          <w:bCs/>
        </w:rPr>
        <w:t xml:space="preserve">Simultaneity.</w:t>
      </w:r>
      <w:r>
        <w:t xml:space="preserve"> </w:t>
      </w:r>
      <w:r>
        <w:t xml:space="preserve">Investment financed with new debt raises leverage in the same year, so contemporaneous CSD⁺ and CSD⁻ would be jointly determined with InvEff. Measuring the deviation at t−1 removes this mechanical link (Section 3.7), but lagged deviation can still respond to past investment shocks, so it is not treated as exogenous.</w:t>
      </w:r>
    </w:p>
    <w:p>
      <w:pPr>
        <w:pStyle w:val="Compact"/>
        <w:numPr>
          <w:ilvl w:val="0"/>
          <w:numId w:val="1004"/>
        </w:numPr>
      </w:pPr>
      <w:r>
        <w:rPr>
          <w:b/>
          <w:bCs/>
        </w:rPr>
        <w:t xml:space="preserve">Unobserved heterogeneity and measurement error.</w:t>
      </w:r>
      <w:r>
        <w:t xml:space="preserve"> </w:t>
      </w:r>
      <w:r>
        <w:t xml:space="preserve">MA is constructed from sales efficiency, which shares shocks with investment,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a transformed equation, which removes η</w:t>
      </w:r>
      <w:r>
        <w:rPr>
          <w:vertAlign w:val="subscript"/>
        </w:rPr>
        <w:t xml:space="preserve">i</w:t>
      </w:r>
      <w:r>
        <w:t xml:space="preserve"> </w:t>
      </w:r>
      <w:r>
        <w:t xml:space="preserve">and is instrumented with lagged levels, and the levels equation, instrumented with lagged first differences. The transformation is the forward orthogonal deviation (Arellano &amp; Bover, 1995): each observation is expressed as its deviation from the mean of all future observations of the same firm. The panel has gaps, because firm-years with non-positive book equity are excluded (Section 3.1). First-differencing loses two observations at every gap, while the forward orthogonal deviation loses only one and uses all available future information (Roodman, 2009b). First differences are reported as sensitivity test S9a.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p>
      <w:pPr>
        <w:pStyle w:val="BodyText"/>
      </w:pPr>
      <w:r>
        <w:t xml:space="preserve">Lags in the table refer to the regressor as it enters the model; for example, the instruments of CSD⁺</w:t>
      </w:r>
      <w:r>
        <w:rPr>
          <w:vertAlign w:val="subscript"/>
        </w:rPr>
        <w:t xml:space="preserve">t−1</w:t>
      </w:r>
      <w:r>
        <w:t xml:space="preserve"> </w:t>
      </w:r>
      <w:r>
        <w:t xml:space="preserve">are its own values two and three periods earlier.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Transformed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CSD⁺, CSD⁻, UNDER, OVER, MA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Lags 1 and 2</w:t>
            </w:r>
          </w:p>
        </w:tc>
        <w:tc>
          <w:tcPr/>
          <w:p>
            <w:pPr>
              <w:pStyle w:val="Compact"/>
            </w:pPr>
            <w:r>
              <w:rPr>
                <w:sz w:val="19"/>
              </w:rPr>
              <w:t xml:space="preserve">Δ, current</w:t>
            </w:r>
          </w:p>
        </w:tc>
      </w:tr>
      <w:tr>
        <w:tc>
          <w:tcPr/>
          <w:p>
            <w:pPr>
              <w:pStyle w:val="Compact"/>
            </w:pPr>
            <w:r>
              <w:rPr>
                <w:sz w:val="19"/>
              </w:rPr>
              <w:t xml:space="preserve">Controls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controls are treated as endogenous rather than predetermined. Size, growth opportunities, profitability and cash flow respond to past investment shocks, so even their lagged values may be correlated with the error (Wintoki, Linck &amp; Netter, 2012); in this sample the Hansen test also rejected the weaker predetermined assumption. The instrument matrix is collapsed and lag depth is restricted to two, so that the instrument count stays below the 299 cross-sectional units. Instrument proliferation overfits the endogenous regressors and weakens the Hansen test (Roodman, 2009a). The instrument count is reported for every model.</w:t>
      </w:r>
    </w:p>
    <w:p>
      <w:pPr>
        <w:pStyle w:val="BodyText"/>
      </w:pPr>
      <w:r>
        <w:t xml:space="preserve">Restricting lag depth keeps the instrument count low but can leave the instruments weak, and weak instruments make GMM estimates imprecise and biased toward OLS (Bun &amp; Windmeijer, 2010). Instrument strength is therefore checked before any hypothesis model is estimated. For each main regressor (CSD⁺, CSD⁻, MA), the cluster-robust first-stage F statistic of its collapsed lag instruments is computed for the transformed and levels equations. The lag window is fixed by a rule set in advance: lags 2–3 are kept unless the weakest first-stage F is below 10 (Staiger &amp; Stock, 1997) and the window of lags 2–4 gives stronger instruments, in which case lags 2–4 are used. The F statistics and the window selected are reported in the Online Appendix (OA10). The rule depends only on the first stages, never on the hypothesis tests.</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Frontier per industry-year</w:t>
            </w:r>
          </w:p>
        </w:tc>
        <w:tc>
          <w:tcPr/>
          <w:p>
            <w:pPr>
              <w:pStyle w:val="Compact"/>
            </w:pPr>
            <w:r>
              <w:rPr>
                <w:sz w:val="19"/>
              </w:rPr>
              <w:t xml:space="preserve">Frontier per industry-year</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the forward orthogonal deviation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Instrument strength (first-stage F of the main regressors)</w:t>
            </w:r>
          </w:p>
        </w:tc>
        <w:tc>
          <w:tcPr/>
          <w:p>
            <w:pPr>
              <w:pStyle w:val="Compact"/>
            </w:pPr>
            <w:r>
              <w:rPr>
                <w:sz w:val="19"/>
              </w:rPr>
              <w:t xml:space="preserve">Reported; lag window chosen by the rule in Section 3.8.2</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299 and T ≈ 9, asymptotics run in N; Fisher-type panel unit-root tests on InvEff and CSDev are reported for completeness</w:t>
            </w:r>
          </w:p>
        </w:tc>
        <w:tc>
          <w:tcPr/>
          <w:p>
            <w:pPr>
              <w:pStyle w:val="Compact"/>
            </w:pPr>
            <w:r>
              <w:rPr>
                <w:sz w:val="19"/>
              </w:rPr>
              <w:t xml:space="preserve">—</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 and ability</w:t>
            </w:r>
          </w:p>
        </w:tc>
        <w:tc>
          <w:tcPr/>
          <w:p>
            <w:pPr>
              <w:pStyle w:val="Compact"/>
            </w:pPr>
            <w:r>
              <w:rPr>
                <w:sz w:val="19"/>
              </w:rPr>
              <w:t xml:space="preserve">CSD⁺, CSD⁻ and MA measured at t (contemporaneous) instead of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Accrual investment, [(PPE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r>
              <w:rPr>
                <w:sz w:val="19"/>
              </w:rPr>
              <w:t xml:space="preserve">, which includes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industry-year frontiers (at least 15 or 20 firms) instead of industry frontiers</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Window selected by the instrument-strength rule (main) against the other of lags 2–3 and 2–4; lags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Unbalanced panel that adds firms dropped by the continuity filter, to assess survivorship bias</w:t>
            </w:r>
          </w:p>
        </w:tc>
      </w:tr>
      <w:tr>
        <w:tc>
          <w:tcPr/>
          <w:p>
            <w:pPr>
              <w:pStyle w:val="Compact"/>
            </w:pPr>
            <w:r>
              <w:rPr>
                <w:sz w:val="19"/>
              </w:rPr>
              <w:t xml:space="preserve">S9</w:t>
            </w:r>
          </w:p>
        </w:tc>
        <w:tc>
          <w:tcPr/>
          <w:p>
            <w:pPr>
              <w:pStyle w:val="Compact"/>
            </w:pPr>
            <w:r>
              <w:rPr>
                <w:sz w:val="19"/>
              </w:rPr>
              <w:t xml:space="preserve">Elements of the original design</w:t>
            </w:r>
          </w:p>
        </w:tc>
        <w:tc>
          <w:tcPr/>
          <w:p>
            <w:pPr>
              <w:pStyle w:val="Compact"/>
            </w:pPr>
            <w:r>
              <w:rPr>
                <w:sz w:val="19"/>
              </w:rPr>
              <w:t xml:space="preserve">S9a: first differences instead of forward orthogonal deviations; S9b: original four controls (LTA, MTB, PROFIT, FCF); S9c: original specification as a whole (CSD and MA at t, first differences, four controls, lags 2–3)</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1,000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S1–S9</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r>
        <w:tc>
          <w:tcPr/>
          <w:p>
            <w:pPr>
              <w:pStyle w:val="Compact"/>
            </w:pPr>
            <w:r>
              <w:rPr>
                <w:sz w:val="19"/>
              </w:rPr>
              <w:t xml:space="preserve">OA10</w:t>
            </w:r>
          </w:p>
        </w:tc>
        <w:tc>
          <w:tcPr/>
          <w:p>
            <w:pPr>
              <w:pStyle w:val="Compact"/>
            </w:pPr>
            <w:r>
              <w:rPr>
                <w:sz w:val="19"/>
              </w:rPr>
              <w:t xml:space="preserve">Instrument strength: first-stage F statistics of the GMM instruments and the lag window selected</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−CFI</w:t>
            </w:r>
            <w:r>
              <w:rPr>
                <w:sz w:val="19"/>
                <w:vertAlign w:val="subscript"/>
              </w:rPr>
              <w:t xml:space="preserve">t</w:t>
            </w:r>
            <w:r>
              <w:rPr>
                <w:sz w:val="19"/>
              </w:rPr>
              <w:t xml:space="preserve"> </w:t>
            </w:r>
            <w:r>
              <w:rPr>
                <w:sz w:val="19"/>
              </w:rPr>
              <w:t xml:space="preserve">/ TA</w:t>
            </w:r>
            <w:r>
              <w:rPr>
                <w:sz w:val="19"/>
                <w:vertAlign w:val="subscript"/>
              </w:rPr>
              <w:t xml:space="preserve">t−1</w:t>
            </w:r>
            <w:r>
              <w:rPr>
                <w:sz w:val="19"/>
              </w:rPr>
              <w:t xml:space="preserve"> </w:t>
            </w:r>
            <w:r>
              <w:rPr>
                <w:sz w:val="19"/>
              </w:rPr>
              <w:t xml:space="preserve">(cash investment)</w:t>
            </w:r>
          </w:p>
        </w:tc>
        <w:tc>
          <w:tcPr/>
          <w:p>
            <w:pPr>
              <w:pStyle w:val="Compact"/>
            </w:pPr>
            <w:r>
              <w:rPr>
                <w:sz w:val="19"/>
              </w:rPr>
              <w:t xml:space="preserve">CFI,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1392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 CSD⁺ and CSD⁻ enter Eqs. (6)–(12) at t−1</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 enters Eqs. (9)–(12) at t−1</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TANG</w:t>
            </w:r>
          </w:p>
        </w:tc>
        <w:tc>
          <w:tcPr/>
          <w:p>
            <w:pPr>
              <w:pStyle w:val="Compact"/>
            </w:pPr>
            <w:r>
              <w:rPr>
                <w:sz w:val="19"/>
              </w:rPr>
              <w:t xml:space="preserve">PPE / TA</w:t>
            </w:r>
          </w:p>
        </w:tc>
        <w:tc>
          <w:tcPr/>
          <w:p>
            <w:pPr>
              <w:pStyle w:val="Compact"/>
            </w:pPr>
            <w:r>
              <w:rPr>
                <w:sz w:val="19"/>
              </w:rPr>
              <w:t xml:space="preserve">PPE, TA</w:t>
            </w:r>
          </w:p>
        </w:tc>
      </w:tr>
      <w:tr>
        <w:tc>
          <w:tcPr/>
          <w:p>
            <w:pPr>
              <w:pStyle w:val="Compact"/>
            </w:pPr>
            <w:r>
              <w:rPr>
                <w:sz w:val="19"/>
              </w:rPr>
              <w:t xml:space="preserve">LOSS</w:t>
            </w:r>
          </w:p>
        </w:tc>
        <w:tc>
          <w:tcPr/>
          <w:p>
            <w:pPr>
              <w:pStyle w:val="Compact"/>
            </w:pPr>
            <w:r>
              <w:rPr>
                <w:sz w:val="19"/>
              </w:rPr>
              <w:t xml:space="preserve">1 if OI &lt; 0, else 0</w:t>
            </w:r>
          </w:p>
        </w:tc>
        <w:tc>
          <w:tcPr/>
          <w:p>
            <w:pPr>
              <w:pStyle w:val="Compact"/>
            </w:pPr>
            <w:r>
              <w:rPr>
                <w:sz w:val="19"/>
              </w:rPr>
              <w:t xml:space="preserve">OI</w:t>
            </w:r>
          </w:p>
        </w:tc>
      </w:tr>
      <w:tr>
        <w:tc>
          <w:tcPr/>
          <w:p>
            <w:pPr>
              <w:pStyle w:val="Compact"/>
            </w:pPr>
            <w:r>
              <w:rPr>
                <w:sz w:val="19"/>
              </w:rPr>
              <w:t xml:space="preserve">σ(CFO)</w:t>
            </w:r>
          </w:p>
        </w:tc>
        <w:tc>
          <w:tcPr/>
          <w:p>
            <w:pPr>
              <w:pStyle w:val="Compact"/>
            </w:pPr>
            <w:r>
              <w:rPr>
                <w:sz w:val="19"/>
              </w:rPr>
              <w:t xml:space="preserve">Standard deviation of CFO / TA over t−3 to t−1</w:t>
            </w:r>
          </w:p>
        </w:tc>
        <w:tc>
          <w:tcPr/>
          <w:p>
            <w:pPr>
              <w:pStyle w:val="Compact"/>
            </w:pPr>
            <w:r>
              <w:rPr>
                <w:sz w:val="19"/>
              </w:rPr>
              <w:t xml:space="preserve">CFO, TA</w:t>
            </w:r>
          </w:p>
        </w:tc>
      </w:tr>
      <w:tr>
        <w:tc>
          <w:tcPr/>
          <w:p>
            <w:pPr>
              <w:pStyle w:val="Compact"/>
            </w:pPr>
            <w:r>
              <w:rPr>
                <w:sz w:val="19"/>
              </w:rPr>
              <w:t xml:space="preserve">σ(Sales)</w:t>
            </w:r>
          </w:p>
        </w:tc>
        <w:tc>
          <w:tcPr/>
          <w:p>
            <w:pPr>
              <w:pStyle w:val="Compact"/>
            </w:pPr>
            <w:r>
              <w:rPr>
                <w:sz w:val="19"/>
              </w:rPr>
              <w:t xml:space="preserve">Standard deviation of Sales / TA over t−3 to t−1</w:t>
            </w:r>
          </w:p>
        </w:tc>
        <w:tc>
          <w:tcPr/>
          <w:p>
            <w:pPr>
              <w:pStyle w:val="Compact"/>
            </w:pPr>
            <w:r>
              <w:rPr>
                <w:sz w:val="19"/>
              </w:rPr>
              <w:t xml:space="preserve">Sales,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1392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Bun, M. J. G., &amp; Windmeijer, F. (2010). The weak instrument problem of the system GMM estimator in dynamic panel data models.</w:t>
      </w:r>
      <w:r>
        <w:t xml:space="preserve"> </w:t>
      </w:r>
      <w:r>
        <w:rPr>
          <w:i/>
          <w:iCs/>
        </w:rPr>
        <w:t xml:space="preserve">Econometrics Journal, 13</w:t>
      </w:r>
      <w:r>
        <w:t xml:space="preserve">(1), 95–126.</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Staiger, D., &amp; Stock, J. H. (1997). Instrumental variables regression with weak instruments.</w:t>
      </w:r>
      <w:r>
        <w:t xml:space="preserve"> </w:t>
      </w:r>
      <w:r>
        <w:rPr>
          <w:i/>
          <w:iCs/>
        </w:rPr>
        <w:t xml:space="preserve">Econometrica, 65</w:t>
      </w:r>
      <w:r>
        <w:t xml:space="preserve">(3), 557–586.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Fill in the [n] counts in the sample-construction table in 3.1 from your screening records, including the firm-years removed for non-positive book equity (reported in the Stata log). Update 299 firms / 3,588 records if the equity filter changes them.</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firm-year counts in the effective-window table assume the panel stays balanced after lags; update them with the actual estimation N.</w:t>
      </w:r>
    </w:p>
    <w:p>
      <w:pPr>
        <w:pStyle w:val="Compact"/>
        <w:numPr>
          <w:ilvl w:val="0"/>
          <w:numId w:val="1008"/>
        </w:numPr>
      </w:pPr>
      <w:r>
        <w:t xml:space="preserve">The design changes of this version (CSD and MA at t−1, forward orthogonal deviations, extended controls) were fixed before the final estimation; the earlier specification is reported in S9c. State this in the cover letter if a reviewer asks how the specification was chosen.</w:t>
      </w:r>
    </w:p>
    <w:p>
      <w:pPr>
        <w:pStyle w:val="Compact"/>
        <w:numPr>
          <w:ilvl w:val="0"/>
          <w:numId w:val="1008"/>
        </w:numPr>
      </w:pPr>
      <w:r>
        <w:t xml:space="preserve">Sales and total assets for 1391, if available, would extend InvEff to 1393 and the GMM sample to 1394.</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2026-10-01T11:12:36Z</dcterms:created>
  <dcterms:modified xsi:type="dcterms:W3CDTF">2026-10-01T11:12:36Z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