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Short version 3.0 (English) — October 2026 — for main data collection</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[19–22]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spacing w:after="80"/>
      </w:pPr>
    </w:p>
    <w:p>
      <w:pPr>
        <w:bidi w:val="false"/>
        <w:spacing w:after="100" w:line="300"/>
      </w:pPr>
      <w:r>
        <w:rPr>
          <w:rFonts w:ascii="Arial" w:cs="Arial" w:eastAsia="Arial" w:hAnsi="Arial"/>
          <w:sz w:val="20"/>
          <w:szCs w:val="20"/>
          <w:rtl w:val="false"/>
        </w:rPr>
        <w:t xml:space="preserve">Orientation toward groups (a general scale about you, not about this team). −3 = Strongly disagree … 0 = Neither agree nor disagree … +3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0</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can enjoy spending time with a group of people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like building bonds with members of the same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don't like to be in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enjoy spending time alone rather than in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I am with a group, I easily merge with the others in the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easily identify with the groups that I belong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take pleasure in collaborating in groups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enjoy working to a group goal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 items from your report (Table 1); 5-point, 1 = None to 5 = A lot.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Response scale not in the pasted text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Group orientation (GOS)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Kuppens, Manstead, Spears &amp; Sweetman (2026), Table 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 (your report): eight final items verbatim; 7-point −3 to +3 (only endpoints and midpoint labelled); GO3 and GO4 reversed (sign change); alpha .76–.90 across 8 samples (n = 3,209). The scale is unidimensional; do not read items 7–8 as a subscale of collective goals. Do not restore dropped items 11 and 14 (individual vs group goals). A general individual trait, not a perception of this team. Licence: "© The Author(s) 2026"; no explicit CC BY seen (a search snippet had said CC: inconsistent)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licence on the PDF; name it "individual group orientation"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Group orientation (GOS; Kuppens et al. 2026, 8 items) as an individual trait; not a perception of the team</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Weak/indirect coverage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Group orientation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GO1–GO8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to +3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GO3, GO4 reversed (sign change)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Short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short version (about 125 items, 19–22 minutes) is for the main data collection. Compared with the full version these are removed: continuance commitment, occupation and organization (12 items); moral-identity symbolization (5); client-related burnout (6); intent to remain (3); leader coaching (3); goal similarity (3); conflict resolution (3); liking (4); team learning (7); team performance (5). Appendix tables are filtered for the removed rows; the commitment rows (which still mention continuance) and the Lencioni coverage table are identical to the full version.</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Kuppens, T., Manstead, A. S. R., Spears, R., &amp; Sweetman, J. (2026). Who cares about groups? The Group Orientation Scale measures differences in the general motivation for group belonging and concern for group goals. Group Processes &amp; Intergroup Relations, 29(3), 446–470. https://doi.org/10.1177/13684302251406210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2026-10-08T18:33:36.192Z</dcterms:created>
  <dcterms:modified xsi:type="dcterms:W3CDTF">2026-10-08T18:33:36.192Z</dcterms:modified>
</cp:coreProperties>
</file>

<file path=docProps/custom.xml><?xml version="1.0" encoding="utf-8"?>
<Properties xmlns="http://schemas.openxmlformats.org/officeDocument/2006/custom-properties" xmlns:vt="http://schemas.openxmlformats.org/officeDocument/2006/docPropsVTypes"/>
</file>