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88" w:lineRule="auto"/>
        <w:jc w:val="left"/>
      </w:pPr>
      <w:r>
        <w:rPr>
          <w:b/>
          <w:i w:val="0"/>
          <w:color w:val="1F3864"/>
          <w:sz w:val="30"/>
        </w:rPr>
        <w:t>2. Theoretical Background and Hypothesis Development</w:t>
      </w:r>
    </w:p>
    <w:p>
      <w:pPr>
        <w:spacing w:after="140" w:line="336" w:lineRule="auto"/>
        <w:jc w:val="both"/>
      </w:pPr>
      <w:r>
        <w:rPr>
          <w:b w:val="0"/>
          <w:i w:val="0"/>
        </w:rPr>
        <w:t>Theory has three jobs in this study. It must define the object, a cyber risk assessment carried out by an auditor, precisely enough for the object to be decomposed into components. It must explain why those components should hang together, so that a list becomes a structure that can be tested. And it must explain why the vantage point of the observer and the setting of the assessment should change what is seen. We take the jobs in turn; the propositions and hypotheses follow from the answers.</w:t>
      </w:r>
    </w:p>
    <w:p>
      <w:pPr>
        <w:spacing w:after="100" w:line="288" w:lineRule="auto"/>
        <w:jc w:val="left"/>
      </w:pPr>
      <w:r>
        <w:rPr>
          <w:b/>
          <w:i w:val="0"/>
          <w:color w:val="1F3864"/>
          <w:sz w:val="25"/>
        </w:rPr>
        <w:t>2.1 Defining the object: risk, audit risk and cyber risk</w:t>
      </w:r>
    </w:p>
    <w:p>
      <w:pPr>
        <w:spacing w:after="140" w:line="336" w:lineRule="auto"/>
        <w:jc w:val="both"/>
      </w:pPr>
      <w:r>
        <w:rPr>
          <w:b w:val="0"/>
          <w:i w:val="0"/>
        </w:rPr>
        <w:t>In the vocabulary of ISO 31000, risk is the effect of uncertainty on objectives, and ISO/IEC 27005:2022 expresses that effect as a consequence for information security objectives (ISO, 2018; ISO/IEC, 2022). The auditor's objectives are different. The auditor seeks reasonable assurance that the financial statements are free of material misstatement, and the audit risk model expresses the risk of failing to obtain it as a function of the risk of material misstatement, which combines inherent and control risk, and of detection risk. In our reading, cyber risk can enter this model at two points. It can raise inherent risk, because the IT environment adds complexity and change to the processes that produce assertions, two of the inherent risk factors named in ISA 315 (Revised 2019) (IAASB, 2019). And it can affect control risk, because the controls an auditor relies on depend on general IT controls that must themselves be understood and evaluated. A third entry, through the entity's ability to keep operating and to disclose incidents appropriately, reaches going-concern and disclosure judgments rather than misstatement at assertion level.</w:t>
      </w:r>
    </w:p>
    <w:p>
      <w:pPr>
        <w:spacing w:after="140" w:line="336" w:lineRule="auto"/>
        <w:jc w:val="both"/>
      </w:pPr>
      <w:r>
        <w:rPr>
          <w:b w:val="0"/>
          <w:i w:val="0"/>
        </w:rPr>
        <w:t>We therefore define cyber risk assessment in an audit as the set of activities by which an auditor, working directly or through specialists and entity-prepared information, understands the entity's IT environment, identifies and evaluates cyber-related risks to the reliability of financial reporting and to the controls relied upon, forms and documents a judgment about residual risk, and communicates it to those who must act on it. Three features of this definition do the theoretical work. The assessor is not the owner of the system, which makes the assessment a problem of information asymmetry. The output is a judgment rather than a measurement, a consequence of data scarcity that limits quantification (Cremer et al., 2022), which makes its quality depend on the inputs to the judgment. And the activity is a chain of reliance on specialists, on entity descriptions and on third-party reports, which makes capability and collaboration part of the construct rather than mere context.</w:t>
      </w:r>
    </w:p>
    <w:p>
      <w:pPr>
        <w:spacing w:after="100" w:line="288" w:lineRule="auto"/>
        <w:jc w:val="left"/>
      </w:pPr>
      <w:r>
        <w:rPr>
          <w:b/>
          <w:i w:val="0"/>
          <w:color w:val="1F3864"/>
          <w:sz w:val="25"/>
        </w:rPr>
        <w:t>2.2 Structure: three layers and seven dimensions</w:t>
      </w:r>
    </w:p>
    <w:p>
      <w:pPr>
        <w:spacing w:after="140" w:line="336" w:lineRule="auto"/>
        <w:jc w:val="both"/>
      </w:pPr>
      <w:r>
        <w:rPr>
          <w:b w:val="0"/>
          <w:i w:val="0"/>
        </w:rPr>
        <w:t>A construct defined this way needs structure, and the literature supplies three layers. The risk-model layer concerns how threat, vulnerability and consequence are identified, estimated and evaluated. Its literature shows that methods differ in coverage (Wangen et al., 2018), that decision-analytic and probabilistic models can integrate the triplet (Ganin et al., 2020; Wang et al., 2020), and that investment in protection should be guided by expected loss (Gordon &amp; Loeb, 2002). The management-cycle layer concerns how risk is treated, monitored, responded to and learned from; it is where frameworks such as NIST CSF 2.0 spend most of their effort and where static views are criticized for missing dynamics (Armenia et al., 2021). The assurance layer concerns criteria, evidence, testing, judgment, reporting and accountability, which Slapničar et al. (2022) operationalize as planning, performing and reporting, and which ISA 315 and the IIA standards regulate.</w:t>
      </w:r>
    </w:p>
    <w:p>
      <w:pPr>
        <w:spacing w:after="140" w:line="336" w:lineRule="auto"/>
        <w:jc w:val="both"/>
      </w:pPr>
      <w:r>
        <w:rPr>
          <w:b w:val="0"/>
          <w:i w:val="0"/>
        </w:rPr>
        <w:t>Requiring each layer to be covered from both vantage points yields 30 components in seven dimensions (Table A1). Governance and strategy (C01–C03) captures what NIST CSF 2.0 now treats as a function of its own and what research links to cybersecurity audit: board governance, audit committee involvement and the risk function (Islam et al., 2018), and board-level technology committees, whose maturity is associated with reported breaches in opposite directions (Higgs et al., 2016). The risk assessment process (C04–C08) covers assets, threats, vulnerabilities, analysis and change; it is the best-documented dimension, anchored in Hermanson et al. (2000) on traditional IT risks and in the methods literature above. Control and risk treatment (C09–C15) covers implementation, access, data, infrastructure, development and change, awareness and third parties; the standards are rich here and audit-specific research is thin. Monitoring and response (C16–C18) covers monitoring, incident response and continuity, where the dynamic view of Armenia et al. (2021) and the detection-and-response signal in Higgs et al. (2016) apply. Compliance, improvement and reporting (C19–C21) covers legal requirements, effectiveness evaluation and reporting, anchored in institutional pressures (Vuko et al., 2024), reporting to the board (Slapničar et al., 2022) and disclosure (Sari et al., 2023). The two auditor-specific dimensions cover the auditor's own process (A01–A04: understanding the IT environment, linking cyber risk to material misstatement, evaluating IT general controls and evaluating electronic evidence) and the conditions of reliance, competence and reporting (A05–A09: service-organization reports, competence and experts, effect of incidents on the financial statements, communication with those charged with governance, and professional judgment).</w:t>
      </w:r>
    </w:p>
    <w:p>
      <w:pPr>
        <w:spacing w:after="140" w:line="336" w:lineRule="auto"/>
        <w:jc w:val="both"/>
      </w:pPr>
      <w:r>
        <w:rPr>
          <w:b w:val="0"/>
          <w:i w:val="0"/>
        </w:rPr>
        <w:t>The evidence profile is uneven, and the unevenness is informative. Of the 30 components, 21 are supported by at least one study whose details we could confirm, and nine rest on standards and guidance alone: policies and strategy (C02), context and scope (C03), access control (C10), network and physical security (C12), awareness (C14), third-party risk (C15), continuity (C18), electronic audit evidence (A04) and professional judgment (A09). Twelve components belong to the audited entity's perspective, nine to the auditor's and nine are shared (Table A1). The standards-only components mark where the construct depends on professional guidance rather than evidence, and where expert validation matters most; the shared components mark the interface at which the two vantage points must be reconciled. Both observations generate propositions below.</w:t>
      </w:r>
    </w:p>
    <w:p>
      <w:pPr>
        <w:spacing w:after="100" w:line="288" w:lineRule="auto"/>
        <w:jc w:val="left"/>
      </w:pPr>
      <w:r>
        <w:rPr>
          <w:b/>
          <w:i w:val="0"/>
          <w:color w:val="1F3864"/>
          <w:sz w:val="25"/>
        </w:rPr>
        <w:t>2.3 Mechanisms: what each theory explains</w:t>
      </w:r>
    </w:p>
    <w:p>
      <w:pPr>
        <w:spacing w:after="140" w:line="336" w:lineRule="auto"/>
        <w:jc w:val="both"/>
      </w:pPr>
      <w:r>
        <w:rPr>
          <w:b w:val="0"/>
          <w:i w:val="0"/>
        </w:rPr>
        <w:t>The audit risk model and risk-based auditing explain the chain that organizes the study: information about the entity and its IT environment is turned into an assessment of risk, and the assessment determines the response. The quality of what the auditor identifies and evaluates should therefore determine the quality of the judgment about risk, and the quality of that judgment should determine what is communicated and done.</w:t>
      </w:r>
    </w:p>
    <w:p>
      <w:pPr>
        <w:spacing w:after="140" w:line="336" w:lineRule="auto"/>
        <w:jc w:val="both"/>
      </w:pPr>
      <w:r>
        <w:rPr>
          <w:b w:val="0"/>
          <w:i w:val="0"/>
        </w:rPr>
        <w:t>Agency theory explains why the vantage point matters. In Jensen and Meckling's (1976) account, monitoring and bonding arise because principals cannot costlessly observe agents; auditing is one such device. In cyber risk the asymmetry is acute: the entity knows its systems, the auditor must form an opinion about them. Reliance on specialists and on entity-prepared descriptions is the price of that asymmetry, and where the two sides weigh components differently, the difference marks where the monitoring relationship is under strain.</w:t>
      </w:r>
    </w:p>
    <w:p>
      <w:pPr>
        <w:spacing w:after="140" w:line="336" w:lineRule="auto"/>
        <w:jc w:val="both"/>
      </w:pPr>
      <w:r>
        <w:rPr>
          <w:b w:val="0"/>
          <w:i w:val="0"/>
        </w:rPr>
        <w:t>The resource-based view and dynamic capabilities explain why competence, collaboration and learning belong to the construct. Resources that are valuable, rare and hard to imitate sustain performance (Barney, 1991), and capabilities to integrate, build and reconfigure competences allow adaptation to changing environments (Teece et al., 1997). An auditor's technical competence, the working relationship with specialists and the ability to learn from incidents are capabilities in exactly this sense.</w:t>
      </w:r>
    </w:p>
    <w:p>
      <w:pPr>
        <w:spacing w:after="140" w:line="336" w:lineRule="auto"/>
        <w:jc w:val="both"/>
      </w:pPr>
      <w:r>
        <w:rPr>
          <w:b w:val="0"/>
          <w:i w:val="0"/>
        </w:rPr>
        <w:t>Institutional and contingency theories explain why context matters. The adoption of standards responds to coercive, mimetic and normative pressures (DiMaggio &amp; Powell, 1983), and the effectiveness of a practice depends on its fit with organizational circumstances (Donaldson, 2001). Vuko et al. (2024) apply the institutional lens to cybersecurity audit effectiveness. Together the theories predict that a component can be important yet infeasible where enabling conditions are absent, which is why importance and feasibility are assessed separately.</w:t>
      </w:r>
    </w:p>
    <w:p>
      <w:pPr>
        <w:spacing w:after="140" w:line="336" w:lineRule="auto"/>
        <w:jc w:val="both"/>
      </w:pPr>
      <w:r>
        <w:rPr>
          <w:b w:val="0"/>
          <w:i w:val="0"/>
        </w:rPr>
        <w:t>The economics of security investment explains why residual-risk judgment has a prioritizing function. Gordon and Loeb (2002) show that the optimal investment in protecting an information set is generally a fraction of the expected loss and that moderately vulnerable information sets may merit more protection than extremely vulnerable ones. An assessment that ranks risks and distinguishes inherent from residual risk is what makes such trade-offs possible.</w:t>
      </w:r>
    </w:p>
    <w:p>
      <w:pPr>
        <w:spacing w:after="100" w:line="288" w:lineRule="auto"/>
        <w:jc w:val="left"/>
      </w:pPr>
      <w:r>
        <w:rPr>
          <w:b/>
          <w:i w:val="0"/>
          <w:color w:val="1F3864"/>
          <w:sz w:val="25"/>
        </w:rPr>
        <w:t>2.4 Propositions for the Delphi study (Paper 1)</w:t>
      </w:r>
    </w:p>
    <w:p>
      <w:pPr>
        <w:spacing w:after="140" w:line="336" w:lineRule="auto"/>
        <w:jc w:val="both"/>
      </w:pPr>
      <w:r>
        <w:rPr>
          <w:b w:val="0"/>
          <w:i w:val="0"/>
        </w:rPr>
        <w:t>The Delphi study tests no statistical hypotheses. It is guided by four propositions that follow from the theory and the evidence profile; they fix how the components are validated.</w:t>
      </w:r>
    </w:p>
    <w:p>
      <w:pPr>
        <w:spacing w:after="80" w:line="336" w:lineRule="auto"/>
        <w:jc w:val="both"/>
      </w:pPr>
      <w:r>
        <w:rPr>
          <w:b w:val="0"/>
          <w:i w:val="0"/>
        </w:rPr>
        <w:t>• P1 (evidence convergence). Components supported by both standards and prior research will reach consensus earlier and with less dispersion than components that rest on standards alone. Converging sources are more likely to be part of a shared professional vocabulary, whereas standards-only components depend on how far guidance has been absorbed into practice (institutional theory).</w:t>
      </w:r>
    </w:p>
    <w:p>
      <w:pPr>
        <w:spacing w:after="80" w:line="336" w:lineRule="auto"/>
        <w:jc w:val="both"/>
      </w:pPr>
      <w:r>
        <w:rPr>
          <w:b w:val="0"/>
          <w:i w:val="0"/>
        </w:rPr>
        <w:t>• P2 (vantage-point salience). Each panel will rate most highly the components closest to its own work: the entity panel those in control and treatment (C09–C15), the auditor panel those in the auditor-specific dimensions (A01–A09). Role salience and information asymmetry shape what each side sees as central (agency theory; capabilities).</w:t>
      </w:r>
    </w:p>
    <w:p>
      <w:pPr>
        <w:spacing w:after="80" w:line="336" w:lineRule="auto"/>
        <w:jc w:val="both"/>
      </w:pPr>
      <w:r>
        <w:rPr>
          <w:b w:val="0"/>
          <w:i w:val="0"/>
        </w:rPr>
        <w:t>• P3 (importance–feasibility gap). Feasibility ratings will fall below importance ratings most for components that depend on enabling conditions outside the assessor's control: third-party risk (C15), continuous monitoring (C16), reliance on service-organization reports (A05) and use of experts (A06) (contingency and institutional theory).</w:t>
      </w:r>
    </w:p>
    <w:p>
      <w:pPr>
        <w:spacing w:after="80" w:line="336" w:lineRule="auto"/>
        <w:jc w:val="both"/>
      </w:pPr>
      <w:r>
        <w:rPr>
          <w:b w:val="0"/>
          <w:i w:val="0"/>
        </w:rPr>
        <w:t>• P4 (translation gap). Disagreement between panels will be largest for components at the interface between the entity's risk and the auditor's risk: risk analysis and evaluation (C07), cyber fraud risk and change (C08) and the effect on material misstatement (A02). The two sides differ in objective, unit and evidence, so the same words carry different meanings.</w:t>
      </w:r>
    </w:p>
    <w:p>
      <w:pPr>
        <w:spacing w:after="40"/>
      </w:pPr>
    </w:p>
    <w:p>
      <w:pPr>
        <w:spacing w:after="100" w:line="288" w:lineRule="auto"/>
        <w:jc w:val="left"/>
      </w:pPr>
      <w:r>
        <w:rPr>
          <w:b/>
          <w:i w:val="0"/>
          <w:color w:val="1F3864"/>
          <w:sz w:val="25"/>
        </w:rPr>
        <w:t>2.5 Hypotheses for the structural model (Paper 2)</w:t>
      </w:r>
    </w:p>
    <w:p>
      <w:pPr>
        <w:spacing w:after="140" w:line="336" w:lineRule="auto"/>
        <w:jc w:val="both"/>
      </w:pPr>
      <w:r>
        <w:rPr>
          <w:b w:val="0"/>
          <w:i w:val="0"/>
        </w:rPr>
        <w:t>The 30 components are summarized into six constructs that measure the extent and quality of assessment practices, not the entity's actual security: threat and vulnerability identification (TVI), control maturity and effectiveness evaluation (CCE), auditor–specialist collaboration and competence (COL), likelihood, consequence and residual-risk judgment (RRJ), continuous monitoring and organizational learning (MOL) and the effectiveness of the assessment process (PEF). Policy, scope and legal requirements are treated as context and control variables. The mapping is provisional and will be finalized after the Delphi study (Figure 1; Table 1).</w:t>
      </w:r>
    </w:p>
    <w:p>
      <w:pPr>
        <w:jc w:val="center"/>
      </w:pPr>
      <w:r>
        <w:drawing>
          <wp:inline xmlns:a="http://schemas.openxmlformats.org/drawingml/2006/main" xmlns:pic="http://schemas.openxmlformats.org/drawingml/2006/picture">
            <wp:extent cx="5400000" cy="3136736"/>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400000" cy="3136736"/>
                    </a:xfrm>
                    <a:prstGeom prst="rect"/>
                  </pic:spPr>
                </pic:pic>
              </a:graphicData>
            </a:graphic>
          </wp:inline>
        </w:drawing>
      </w:r>
    </w:p>
    <w:p>
      <w:pPr>
        <w:spacing w:after="140" w:line="264" w:lineRule="auto"/>
        <w:jc w:val="center"/>
      </w:pPr>
      <w:r>
        <w:rPr>
          <w:b w:val="0"/>
          <w:i w:val="0"/>
          <w:color w:val="5A5A5A"/>
          <w:sz w:val="19"/>
        </w:rPr>
        <w:t>Figure 1. Proposed structural model.</w:t>
      </w:r>
    </w:p>
    <w:p>
      <w:pPr>
        <w:spacing w:after="140" w:line="336" w:lineRule="auto"/>
        <w:jc w:val="both"/>
      </w:pPr>
      <w:r>
        <w:rPr>
          <w:b w:val="0"/>
          <w:i w:val="0"/>
        </w:rPr>
        <w:t>Inputs to judgment (H1, H2). The audit risk model implies a chain from information to assessment to response. For identification, ISA 315 requires understanding of the IT environment and identification of risks arising from IT before risks of material misstatement are assessed, ISO/IEC 27005:2022 places identification ahead of analysis and evaluation, and the methods literature treats threat, vulnerability and consequence as the triplet whose joint coverage defines a complete assessment (Ganin et al., 2020; Wangen et al., 2018). Hence H1: TVI positively affects RRJ. For control evaluation, the logic is the definition of residual risk itself: a judgment about what remains after controls cannot be better than the evaluation of the controls. ISA 315 requires evaluation of the design and implementation of relevant controls and of general IT controls, and the performing stage in Slapničar et al. (2022) is where such evaluation sits. Hence H2: CCE positively affects RRJ. Both hypotheses concern the quality of assessment practices, not the security of the entity.</w:t>
      </w:r>
    </w:p>
    <w:p>
      <w:pPr>
        <w:spacing w:after="140" w:line="336" w:lineRule="auto"/>
        <w:jc w:val="both"/>
      </w:pPr>
      <w:r>
        <w:rPr>
          <w:b w:val="0"/>
          <w:i w:val="0"/>
        </w:rPr>
        <w:t>Capability and collaboration (H3, H4, H9). Because the assessor is not the system owner and the output is a judgment, the capacity to interpret technical information is part of the production of the judgment. Under a capabilities view, collaboration between auditor and specialist, together with auditor competence, converts information into judgment. Evidence points the same way: the relationship between internal audit and information security is a recognized determinant question for security outcomes (Steinbart et al., 2018), characteristics of the internal audit function are associated with the extent of cybersecurity audit (Islam et al., 2018), and the presence of specialists was related to the frequency of IT evaluations as early as Hermanson et al. (2000); ISA 620 gives the auditor a formal route to expertise. Hence H3: COL positively affects RRJ. The more consequential claim is H4: COL strengthens the effect of identification (H4a) and of control evaluation (H4b) on judgment. Identification and evaluation produce technical information; whether that information changes the judgment depends on whether someone competent can interpret it in audit terms, which is the second translation, from asset or scenario to assertion. Direct evidence for moderation is scarce, which is why we present H4 as an explicit, novel test. H9 adds a direct path from COL to PEF: coordination and competence also shape how findings are communicated and followed up, beyond the quality of the judgment itself.</w:t>
      </w:r>
    </w:p>
    <w:p>
      <w:pPr>
        <w:spacing w:after="140" w:line="336" w:lineRule="auto"/>
        <w:jc w:val="both"/>
      </w:pPr>
      <w:r>
        <w:rPr>
          <w:b w:val="0"/>
          <w:i w:val="0"/>
        </w:rPr>
        <w:t>From judgment to learning and effectiveness (H5, H6, H7). A judgment about residual risk has two destinations. The first is the stakeholders who must act on it. H5: RRJ positively affects PEF, because prioritization, the distinction between inherent and residual risk and the clarity of what is reported are products of judgment. Slapničar et al. (2022) find planning and performing tightly linked and reporting more loosely linked, which suggests that the passage from judgment to communication is where effectiveness is won or lost; ISA 260 and ISA 265 regulate that communication. The second destination is the next assessment. H6: RRJ positively affects MOL, because a judgment about what remains defines what must be watched and when reassessment is triggered. This is the dynamic view that Armenia et al. (2021) find missing in static framework use, and it corresponds to the monitoring and improvement requirements of ISO/IEC 27001:2022 and to the improvement category of NIST CSF 2.0. H7: MOL positively affects PEF, because an assessment that is revisited as threats, systems and suppliers change is more complete and timely than one performed once.</w:t>
      </w:r>
    </w:p>
    <w:p>
      <w:pPr>
        <w:spacing w:after="140" w:line="336" w:lineRule="auto"/>
        <w:jc w:val="both"/>
      </w:pPr>
      <w:r>
        <w:rPr>
          <w:b w:val="0"/>
          <w:i w:val="0"/>
        </w:rPr>
        <w:t>Mediation (H8). If H1, H2 and H5 hold, identification and control evaluation influence effectiveness mainly through judgment: they supply inputs, and judgment turns inputs into prioritized, communicable conclusions. H8: RRJ mediates the effect of TVI (H8a) and of CCE (H8b) on PEF. Partial mediation would indicate that these activities also contribute directly, for instance through the credibility of evidence.</w:t>
      </w:r>
    </w:p>
    <w:p>
      <w:pPr>
        <w:spacing w:after="140" w:line="336" w:lineRule="auto"/>
        <w:jc w:val="both"/>
      </w:pPr>
      <w:r>
        <w:rPr>
          <w:b w:val="0"/>
          <w:i w:val="0"/>
        </w:rPr>
        <w:t>Vantage point (H10). The same chain is unlikely to operate identically for audited entities and for auditors. Under information asymmetry the entity has direct knowledge of its systems while the auditor depends on the entity and on specialists. We therefore expect interpretation to matter more for auditors: H10a, the effect of COL on RRJ is stronger in the auditor group. Because the auditor's effectiveness is defined largely by what is reported and acted upon, we expect H10b: the effect of RRJ on PEF is stronger in the auditor group. Differences in the remaining paths are examined without directional predictions (H10c). Comparison presupposes measurement invariance, which is tested before any path comparison.</w:t>
      </w:r>
    </w:p>
    <w:p>
      <w:pPr>
        <w:spacing w:after="60" w:line="264" w:lineRule="auto"/>
        <w:jc w:val="left"/>
      </w:pPr>
      <w:r>
        <w:rPr>
          <w:b/>
          <w:i w:val="0"/>
          <w:sz w:val="21"/>
        </w:rPr>
        <w:t>Table 1. Hypotheses</w:t>
      </w:r>
    </w:p>
    <w:tbl>
      <w:tblPr>
        <w:tblStyle w:val="TableGrid"/>
        <w:tblW w:type="auto" w:w="0"/>
        <w:tblLayout w:type="fixed"/>
        <w:tblLook w:firstColumn="1" w:firstRow="1" w:lastColumn="0" w:lastRow="0" w:noHBand="0" w:noVBand="1" w:val="04A0"/>
      </w:tblPr>
      <w:tblGrid>
        <w:gridCol w:w="1077"/>
        <w:gridCol w:w="3005"/>
        <w:gridCol w:w="2438"/>
        <w:gridCol w:w="2835"/>
      </w:tblGrid>
      <w:tr>
        <w:tc>
          <w:tcPr>
            <w:tcW w:type="dxa" w:w="1077"/>
            <w:shd w:val="clear" w:color="auto" w:fill="1F3864"/>
          </w:tcPr>
          <w:p>
            <w:pPr>
              <w:jc w:val="left"/>
            </w:pPr>
            <w:r/>
            <w:r>
              <w:rPr>
                <w:b/>
                <w:color w:val="FFFFFF"/>
                <w:sz w:val="17"/>
              </w:rPr>
              <w:t>Hypothesis</w:t>
            </w:r>
          </w:p>
        </w:tc>
        <w:tc>
          <w:tcPr>
            <w:tcW w:type="dxa" w:w="3005"/>
            <w:shd w:val="clear" w:color="auto" w:fill="1F3864"/>
          </w:tcPr>
          <w:p>
            <w:pPr>
              <w:jc w:val="left"/>
            </w:pPr>
            <w:r/>
            <w:r>
              <w:rPr>
                <w:b/>
                <w:color w:val="FFFFFF"/>
                <w:sz w:val="17"/>
              </w:rPr>
              <w:t>Statement</w:t>
            </w:r>
          </w:p>
        </w:tc>
        <w:tc>
          <w:tcPr>
            <w:tcW w:type="dxa" w:w="2438"/>
            <w:shd w:val="clear" w:color="auto" w:fill="1F3864"/>
          </w:tcPr>
          <w:p>
            <w:pPr>
              <w:jc w:val="left"/>
            </w:pPr>
            <w:r/>
            <w:r>
              <w:rPr>
                <w:b/>
                <w:color w:val="FFFFFF"/>
                <w:sz w:val="17"/>
              </w:rPr>
              <w:t>Mechanism</w:t>
            </w:r>
          </w:p>
        </w:tc>
        <w:tc>
          <w:tcPr>
            <w:tcW w:type="dxa" w:w="2835"/>
            <w:shd w:val="clear" w:color="auto" w:fill="1F3864"/>
          </w:tcPr>
          <w:p>
            <w:pPr>
              <w:jc w:val="left"/>
            </w:pPr>
            <w:r/>
            <w:r>
              <w:rPr>
                <w:b/>
                <w:color w:val="FFFFFF"/>
                <w:sz w:val="17"/>
              </w:rPr>
              <w:t>Anchors</w:t>
            </w:r>
          </w:p>
        </w:tc>
      </w:tr>
      <w:tr>
        <w:tc>
          <w:tcPr>
            <w:tcW w:type="dxa" w:w="1077"/>
          </w:tcPr>
          <w:p>
            <w:pPr>
              <w:jc w:val="left"/>
            </w:pPr>
            <w:r/>
            <w:r>
              <w:rPr>
                <w:b w:val="0"/>
                <w:sz w:val="17"/>
              </w:rPr>
              <w:t>H1</w:t>
            </w:r>
          </w:p>
        </w:tc>
        <w:tc>
          <w:tcPr>
            <w:tcW w:type="dxa" w:w="3005"/>
          </w:tcPr>
          <w:p>
            <w:pPr>
              <w:jc w:val="left"/>
            </w:pPr>
            <w:r/>
            <w:r>
              <w:rPr>
                <w:b w:val="0"/>
                <w:sz w:val="17"/>
              </w:rPr>
              <w:t>TVI positively affects RRJ.</w:t>
            </w:r>
          </w:p>
        </w:tc>
        <w:tc>
          <w:tcPr>
            <w:tcW w:type="dxa" w:w="2438"/>
          </w:tcPr>
          <w:p>
            <w:pPr>
              <w:jc w:val="left"/>
            </w:pPr>
            <w:r/>
            <w:r>
              <w:rPr>
                <w:b w:val="0"/>
                <w:sz w:val="17"/>
              </w:rPr>
              <w:t>Audit risk model: identification precedes assessment</w:t>
            </w:r>
          </w:p>
        </w:tc>
        <w:tc>
          <w:tcPr>
            <w:tcW w:type="dxa" w:w="2835"/>
          </w:tcPr>
          <w:p>
            <w:pPr>
              <w:jc w:val="left"/>
            </w:pPr>
            <w:r/>
            <w:r>
              <w:rPr>
                <w:b w:val="0"/>
                <w:sz w:val="17"/>
              </w:rPr>
              <w:t>ISA 315; ISO/IEC 27005:2022; Ganin et al. (2020); Wangen et al. (2018)</w:t>
            </w:r>
          </w:p>
        </w:tc>
      </w:tr>
      <w:tr>
        <w:tc>
          <w:tcPr>
            <w:tcW w:type="dxa" w:w="1077"/>
          </w:tcPr>
          <w:p>
            <w:pPr>
              <w:jc w:val="left"/>
            </w:pPr>
            <w:r/>
            <w:r>
              <w:rPr>
                <w:b w:val="0"/>
                <w:sz w:val="17"/>
              </w:rPr>
              <w:t>H2</w:t>
            </w:r>
          </w:p>
        </w:tc>
        <w:tc>
          <w:tcPr>
            <w:tcW w:type="dxa" w:w="3005"/>
          </w:tcPr>
          <w:p>
            <w:pPr>
              <w:jc w:val="left"/>
            </w:pPr>
            <w:r/>
            <w:r>
              <w:rPr>
                <w:b w:val="0"/>
                <w:sz w:val="17"/>
              </w:rPr>
              <w:t>CCE positively affects RRJ.</w:t>
            </w:r>
          </w:p>
        </w:tc>
        <w:tc>
          <w:tcPr>
            <w:tcW w:type="dxa" w:w="2438"/>
          </w:tcPr>
          <w:p>
            <w:pPr>
              <w:jc w:val="left"/>
            </w:pPr>
            <w:r/>
            <w:r>
              <w:rPr>
                <w:b w:val="0"/>
                <w:sz w:val="17"/>
              </w:rPr>
              <w:t>Residual risk presupposes control evaluation</w:t>
            </w:r>
          </w:p>
        </w:tc>
        <w:tc>
          <w:tcPr>
            <w:tcW w:type="dxa" w:w="2835"/>
          </w:tcPr>
          <w:p>
            <w:pPr>
              <w:jc w:val="left"/>
            </w:pPr>
            <w:r/>
            <w:r>
              <w:rPr>
                <w:b w:val="0"/>
                <w:sz w:val="17"/>
              </w:rPr>
              <w:t>ISA 315 (controls, GITC); Slapničar et al. (2022)</w:t>
            </w:r>
          </w:p>
        </w:tc>
      </w:tr>
      <w:tr>
        <w:tc>
          <w:tcPr>
            <w:tcW w:type="dxa" w:w="1077"/>
          </w:tcPr>
          <w:p>
            <w:pPr>
              <w:jc w:val="left"/>
            </w:pPr>
            <w:r/>
            <w:r>
              <w:rPr>
                <w:b w:val="0"/>
                <w:sz w:val="17"/>
              </w:rPr>
              <w:t>H3</w:t>
            </w:r>
          </w:p>
        </w:tc>
        <w:tc>
          <w:tcPr>
            <w:tcW w:type="dxa" w:w="3005"/>
          </w:tcPr>
          <w:p>
            <w:pPr>
              <w:jc w:val="left"/>
            </w:pPr>
            <w:r/>
            <w:r>
              <w:rPr>
                <w:b w:val="0"/>
                <w:sz w:val="17"/>
              </w:rPr>
              <w:t>COL positively affects RRJ.</w:t>
            </w:r>
          </w:p>
        </w:tc>
        <w:tc>
          <w:tcPr>
            <w:tcW w:type="dxa" w:w="2438"/>
          </w:tcPr>
          <w:p>
            <w:pPr>
              <w:jc w:val="left"/>
            </w:pPr>
            <w:r/>
            <w:r>
              <w:rPr>
                <w:b w:val="0"/>
                <w:sz w:val="17"/>
              </w:rPr>
              <w:t>Capabilities convert information into judgment</w:t>
            </w:r>
          </w:p>
        </w:tc>
        <w:tc>
          <w:tcPr>
            <w:tcW w:type="dxa" w:w="2835"/>
          </w:tcPr>
          <w:p>
            <w:pPr>
              <w:jc w:val="left"/>
            </w:pPr>
            <w:r/>
            <w:r>
              <w:rPr>
                <w:b w:val="0"/>
                <w:sz w:val="17"/>
              </w:rPr>
              <w:t>Steinbart et al. (2018); Islam et al. (2018); Hermanson et al. (2000); ISA 620</w:t>
            </w:r>
          </w:p>
        </w:tc>
      </w:tr>
      <w:tr>
        <w:tc>
          <w:tcPr>
            <w:tcW w:type="dxa" w:w="1077"/>
          </w:tcPr>
          <w:p>
            <w:pPr>
              <w:jc w:val="left"/>
            </w:pPr>
            <w:r/>
            <w:r>
              <w:rPr>
                <w:b w:val="0"/>
                <w:sz w:val="17"/>
              </w:rPr>
              <w:t>H4a/b</w:t>
            </w:r>
          </w:p>
        </w:tc>
        <w:tc>
          <w:tcPr>
            <w:tcW w:type="dxa" w:w="3005"/>
          </w:tcPr>
          <w:p>
            <w:pPr>
              <w:jc w:val="left"/>
            </w:pPr>
            <w:r/>
            <w:r>
              <w:rPr>
                <w:b w:val="0"/>
                <w:sz w:val="17"/>
              </w:rPr>
              <w:t>COL strengthens TVI→RRJ (H4a) and CCE→RRJ (H4b).</w:t>
            </w:r>
          </w:p>
        </w:tc>
        <w:tc>
          <w:tcPr>
            <w:tcW w:type="dxa" w:w="2438"/>
          </w:tcPr>
          <w:p>
            <w:pPr>
              <w:jc w:val="left"/>
            </w:pPr>
            <w:r/>
            <w:r>
              <w:rPr>
                <w:b w:val="0"/>
                <w:sz w:val="17"/>
              </w:rPr>
              <w:t>Interpretation of technical information (second translation)</w:t>
            </w:r>
          </w:p>
        </w:tc>
        <w:tc>
          <w:tcPr>
            <w:tcW w:type="dxa" w:w="2835"/>
          </w:tcPr>
          <w:p>
            <w:pPr>
              <w:jc w:val="left"/>
            </w:pPr>
            <w:r/>
            <w:r>
              <w:rPr>
                <w:b w:val="0"/>
                <w:sz w:val="17"/>
              </w:rPr>
              <w:t>Novel; limited direct evidence</w:t>
            </w:r>
          </w:p>
        </w:tc>
      </w:tr>
      <w:tr>
        <w:tc>
          <w:tcPr>
            <w:tcW w:type="dxa" w:w="1077"/>
          </w:tcPr>
          <w:p>
            <w:pPr>
              <w:jc w:val="left"/>
            </w:pPr>
            <w:r/>
            <w:r>
              <w:rPr>
                <w:b w:val="0"/>
                <w:sz w:val="17"/>
              </w:rPr>
              <w:t>H5</w:t>
            </w:r>
          </w:p>
        </w:tc>
        <w:tc>
          <w:tcPr>
            <w:tcW w:type="dxa" w:w="3005"/>
          </w:tcPr>
          <w:p>
            <w:pPr>
              <w:jc w:val="left"/>
            </w:pPr>
            <w:r/>
            <w:r>
              <w:rPr>
                <w:b w:val="0"/>
                <w:sz w:val="17"/>
              </w:rPr>
              <w:t>RRJ positively affects PEF.</w:t>
            </w:r>
          </w:p>
        </w:tc>
        <w:tc>
          <w:tcPr>
            <w:tcW w:type="dxa" w:w="2438"/>
          </w:tcPr>
          <w:p>
            <w:pPr>
              <w:jc w:val="left"/>
            </w:pPr>
            <w:r/>
            <w:r>
              <w:rPr>
                <w:b w:val="0"/>
                <w:sz w:val="17"/>
              </w:rPr>
              <w:t>Prioritization and communication are products of judgment</w:t>
            </w:r>
          </w:p>
        </w:tc>
        <w:tc>
          <w:tcPr>
            <w:tcW w:type="dxa" w:w="2835"/>
          </w:tcPr>
          <w:p>
            <w:pPr>
              <w:jc w:val="left"/>
            </w:pPr>
            <w:r/>
            <w:r>
              <w:rPr>
                <w:b w:val="0"/>
                <w:sz w:val="17"/>
              </w:rPr>
              <w:t>Slapničar et al. (2022); ISA 260, 265</w:t>
            </w:r>
          </w:p>
        </w:tc>
      </w:tr>
      <w:tr>
        <w:tc>
          <w:tcPr>
            <w:tcW w:type="dxa" w:w="1077"/>
          </w:tcPr>
          <w:p>
            <w:pPr>
              <w:jc w:val="left"/>
            </w:pPr>
            <w:r/>
            <w:r>
              <w:rPr>
                <w:b w:val="0"/>
                <w:sz w:val="17"/>
              </w:rPr>
              <w:t>H6</w:t>
            </w:r>
          </w:p>
        </w:tc>
        <w:tc>
          <w:tcPr>
            <w:tcW w:type="dxa" w:w="3005"/>
          </w:tcPr>
          <w:p>
            <w:pPr>
              <w:jc w:val="left"/>
            </w:pPr>
            <w:r/>
            <w:r>
              <w:rPr>
                <w:b w:val="0"/>
                <w:sz w:val="17"/>
              </w:rPr>
              <w:t>RRJ positively affects MOL.</w:t>
            </w:r>
          </w:p>
        </w:tc>
        <w:tc>
          <w:tcPr>
            <w:tcW w:type="dxa" w:w="2438"/>
          </w:tcPr>
          <w:p>
            <w:pPr>
              <w:jc w:val="left"/>
            </w:pPr>
            <w:r/>
            <w:r>
              <w:rPr>
                <w:b w:val="0"/>
                <w:sz w:val="17"/>
              </w:rPr>
              <w:t>Residual risk defines monitoring and reassessment</w:t>
            </w:r>
          </w:p>
        </w:tc>
        <w:tc>
          <w:tcPr>
            <w:tcW w:type="dxa" w:w="2835"/>
          </w:tcPr>
          <w:p>
            <w:pPr>
              <w:jc w:val="left"/>
            </w:pPr>
            <w:r/>
            <w:r>
              <w:rPr>
                <w:b w:val="0"/>
                <w:sz w:val="17"/>
              </w:rPr>
              <w:t>Armenia et al. (2021); ISO/IEC 27001:2022; NIST CSF 2.0</w:t>
            </w:r>
          </w:p>
        </w:tc>
      </w:tr>
      <w:tr>
        <w:tc>
          <w:tcPr>
            <w:tcW w:type="dxa" w:w="1077"/>
          </w:tcPr>
          <w:p>
            <w:pPr>
              <w:jc w:val="left"/>
            </w:pPr>
            <w:r/>
            <w:r>
              <w:rPr>
                <w:b w:val="0"/>
                <w:sz w:val="17"/>
              </w:rPr>
              <w:t>H7</w:t>
            </w:r>
          </w:p>
        </w:tc>
        <w:tc>
          <w:tcPr>
            <w:tcW w:type="dxa" w:w="3005"/>
          </w:tcPr>
          <w:p>
            <w:pPr>
              <w:jc w:val="left"/>
            </w:pPr>
            <w:r/>
            <w:r>
              <w:rPr>
                <w:b w:val="0"/>
                <w:sz w:val="17"/>
              </w:rPr>
              <w:t>MOL positively affects PEF.</w:t>
            </w:r>
          </w:p>
        </w:tc>
        <w:tc>
          <w:tcPr>
            <w:tcW w:type="dxa" w:w="2438"/>
          </w:tcPr>
          <w:p>
            <w:pPr>
              <w:jc w:val="left"/>
            </w:pPr>
            <w:r/>
            <w:r>
              <w:rPr>
                <w:b w:val="0"/>
                <w:sz w:val="17"/>
              </w:rPr>
              <w:t>Revisited assessments are more complete and timely</w:t>
            </w:r>
          </w:p>
        </w:tc>
        <w:tc>
          <w:tcPr>
            <w:tcW w:type="dxa" w:w="2835"/>
          </w:tcPr>
          <w:p>
            <w:pPr>
              <w:jc w:val="left"/>
            </w:pPr>
            <w:r/>
            <w:r>
              <w:rPr>
                <w:b w:val="0"/>
                <w:sz w:val="17"/>
              </w:rPr>
              <w:t>Armenia et al. (2021); Li et al. (2020)</w:t>
            </w:r>
          </w:p>
        </w:tc>
      </w:tr>
      <w:tr>
        <w:tc>
          <w:tcPr>
            <w:tcW w:type="dxa" w:w="1077"/>
          </w:tcPr>
          <w:p>
            <w:pPr>
              <w:jc w:val="left"/>
            </w:pPr>
            <w:r/>
            <w:r>
              <w:rPr>
                <w:b w:val="0"/>
                <w:sz w:val="17"/>
              </w:rPr>
              <w:t>H8a/b</w:t>
            </w:r>
          </w:p>
        </w:tc>
        <w:tc>
          <w:tcPr>
            <w:tcW w:type="dxa" w:w="3005"/>
          </w:tcPr>
          <w:p>
            <w:pPr>
              <w:jc w:val="left"/>
            </w:pPr>
            <w:r/>
            <w:r>
              <w:rPr>
                <w:b w:val="0"/>
                <w:sz w:val="17"/>
              </w:rPr>
              <w:t>RRJ mediates TVI→PEF (H8a) and CCE→PEF (H8b).</w:t>
            </w:r>
          </w:p>
        </w:tc>
        <w:tc>
          <w:tcPr>
            <w:tcW w:type="dxa" w:w="2438"/>
          </w:tcPr>
          <w:p>
            <w:pPr>
              <w:jc w:val="left"/>
            </w:pPr>
            <w:r/>
            <w:r>
              <w:rPr>
                <w:b w:val="0"/>
                <w:sz w:val="17"/>
              </w:rPr>
              <w:t>Inputs act through judgment</w:t>
            </w:r>
          </w:p>
        </w:tc>
        <w:tc>
          <w:tcPr>
            <w:tcW w:type="dxa" w:w="2835"/>
          </w:tcPr>
          <w:p>
            <w:pPr>
              <w:jc w:val="left"/>
            </w:pPr>
            <w:r/>
            <w:r>
              <w:rPr>
                <w:b w:val="0"/>
                <w:sz w:val="17"/>
              </w:rPr>
              <w:t>Follows H1, H2, H5</w:t>
            </w:r>
          </w:p>
        </w:tc>
      </w:tr>
      <w:tr>
        <w:tc>
          <w:tcPr>
            <w:tcW w:type="dxa" w:w="1077"/>
          </w:tcPr>
          <w:p>
            <w:pPr>
              <w:jc w:val="left"/>
            </w:pPr>
            <w:r/>
            <w:r>
              <w:rPr>
                <w:b w:val="0"/>
                <w:sz w:val="17"/>
              </w:rPr>
              <w:t>H9</w:t>
            </w:r>
          </w:p>
        </w:tc>
        <w:tc>
          <w:tcPr>
            <w:tcW w:type="dxa" w:w="3005"/>
          </w:tcPr>
          <w:p>
            <w:pPr>
              <w:jc w:val="left"/>
            </w:pPr>
            <w:r/>
            <w:r>
              <w:rPr>
                <w:b w:val="0"/>
                <w:sz w:val="17"/>
              </w:rPr>
              <w:t>COL positively affects PEF directly.</w:t>
            </w:r>
          </w:p>
        </w:tc>
        <w:tc>
          <w:tcPr>
            <w:tcW w:type="dxa" w:w="2438"/>
          </w:tcPr>
          <w:p>
            <w:pPr>
              <w:jc w:val="left"/>
            </w:pPr>
            <w:r/>
            <w:r>
              <w:rPr>
                <w:b w:val="0"/>
                <w:sz w:val="17"/>
              </w:rPr>
              <w:t>Coordination aids communication and follow-up</w:t>
            </w:r>
          </w:p>
        </w:tc>
        <w:tc>
          <w:tcPr>
            <w:tcW w:type="dxa" w:w="2835"/>
          </w:tcPr>
          <w:p>
            <w:pPr>
              <w:jc w:val="left"/>
            </w:pPr>
            <w:r/>
            <w:r>
              <w:rPr>
                <w:b w:val="0"/>
                <w:sz w:val="17"/>
              </w:rPr>
              <w:t>Slapničar et al. (2022); Islam et al. (2018)</w:t>
            </w:r>
          </w:p>
        </w:tc>
      </w:tr>
      <w:tr>
        <w:tc>
          <w:tcPr>
            <w:tcW w:type="dxa" w:w="1077"/>
          </w:tcPr>
          <w:p>
            <w:pPr>
              <w:jc w:val="left"/>
            </w:pPr>
            <w:r/>
            <w:r>
              <w:rPr>
                <w:b w:val="0"/>
                <w:sz w:val="17"/>
              </w:rPr>
              <w:t>H10a–c</w:t>
            </w:r>
          </w:p>
        </w:tc>
        <w:tc>
          <w:tcPr>
            <w:tcW w:type="dxa" w:w="3005"/>
          </w:tcPr>
          <w:p>
            <w:pPr>
              <w:jc w:val="left"/>
            </w:pPr>
            <w:r/>
            <w:r>
              <w:rPr>
                <w:b w:val="0"/>
                <w:sz w:val="17"/>
              </w:rPr>
              <w:t>Paths differ between entity and auditor groups: COL→RRJ stronger for auditors (a), RRJ→PEF stronger for auditors (b), other paths exploratory (c).</w:t>
            </w:r>
          </w:p>
        </w:tc>
        <w:tc>
          <w:tcPr>
            <w:tcW w:type="dxa" w:w="2438"/>
          </w:tcPr>
          <w:p>
            <w:pPr>
              <w:jc w:val="left"/>
            </w:pPr>
            <w:r/>
            <w:r>
              <w:rPr>
                <w:b w:val="0"/>
                <w:sz w:val="17"/>
              </w:rPr>
              <w:t>Information asymmetry; role salience</w:t>
            </w:r>
          </w:p>
        </w:tc>
        <w:tc>
          <w:tcPr>
            <w:tcW w:type="dxa" w:w="2835"/>
          </w:tcPr>
          <w:p>
            <w:pPr>
              <w:jc w:val="left"/>
            </w:pPr>
            <w:r/>
            <w:r>
              <w:rPr>
                <w:b w:val="0"/>
                <w:sz w:val="17"/>
              </w:rPr>
              <w:t>Jensen &amp; Meckling (1976); multi-group analysis with MICOM</w:t>
            </w:r>
          </w:p>
        </w:tc>
      </w:tr>
    </w:tbl>
    <w:p/>
    <w:p>
      <w:pPr>
        <w:spacing w:after="140" w:line="336" w:lineRule="auto"/>
        <w:jc w:val="both"/>
      </w:pPr>
      <w:r>
        <w:rPr>
          <w:b w:val="0"/>
          <w:i w:val="0"/>
        </w:rPr>
        <w:t>The theory thus does what it set out to do. It defines the object so that it can be decomposed; it explains why the components should form a chain from identification and evaluation, through judgment, to learning and effectiveness; and it says where vantage point and context should bend that chain. If the chain holds, the components are a structure rather than a checklist; if it bends where theory says it should, the bends are the profession's disagreements, now located and measured.</w:t>
      </w:r>
    </w:p>
    <w:p>
      <w:pPr>
        <w:sectPr>
          <w:pgSz w:w="12240" w:h="15840"/>
          <w:pgMar w:top="1304" w:right="1304" w:bottom="1304" w:left="1304" w:header="720" w:footer="720" w:gutter="0"/>
          <w:cols w:space="720"/>
          <w:docGrid w:linePitch="360"/>
        </w:sectPr>
      </w:pPr>
    </w:p>
    <w:p>
      <w:pPr>
        <w:spacing w:after="60" w:line="288" w:lineRule="auto"/>
        <w:jc w:val="left"/>
      </w:pPr>
      <w:r>
        <w:rPr>
          <w:b/>
          <w:i w:val="0"/>
          <w:color w:val="1F3864"/>
          <w:sz w:val="24"/>
        </w:rPr>
        <w:t>Table A1. Identified components of cyber risk assessment in auditing</w:t>
      </w:r>
    </w:p>
    <w:p>
      <w:pPr>
        <w:spacing w:after="80" w:line="264" w:lineRule="auto"/>
        <w:jc w:val="left"/>
      </w:pPr>
      <w:r>
        <w:rPr>
          <w:b w:val="0"/>
          <w:i w:val="0"/>
          <w:color w:val="5A5A5A"/>
          <w:sz w:val="17"/>
        </w:rPr>
        <w:t>Perspective: Organization = audited entity; Auditor = auditor; Shared = both. Evidence: S+R = standards and at least one verified study; S = standards and guidance only. Research column lists only studies whose bibliographic details were confirmed. TSC = AICPA Trust Services Criteria; GITC = general IT controls; GIAS = Global Internal Audit Standards.</w:t>
      </w:r>
    </w:p>
    <w:tbl>
      <w:tblPr>
        <w:tblStyle w:val="TableGrid"/>
        <w:tblW w:type="auto" w:w="0"/>
        <w:tblLayout w:type="fixed"/>
        <w:tblLook w:firstColumn="1" w:firstRow="1" w:lastColumn="0" w:lastRow="0" w:noHBand="0" w:noVBand="1" w:val="04A0"/>
      </w:tblPr>
      <w:tblGrid>
        <w:gridCol w:w="680"/>
        <w:gridCol w:w="2211"/>
        <w:gridCol w:w="1361"/>
        <w:gridCol w:w="964"/>
        <w:gridCol w:w="4309"/>
        <w:gridCol w:w="3969"/>
        <w:gridCol w:w="907"/>
      </w:tblGrid>
      <w:tr>
        <w:tc>
          <w:tcPr>
            <w:tcW w:type="dxa" w:w="680"/>
            <w:shd w:val="clear" w:color="auto" w:fill="1F3864"/>
          </w:tcPr>
          <w:p>
            <w:pPr>
              <w:jc w:val="left"/>
            </w:pPr>
            <w:r/>
            <w:r>
              <w:rPr>
                <w:b/>
                <w:color w:val="FFFFFF"/>
                <w:sz w:val="17"/>
              </w:rPr>
              <w:t>Code</w:t>
            </w:r>
          </w:p>
        </w:tc>
        <w:tc>
          <w:tcPr>
            <w:tcW w:type="dxa" w:w="2211"/>
            <w:shd w:val="clear" w:color="auto" w:fill="1F3864"/>
          </w:tcPr>
          <w:p>
            <w:pPr>
              <w:jc w:val="left"/>
            </w:pPr>
            <w:r/>
            <w:r>
              <w:rPr>
                <w:b/>
                <w:color w:val="FFFFFF"/>
                <w:sz w:val="17"/>
              </w:rPr>
              <w:t>Component</w:t>
            </w:r>
          </w:p>
        </w:tc>
        <w:tc>
          <w:tcPr>
            <w:tcW w:type="dxa" w:w="1361"/>
            <w:shd w:val="clear" w:color="auto" w:fill="1F3864"/>
          </w:tcPr>
          <w:p>
            <w:pPr>
              <w:jc w:val="left"/>
            </w:pPr>
            <w:r/>
            <w:r>
              <w:rPr>
                <w:b/>
                <w:color w:val="FFFFFF"/>
                <w:sz w:val="17"/>
              </w:rPr>
              <w:t>Perspective</w:t>
            </w:r>
          </w:p>
        </w:tc>
        <w:tc>
          <w:tcPr>
            <w:tcW w:type="dxa" w:w="964"/>
            <w:shd w:val="clear" w:color="auto" w:fill="1F3864"/>
          </w:tcPr>
          <w:p>
            <w:pPr>
              <w:jc w:val="left"/>
            </w:pPr>
            <w:r/>
            <w:r>
              <w:rPr>
                <w:b/>
                <w:color w:val="FFFFFF"/>
                <w:sz w:val="17"/>
              </w:rPr>
              <w:t>Construct</w:t>
            </w:r>
          </w:p>
        </w:tc>
        <w:tc>
          <w:tcPr>
            <w:tcW w:type="dxa" w:w="4309"/>
            <w:shd w:val="clear" w:color="auto" w:fill="1F3864"/>
          </w:tcPr>
          <w:p>
            <w:pPr>
              <w:jc w:val="left"/>
            </w:pPr>
            <w:r/>
            <w:r>
              <w:rPr>
                <w:b/>
                <w:color w:val="FFFFFF"/>
                <w:sz w:val="17"/>
              </w:rPr>
              <w:t>Standards and guidelines</w:t>
            </w:r>
          </w:p>
        </w:tc>
        <w:tc>
          <w:tcPr>
            <w:tcW w:type="dxa" w:w="3969"/>
            <w:shd w:val="clear" w:color="auto" w:fill="1F3864"/>
          </w:tcPr>
          <w:p>
            <w:pPr>
              <w:jc w:val="left"/>
            </w:pPr>
            <w:r/>
            <w:r>
              <w:rPr>
                <w:b/>
                <w:color w:val="FFFFFF"/>
                <w:sz w:val="17"/>
              </w:rPr>
              <w:t>Related research</w:t>
            </w:r>
          </w:p>
        </w:tc>
        <w:tc>
          <w:tcPr>
            <w:tcW w:type="dxa" w:w="907"/>
            <w:shd w:val="clear" w:color="auto" w:fill="1F3864"/>
          </w:tcPr>
          <w:p>
            <w:pPr>
              <w:jc w:val="left"/>
            </w:pPr>
            <w:r/>
            <w:r>
              <w:rPr>
                <w:b/>
                <w:color w:val="FFFFFF"/>
                <w:sz w:val="17"/>
              </w:rPr>
              <w:t>Evidence</w:t>
            </w:r>
          </w:p>
        </w:tc>
      </w:tr>
      <w:tr>
        <w:tc>
          <w:tcPr>
            <w:tcW w:type="dxa" w:w="680"/>
          </w:tcPr>
          <w:p>
            <w:pPr>
              <w:jc w:val="left"/>
            </w:pPr>
            <w:r/>
            <w:r>
              <w:rPr>
                <w:b w:val="0"/>
                <w:sz w:val="17"/>
              </w:rPr>
              <w:t>C01</w:t>
            </w:r>
          </w:p>
        </w:tc>
        <w:tc>
          <w:tcPr>
            <w:tcW w:type="dxa" w:w="2211"/>
          </w:tcPr>
          <w:p>
            <w:pPr>
              <w:jc w:val="left"/>
            </w:pPr>
            <w:r/>
            <w:r>
              <w:rPr>
                <w:b w:val="0"/>
                <w:sz w:val="17"/>
              </w:rPr>
              <w:t>Governance and oversight of cyber risk by senior management</w:t>
            </w:r>
          </w:p>
        </w:tc>
        <w:tc>
          <w:tcPr>
            <w:tcW w:type="dxa" w:w="1361"/>
          </w:tcPr>
          <w:p>
            <w:pPr>
              <w:jc w:val="left"/>
            </w:pPr>
            <w:r/>
            <w:r>
              <w:rPr>
                <w:b w:val="0"/>
                <w:sz w:val="17"/>
              </w:rPr>
              <w:t>Organization</w:t>
            </w:r>
          </w:p>
        </w:tc>
        <w:tc>
          <w:tcPr>
            <w:tcW w:type="dxa" w:w="964"/>
          </w:tcPr>
          <w:p>
            <w:pPr>
              <w:jc w:val="left"/>
            </w:pPr>
            <w:r/>
            <w:r>
              <w:rPr>
                <w:b w:val="0"/>
                <w:sz w:val="17"/>
              </w:rPr>
              <w:t>COL</w:t>
            </w:r>
          </w:p>
        </w:tc>
        <w:tc>
          <w:tcPr>
            <w:tcW w:type="dxa" w:w="4309"/>
          </w:tcPr>
          <w:p>
            <w:pPr>
              <w:jc w:val="left"/>
            </w:pPr>
            <w:r/>
            <w:r>
              <w:rPr>
                <w:b w:val="0"/>
                <w:sz w:val="17"/>
              </w:rPr>
              <w:t>NIST CSF 2.0: GV.OV, GV.RR | ISO/IEC 27001:2022: cl. 5, 9.3 | AICPA TSC: CC1 | ISA 260; IIA GIAS 2024</w:t>
            </w:r>
          </w:p>
        </w:tc>
        <w:tc>
          <w:tcPr>
            <w:tcW w:type="dxa" w:w="3969"/>
          </w:tcPr>
          <w:p>
            <w:pPr>
              <w:jc w:val="left"/>
            </w:pPr>
            <w:r/>
            <w:r>
              <w:rPr>
                <w:b w:val="0"/>
                <w:sz w:val="17"/>
              </w:rPr>
              <w:t>Islam et al. (2018) [board governance, audit committee, risk function and extent of cybersecurity audit]; Higgs et al. (2016) [board-level technology committees and reported breaches]</w:t>
            </w:r>
          </w:p>
        </w:tc>
        <w:tc>
          <w:tcPr>
            <w:tcW w:type="dxa" w:w="907"/>
          </w:tcPr>
          <w:p>
            <w:pPr>
              <w:jc w:val="left"/>
            </w:pPr>
            <w:r/>
            <w:r>
              <w:rPr>
                <w:b w:val="0"/>
                <w:sz w:val="17"/>
              </w:rPr>
              <w:t>S+R</w:t>
            </w:r>
          </w:p>
        </w:tc>
      </w:tr>
      <w:tr>
        <w:tc>
          <w:tcPr>
            <w:tcW w:type="dxa" w:w="680"/>
          </w:tcPr>
          <w:p>
            <w:pPr>
              <w:jc w:val="left"/>
            </w:pPr>
            <w:r/>
            <w:r>
              <w:rPr>
                <w:b w:val="0"/>
                <w:sz w:val="17"/>
              </w:rPr>
              <w:t>C02</w:t>
            </w:r>
          </w:p>
        </w:tc>
        <w:tc>
          <w:tcPr>
            <w:tcW w:type="dxa" w:w="2211"/>
          </w:tcPr>
          <w:p>
            <w:pPr>
              <w:jc w:val="left"/>
            </w:pPr>
            <w:r/>
            <w:r>
              <w:rPr>
                <w:b w:val="0"/>
                <w:sz w:val="17"/>
              </w:rPr>
              <w:t>Cybersecurity policies and strategy</w:t>
            </w:r>
          </w:p>
        </w:tc>
        <w:tc>
          <w:tcPr>
            <w:tcW w:type="dxa" w:w="1361"/>
          </w:tcPr>
          <w:p>
            <w:pPr>
              <w:jc w:val="left"/>
            </w:pPr>
            <w:r/>
            <w:r>
              <w:rPr>
                <w:b w:val="0"/>
                <w:sz w:val="17"/>
              </w:rPr>
              <w:t>Organization</w:t>
            </w:r>
          </w:p>
        </w:tc>
        <w:tc>
          <w:tcPr>
            <w:tcW w:type="dxa" w:w="964"/>
          </w:tcPr>
          <w:p>
            <w:pPr>
              <w:jc w:val="left"/>
            </w:pPr>
            <w:r/>
            <w:r>
              <w:rPr>
                <w:b w:val="0"/>
                <w:sz w:val="17"/>
              </w:rPr>
              <w:t>Context</w:t>
            </w:r>
          </w:p>
        </w:tc>
        <w:tc>
          <w:tcPr>
            <w:tcW w:type="dxa" w:w="4309"/>
          </w:tcPr>
          <w:p>
            <w:pPr>
              <w:jc w:val="left"/>
            </w:pPr>
            <w:r/>
            <w:r>
              <w:rPr>
                <w:b w:val="0"/>
                <w:sz w:val="17"/>
              </w:rPr>
              <w:t>NIST CSF 2.0: GV.PO, GV.OC | ISO/IEC 27001:2022: cl. 5.2 | AICPA TSC: CC1, CC5 | ISA 315 (control environment)</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C03</w:t>
            </w:r>
          </w:p>
        </w:tc>
        <w:tc>
          <w:tcPr>
            <w:tcW w:type="dxa" w:w="2211"/>
          </w:tcPr>
          <w:p>
            <w:pPr>
              <w:jc w:val="left"/>
            </w:pPr>
            <w:r/>
            <w:r>
              <w:rPr>
                <w:b w:val="0"/>
                <w:sz w:val="17"/>
              </w:rPr>
              <w:t>Context, scope and objectives of the assessment</w:t>
            </w:r>
          </w:p>
        </w:tc>
        <w:tc>
          <w:tcPr>
            <w:tcW w:type="dxa" w:w="1361"/>
          </w:tcPr>
          <w:p>
            <w:pPr>
              <w:jc w:val="left"/>
            </w:pPr>
            <w:r/>
            <w:r>
              <w:rPr>
                <w:b w:val="0"/>
                <w:sz w:val="17"/>
              </w:rPr>
              <w:t>Shared</w:t>
            </w:r>
          </w:p>
        </w:tc>
        <w:tc>
          <w:tcPr>
            <w:tcW w:type="dxa" w:w="964"/>
          </w:tcPr>
          <w:p>
            <w:pPr>
              <w:jc w:val="left"/>
            </w:pPr>
            <w:r/>
            <w:r>
              <w:rPr>
                <w:b w:val="0"/>
                <w:sz w:val="17"/>
              </w:rPr>
              <w:t>Context</w:t>
            </w:r>
          </w:p>
        </w:tc>
        <w:tc>
          <w:tcPr>
            <w:tcW w:type="dxa" w:w="4309"/>
          </w:tcPr>
          <w:p>
            <w:pPr>
              <w:jc w:val="left"/>
            </w:pPr>
            <w:r/>
            <w:r>
              <w:rPr>
                <w:b w:val="0"/>
                <w:sz w:val="17"/>
              </w:rPr>
              <w:t>NIST CSF 2.0: GV.OC | ISO/IEC 27001:2022: cl. 4 | ISO/IEC 27005:2022 (context) | AICPA DC section 100 | ISA 315</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C04</w:t>
            </w:r>
          </w:p>
        </w:tc>
        <w:tc>
          <w:tcPr>
            <w:tcW w:type="dxa" w:w="2211"/>
          </w:tcPr>
          <w:p>
            <w:pPr>
              <w:jc w:val="left"/>
            </w:pPr>
            <w:r/>
            <w:r>
              <w:rPr>
                <w:b w:val="0"/>
                <w:sz w:val="17"/>
              </w:rPr>
              <w:t>Asset identification and classification</w:t>
            </w:r>
          </w:p>
        </w:tc>
        <w:tc>
          <w:tcPr>
            <w:tcW w:type="dxa" w:w="1361"/>
          </w:tcPr>
          <w:p>
            <w:pPr>
              <w:jc w:val="left"/>
            </w:pPr>
            <w:r/>
            <w:r>
              <w:rPr>
                <w:b w:val="0"/>
                <w:sz w:val="17"/>
              </w:rPr>
              <w:t>Shared</w:t>
            </w:r>
          </w:p>
        </w:tc>
        <w:tc>
          <w:tcPr>
            <w:tcW w:type="dxa" w:w="964"/>
          </w:tcPr>
          <w:p>
            <w:pPr>
              <w:jc w:val="left"/>
            </w:pPr>
            <w:r/>
            <w:r>
              <w:rPr>
                <w:b w:val="0"/>
                <w:sz w:val="17"/>
              </w:rPr>
              <w:t>TVI</w:t>
            </w:r>
          </w:p>
        </w:tc>
        <w:tc>
          <w:tcPr>
            <w:tcW w:type="dxa" w:w="4309"/>
          </w:tcPr>
          <w:p>
            <w:pPr>
              <w:jc w:val="left"/>
            </w:pPr>
            <w:r/>
            <w:r>
              <w:rPr>
                <w:b w:val="0"/>
                <w:sz w:val="17"/>
              </w:rPr>
              <w:t>NIST CSF 2.0: ID.AM | ISO/IEC 27001:2022: Annex A 5.9 | AICPA TSC: CC3, CC6 | ISA 315 (IT environment)</w:t>
            </w:r>
          </w:p>
        </w:tc>
        <w:tc>
          <w:tcPr>
            <w:tcW w:type="dxa" w:w="3969"/>
          </w:tcPr>
          <w:p>
            <w:pPr>
              <w:jc w:val="left"/>
            </w:pPr>
            <w:r/>
            <w:r>
              <w:rPr>
                <w:b w:val="0"/>
                <w:sz w:val="17"/>
              </w:rPr>
              <w:t>Hermanson et al. (2000) [safeguarding of assets as a traditional IT risk]; Wangen et al. (2018) [completeness of risk identification]</w:t>
            </w:r>
          </w:p>
        </w:tc>
        <w:tc>
          <w:tcPr>
            <w:tcW w:type="dxa" w:w="907"/>
          </w:tcPr>
          <w:p>
            <w:pPr>
              <w:jc w:val="left"/>
            </w:pPr>
            <w:r/>
            <w:r>
              <w:rPr>
                <w:b w:val="0"/>
                <w:sz w:val="17"/>
              </w:rPr>
              <w:t>S+R</w:t>
            </w:r>
          </w:p>
        </w:tc>
      </w:tr>
      <w:tr>
        <w:tc>
          <w:tcPr>
            <w:tcW w:type="dxa" w:w="680"/>
          </w:tcPr>
          <w:p>
            <w:pPr>
              <w:jc w:val="left"/>
            </w:pPr>
            <w:r/>
            <w:r>
              <w:rPr>
                <w:b w:val="0"/>
                <w:sz w:val="17"/>
              </w:rPr>
              <w:t>C05</w:t>
            </w:r>
          </w:p>
        </w:tc>
        <w:tc>
          <w:tcPr>
            <w:tcW w:type="dxa" w:w="2211"/>
          </w:tcPr>
          <w:p>
            <w:pPr>
              <w:jc w:val="left"/>
            </w:pPr>
            <w:r/>
            <w:r>
              <w:rPr>
                <w:b w:val="0"/>
                <w:sz w:val="17"/>
              </w:rPr>
              <w:t>Threat identification and threat intelligence</w:t>
            </w:r>
          </w:p>
        </w:tc>
        <w:tc>
          <w:tcPr>
            <w:tcW w:type="dxa" w:w="1361"/>
          </w:tcPr>
          <w:p>
            <w:pPr>
              <w:jc w:val="left"/>
            </w:pPr>
            <w:r/>
            <w:r>
              <w:rPr>
                <w:b w:val="0"/>
                <w:sz w:val="17"/>
              </w:rPr>
              <w:t>Organization</w:t>
            </w:r>
          </w:p>
        </w:tc>
        <w:tc>
          <w:tcPr>
            <w:tcW w:type="dxa" w:w="964"/>
          </w:tcPr>
          <w:p>
            <w:pPr>
              <w:jc w:val="left"/>
            </w:pPr>
            <w:r/>
            <w:r>
              <w:rPr>
                <w:b w:val="0"/>
                <w:sz w:val="17"/>
              </w:rPr>
              <w:t>TVI</w:t>
            </w:r>
          </w:p>
        </w:tc>
        <w:tc>
          <w:tcPr>
            <w:tcW w:type="dxa" w:w="4309"/>
          </w:tcPr>
          <w:p>
            <w:pPr>
              <w:jc w:val="left"/>
            </w:pPr>
            <w:r/>
            <w:r>
              <w:rPr>
                <w:b w:val="0"/>
                <w:sz w:val="17"/>
              </w:rPr>
              <w:t>NIST CSF 2.0: ID.RA, DE.AE | ISO/IEC 27001:2022: Annex A 5.7 | ISO/IEC 27005:2022 (risk scenarios) | AICPA TSC: CC3, CC7</w:t>
            </w:r>
          </w:p>
        </w:tc>
        <w:tc>
          <w:tcPr>
            <w:tcW w:type="dxa" w:w="3969"/>
          </w:tcPr>
          <w:p>
            <w:pPr>
              <w:jc w:val="left"/>
            </w:pPr>
            <w:r/>
            <w:r>
              <w:rPr>
                <w:b w:val="0"/>
                <w:sz w:val="17"/>
              </w:rPr>
              <w:t>Ganin et al. (2020) [threat in the assessment triplet]; Wang et al. (2020) [threat events in FAIR-based model]</w:t>
            </w:r>
          </w:p>
        </w:tc>
        <w:tc>
          <w:tcPr>
            <w:tcW w:type="dxa" w:w="907"/>
          </w:tcPr>
          <w:p>
            <w:pPr>
              <w:jc w:val="left"/>
            </w:pPr>
            <w:r/>
            <w:r>
              <w:rPr>
                <w:b w:val="0"/>
                <w:sz w:val="17"/>
              </w:rPr>
              <w:t>S+R</w:t>
            </w:r>
          </w:p>
        </w:tc>
      </w:tr>
      <w:tr>
        <w:tc>
          <w:tcPr>
            <w:tcW w:type="dxa" w:w="680"/>
          </w:tcPr>
          <w:p>
            <w:pPr>
              <w:jc w:val="left"/>
            </w:pPr>
            <w:r/>
            <w:r>
              <w:rPr>
                <w:b w:val="0"/>
                <w:sz w:val="17"/>
              </w:rPr>
              <w:t>C06</w:t>
            </w:r>
          </w:p>
        </w:tc>
        <w:tc>
          <w:tcPr>
            <w:tcW w:type="dxa" w:w="2211"/>
          </w:tcPr>
          <w:p>
            <w:pPr>
              <w:jc w:val="left"/>
            </w:pPr>
            <w:r/>
            <w:r>
              <w:rPr>
                <w:b w:val="0"/>
                <w:sz w:val="17"/>
              </w:rPr>
              <w:t>Vulnerability management and penetration testing</w:t>
            </w:r>
          </w:p>
        </w:tc>
        <w:tc>
          <w:tcPr>
            <w:tcW w:type="dxa" w:w="1361"/>
          </w:tcPr>
          <w:p>
            <w:pPr>
              <w:jc w:val="left"/>
            </w:pPr>
            <w:r/>
            <w:r>
              <w:rPr>
                <w:b w:val="0"/>
                <w:sz w:val="17"/>
              </w:rPr>
              <w:t>Organization</w:t>
            </w:r>
          </w:p>
        </w:tc>
        <w:tc>
          <w:tcPr>
            <w:tcW w:type="dxa" w:w="964"/>
          </w:tcPr>
          <w:p>
            <w:pPr>
              <w:jc w:val="left"/>
            </w:pPr>
            <w:r/>
            <w:r>
              <w:rPr>
                <w:b w:val="0"/>
                <w:sz w:val="17"/>
              </w:rPr>
              <w:t>TVI</w:t>
            </w:r>
          </w:p>
        </w:tc>
        <w:tc>
          <w:tcPr>
            <w:tcW w:type="dxa" w:w="4309"/>
          </w:tcPr>
          <w:p>
            <w:pPr>
              <w:jc w:val="left"/>
            </w:pPr>
            <w:r/>
            <w:r>
              <w:rPr>
                <w:b w:val="0"/>
                <w:sz w:val="17"/>
              </w:rPr>
              <w:t>NIST CSF 2.0: ID.RA, PR.PS | ISO/IEC 27001:2022: Annex A technological controls | AICPA TSC: CC7 | ISA 330</w:t>
            </w:r>
          </w:p>
        </w:tc>
        <w:tc>
          <w:tcPr>
            <w:tcW w:type="dxa" w:w="3969"/>
          </w:tcPr>
          <w:p>
            <w:pPr>
              <w:jc w:val="left"/>
            </w:pPr>
            <w:r/>
            <w:r>
              <w:rPr>
                <w:b w:val="0"/>
                <w:sz w:val="17"/>
              </w:rPr>
              <w:t>Ganin et al. (2020) [vulnerability in the assessment triplet]; Wang et al. (2020) [vulnerability in FAIR-based model]</w:t>
            </w:r>
          </w:p>
        </w:tc>
        <w:tc>
          <w:tcPr>
            <w:tcW w:type="dxa" w:w="907"/>
          </w:tcPr>
          <w:p>
            <w:pPr>
              <w:jc w:val="left"/>
            </w:pPr>
            <w:r/>
            <w:r>
              <w:rPr>
                <w:b w:val="0"/>
                <w:sz w:val="17"/>
              </w:rPr>
              <w:t>S+R</w:t>
            </w:r>
          </w:p>
        </w:tc>
      </w:tr>
      <w:tr>
        <w:tc>
          <w:tcPr>
            <w:tcW w:type="dxa" w:w="680"/>
          </w:tcPr>
          <w:p>
            <w:pPr>
              <w:jc w:val="left"/>
            </w:pPr>
            <w:r/>
            <w:r>
              <w:rPr>
                <w:b w:val="0"/>
                <w:sz w:val="17"/>
              </w:rPr>
              <w:t>C07</w:t>
            </w:r>
          </w:p>
        </w:tc>
        <w:tc>
          <w:tcPr>
            <w:tcW w:type="dxa" w:w="2211"/>
          </w:tcPr>
          <w:p>
            <w:pPr>
              <w:jc w:val="left"/>
            </w:pPr>
            <w:r/>
            <w:r>
              <w:rPr>
                <w:b w:val="0"/>
                <w:sz w:val="17"/>
              </w:rPr>
              <w:t>Risk analysis and evaluation (likelihood, impact, ranking)</w:t>
            </w:r>
          </w:p>
        </w:tc>
        <w:tc>
          <w:tcPr>
            <w:tcW w:type="dxa" w:w="1361"/>
          </w:tcPr>
          <w:p>
            <w:pPr>
              <w:jc w:val="left"/>
            </w:pPr>
            <w:r/>
            <w:r>
              <w:rPr>
                <w:b w:val="0"/>
                <w:sz w:val="17"/>
              </w:rPr>
              <w:t>Shared</w:t>
            </w:r>
          </w:p>
        </w:tc>
        <w:tc>
          <w:tcPr>
            <w:tcW w:type="dxa" w:w="964"/>
          </w:tcPr>
          <w:p>
            <w:pPr>
              <w:jc w:val="left"/>
            </w:pPr>
            <w:r/>
            <w:r>
              <w:rPr>
                <w:b w:val="0"/>
                <w:sz w:val="17"/>
              </w:rPr>
              <w:t>RRJ</w:t>
            </w:r>
          </w:p>
        </w:tc>
        <w:tc>
          <w:tcPr>
            <w:tcW w:type="dxa" w:w="4309"/>
          </w:tcPr>
          <w:p>
            <w:pPr>
              <w:jc w:val="left"/>
            </w:pPr>
            <w:r/>
            <w:r>
              <w:rPr>
                <w:b w:val="0"/>
                <w:sz w:val="17"/>
              </w:rPr>
              <w:t>NIST CSF 2.0: GV.RM, ID.RA; SP 800-30 Rev. 1 | ISO/IEC 27001:2022: cl. 6.1.2, 8.2 | ISO/IEC 27005:2022; IEC/ISO 31010 | AICPA TSC: CC3 | ISA 315</w:t>
            </w:r>
          </w:p>
        </w:tc>
        <w:tc>
          <w:tcPr>
            <w:tcW w:type="dxa" w:w="3969"/>
          </w:tcPr>
          <w:p>
            <w:pPr>
              <w:jc w:val="left"/>
            </w:pPr>
            <w:r/>
            <w:r>
              <w:rPr>
                <w:b w:val="0"/>
                <w:sz w:val="17"/>
              </w:rPr>
              <w:t>Wangen et al. (2018) [estimation and evaluation coverage]; Ganin et al. (2020) [decision-analytic evaluation]; Wang et al. (2020) [probabilistic estimation]; Gordon &amp; Loeb (2002) [prioritization by expected loss]</w:t>
            </w:r>
          </w:p>
        </w:tc>
        <w:tc>
          <w:tcPr>
            <w:tcW w:type="dxa" w:w="907"/>
          </w:tcPr>
          <w:p>
            <w:pPr>
              <w:jc w:val="left"/>
            </w:pPr>
            <w:r/>
            <w:r>
              <w:rPr>
                <w:b w:val="0"/>
                <w:sz w:val="17"/>
              </w:rPr>
              <w:t>S+R</w:t>
            </w:r>
          </w:p>
        </w:tc>
      </w:tr>
      <w:tr>
        <w:tc>
          <w:tcPr>
            <w:tcW w:type="dxa" w:w="680"/>
          </w:tcPr>
          <w:p>
            <w:pPr>
              <w:jc w:val="left"/>
            </w:pPr>
            <w:r/>
            <w:r>
              <w:rPr>
                <w:b w:val="0"/>
                <w:sz w:val="17"/>
              </w:rPr>
              <w:t>C08</w:t>
            </w:r>
          </w:p>
        </w:tc>
        <w:tc>
          <w:tcPr>
            <w:tcW w:type="dxa" w:w="2211"/>
          </w:tcPr>
          <w:p>
            <w:pPr>
              <w:jc w:val="left"/>
            </w:pPr>
            <w:r/>
            <w:r>
              <w:rPr>
                <w:b w:val="0"/>
                <w:sz w:val="17"/>
              </w:rPr>
              <w:t>Cyber fraud risk and environmental change</w:t>
            </w:r>
          </w:p>
        </w:tc>
        <w:tc>
          <w:tcPr>
            <w:tcW w:type="dxa" w:w="1361"/>
          </w:tcPr>
          <w:p>
            <w:pPr>
              <w:jc w:val="left"/>
            </w:pPr>
            <w:r/>
            <w:r>
              <w:rPr>
                <w:b w:val="0"/>
                <w:sz w:val="17"/>
              </w:rPr>
              <w:t>Shared</w:t>
            </w:r>
          </w:p>
        </w:tc>
        <w:tc>
          <w:tcPr>
            <w:tcW w:type="dxa" w:w="964"/>
          </w:tcPr>
          <w:p>
            <w:pPr>
              <w:jc w:val="left"/>
            </w:pPr>
            <w:r/>
            <w:r>
              <w:rPr>
                <w:b w:val="0"/>
                <w:sz w:val="17"/>
              </w:rPr>
              <w:t>RRJ</w:t>
            </w:r>
          </w:p>
        </w:tc>
        <w:tc>
          <w:tcPr>
            <w:tcW w:type="dxa" w:w="4309"/>
          </w:tcPr>
          <w:p>
            <w:pPr>
              <w:jc w:val="left"/>
            </w:pPr>
            <w:r/>
            <w:r>
              <w:rPr>
                <w:b w:val="0"/>
                <w:sz w:val="17"/>
              </w:rPr>
              <w:t>NIST CSF 2.0: ID.IM, GV.RM | ISO 31000:2018 | AICPA TSC: CC3 (fraud risk, changes) | ISA 240</w:t>
            </w:r>
          </w:p>
        </w:tc>
        <w:tc>
          <w:tcPr>
            <w:tcW w:type="dxa" w:w="3969"/>
          </w:tcPr>
          <w:p>
            <w:pPr>
              <w:jc w:val="left"/>
            </w:pPr>
            <w:r/>
            <w:r>
              <w:rPr>
                <w:b w:val="0"/>
                <w:sz w:val="17"/>
              </w:rPr>
              <w:t>Armenia et al. (2021) [organizational change and dynamics]</w:t>
            </w:r>
          </w:p>
        </w:tc>
        <w:tc>
          <w:tcPr>
            <w:tcW w:type="dxa" w:w="907"/>
          </w:tcPr>
          <w:p>
            <w:pPr>
              <w:jc w:val="left"/>
            </w:pPr>
            <w:r/>
            <w:r>
              <w:rPr>
                <w:b w:val="0"/>
                <w:sz w:val="17"/>
              </w:rPr>
              <w:t>S+R</w:t>
            </w:r>
          </w:p>
        </w:tc>
      </w:tr>
      <w:tr>
        <w:tc>
          <w:tcPr>
            <w:tcW w:type="dxa" w:w="680"/>
          </w:tcPr>
          <w:p>
            <w:pPr>
              <w:jc w:val="left"/>
            </w:pPr>
            <w:r/>
            <w:r>
              <w:rPr>
                <w:b w:val="0"/>
                <w:sz w:val="17"/>
              </w:rPr>
              <w:t>C09</w:t>
            </w:r>
          </w:p>
        </w:tc>
        <w:tc>
          <w:tcPr>
            <w:tcW w:type="dxa" w:w="2211"/>
          </w:tcPr>
          <w:p>
            <w:pPr>
              <w:jc w:val="left"/>
            </w:pPr>
            <w:r/>
            <w:r>
              <w:rPr>
                <w:b w:val="0"/>
                <w:sz w:val="17"/>
              </w:rPr>
              <w:t>Control implementation and risk treatment plan</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GV.RM, PR | ISO/IEC 27001:2022: cl. 6.1.3, 8.3 | ISO/IEC 27005:2022 (risk treatment) | AICPA TSC: CC5 | ISA 315, 330</w:t>
            </w:r>
          </w:p>
        </w:tc>
        <w:tc>
          <w:tcPr>
            <w:tcW w:type="dxa" w:w="3969"/>
          </w:tcPr>
          <w:p>
            <w:pPr>
              <w:jc w:val="left"/>
            </w:pPr>
            <w:r/>
            <w:r>
              <w:rPr>
                <w:b w:val="0"/>
                <w:sz w:val="17"/>
              </w:rPr>
              <w:t>Gordon &amp; Loeb (2002) [investment in protection]; Ganin et al. (2020) [ranking of countermeasures]; Armenia et al. (2021) [evaluating security investments]</w:t>
            </w:r>
          </w:p>
        </w:tc>
        <w:tc>
          <w:tcPr>
            <w:tcW w:type="dxa" w:w="907"/>
          </w:tcPr>
          <w:p>
            <w:pPr>
              <w:jc w:val="left"/>
            </w:pPr>
            <w:r/>
            <w:r>
              <w:rPr>
                <w:b w:val="0"/>
                <w:sz w:val="17"/>
              </w:rPr>
              <w:t>S+R</w:t>
            </w:r>
          </w:p>
        </w:tc>
      </w:tr>
      <w:tr>
        <w:tc>
          <w:tcPr>
            <w:tcW w:type="dxa" w:w="680"/>
          </w:tcPr>
          <w:p>
            <w:pPr>
              <w:jc w:val="left"/>
            </w:pPr>
            <w:r/>
            <w:r>
              <w:rPr>
                <w:b w:val="0"/>
                <w:sz w:val="17"/>
              </w:rPr>
              <w:t>C10</w:t>
            </w:r>
          </w:p>
        </w:tc>
        <w:tc>
          <w:tcPr>
            <w:tcW w:type="dxa" w:w="2211"/>
          </w:tcPr>
          <w:p>
            <w:pPr>
              <w:jc w:val="left"/>
            </w:pPr>
            <w:r/>
            <w:r>
              <w:rPr>
                <w:b w:val="0"/>
                <w:sz w:val="17"/>
              </w:rPr>
              <w:t>Access control and authentication</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PR.AA | ISO/IEC 27001:2022: Annex A access control | AICPA TSC: CC6 | ITGC (ISA 315, 330)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C11</w:t>
            </w:r>
          </w:p>
        </w:tc>
        <w:tc>
          <w:tcPr>
            <w:tcW w:type="dxa" w:w="2211"/>
          </w:tcPr>
          <w:p>
            <w:pPr>
              <w:jc w:val="left"/>
            </w:pPr>
            <w:r/>
            <w:r>
              <w:rPr>
                <w:b w:val="0"/>
                <w:sz w:val="17"/>
              </w:rPr>
              <w:t>Data protection and cryptography</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PR.DS | ISO/IEC 27001:2022: Annex A cryptography, data protection | AICPA TSC: CC6, C1</w:t>
            </w:r>
          </w:p>
        </w:tc>
        <w:tc>
          <w:tcPr>
            <w:tcW w:type="dxa" w:w="3969"/>
          </w:tcPr>
          <w:p>
            <w:pPr>
              <w:jc w:val="left"/>
            </w:pPr>
            <w:r/>
            <w:r>
              <w:rPr>
                <w:b w:val="0"/>
                <w:sz w:val="17"/>
              </w:rPr>
              <w:t>Hermanson et al. (2000) [data integrity, privacy and security as traditional IT risks]</w:t>
            </w:r>
          </w:p>
        </w:tc>
        <w:tc>
          <w:tcPr>
            <w:tcW w:type="dxa" w:w="907"/>
          </w:tcPr>
          <w:p>
            <w:pPr>
              <w:jc w:val="left"/>
            </w:pPr>
            <w:r/>
            <w:r>
              <w:rPr>
                <w:b w:val="0"/>
                <w:sz w:val="17"/>
              </w:rPr>
              <w:t>S+R</w:t>
            </w:r>
          </w:p>
        </w:tc>
      </w:tr>
      <w:tr>
        <w:tc>
          <w:tcPr>
            <w:tcW w:type="dxa" w:w="680"/>
          </w:tcPr>
          <w:p>
            <w:pPr>
              <w:jc w:val="left"/>
            </w:pPr>
            <w:r/>
            <w:r>
              <w:rPr>
                <w:b w:val="0"/>
                <w:sz w:val="17"/>
              </w:rPr>
              <w:t>C12</w:t>
            </w:r>
          </w:p>
        </w:tc>
        <w:tc>
          <w:tcPr>
            <w:tcW w:type="dxa" w:w="2211"/>
          </w:tcPr>
          <w:p>
            <w:pPr>
              <w:jc w:val="left"/>
            </w:pPr>
            <w:r/>
            <w:r>
              <w:rPr>
                <w:b w:val="0"/>
                <w:sz w:val="17"/>
              </w:rPr>
              <w:t>Network, infrastructure and physical security</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PR.IR, PR.PS | ISO/IEC 27001:2022: Annex A physical and technological controls | ISO/IEC 27033 | AICPA TSC: CC6</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C13</w:t>
            </w:r>
          </w:p>
        </w:tc>
        <w:tc>
          <w:tcPr>
            <w:tcW w:type="dxa" w:w="2211"/>
          </w:tcPr>
          <w:p>
            <w:pPr>
              <w:jc w:val="left"/>
            </w:pPr>
            <w:r/>
            <w:r>
              <w:rPr>
                <w:b w:val="0"/>
                <w:sz w:val="17"/>
              </w:rPr>
              <w:t>Secure development and change management</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PR.PS | ISO/IEC 27001:2022: Annex A secure development, change management | AICPA TSC: CC8 | ITGC (program change)</w:t>
            </w:r>
          </w:p>
        </w:tc>
        <w:tc>
          <w:tcPr>
            <w:tcW w:type="dxa" w:w="3969"/>
          </w:tcPr>
          <w:p>
            <w:pPr>
              <w:jc w:val="left"/>
            </w:pPr>
            <w:r/>
            <w:r>
              <w:rPr>
                <w:b w:val="0"/>
                <w:sz w:val="17"/>
              </w:rPr>
              <w:t>Hermanson et al. (2000) [system development and acquisition receive less attention]</w:t>
            </w:r>
          </w:p>
        </w:tc>
        <w:tc>
          <w:tcPr>
            <w:tcW w:type="dxa" w:w="907"/>
          </w:tcPr>
          <w:p>
            <w:pPr>
              <w:jc w:val="left"/>
            </w:pPr>
            <w:r/>
            <w:r>
              <w:rPr>
                <w:b w:val="0"/>
                <w:sz w:val="17"/>
              </w:rPr>
              <w:t>S+R</w:t>
            </w:r>
          </w:p>
        </w:tc>
      </w:tr>
      <w:tr>
        <w:tc>
          <w:tcPr>
            <w:tcW w:type="dxa" w:w="680"/>
          </w:tcPr>
          <w:p>
            <w:pPr>
              <w:jc w:val="left"/>
            </w:pPr>
            <w:r/>
            <w:r>
              <w:rPr>
                <w:b w:val="0"/>
                <w:sz w:val="17"/>
              </w:rPr>
              <w:t>C14</w:t>
            </w:r>
          </w:p>
        </w:tc>
        <w:tc>
          <w:tcPr>
            <w:tcW w:type="dxa" w:w="2211"/>
          </w:tcPr>
          <w:p>
            <w:pPr>
              <w:jc w:val="left"/>
            </w:pPr>
            <w:r/>
            <w:r>
              <w:rPr>
                <w:b w:val="0"/>
                <w:sz w:val="17"/>
              </w:rPr>
              <w:t>Security awareness and training</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PR.AT | ISO/IEC 27001:2022: cl. 7.3; Annex A people controls | AICPA TSC: CC1, CC2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C15</w:t>
            </w:r>
          </w:p>
        </w:tc>
        <w:tc>
          <w:tcPr>
            <w:tcW w:type="dxa" w:w="2211"/>
          </w:tcPr>
          <w:p>
            <w:pPr>
              <w:jc w:val="left"/>
            </w:pPr>
            <w:r/>
            <w:r>
              <w:rPr>
                <w:b w:val="0"/>
                <w:sz w:val="17"/>
              </w:rPr>
              <w:t>Third-party and supply chain risk</w:t>
            </w:r>
          </w:p>
        </w:tc>
        <w:tc>
          <w:tcPr>
            <w:tcW w:type="dxa" w:w="1361"/>
          </w:tcPr>
          <w:p>
            <w:pPr>
              <w:jc w:val="left"/>
            </w:pPr>
            <w:r/>
            <w:r>
              <w:rPr>
                <w:b w:val="0"/>
                <w:sz w:val="17"/>
              </w:rPr>
              <w:t>Shared</w:t>
            </w:r>
          </w:p>
        </w:tc>
        <w:tc>
          <w:tcPr>
            <w:tcW w:type="dxa" w:w="964"/>
          </w:tcPr>
          <w:p>
            <w:pPr>
              <w:jc w:val="left"/>
            </w:pPr>
            <w:r/>
            <w:r>
              <w:rPr>
                <w:b w:val="0"/>
                <w:sz w:val="17"/>
              </w:rPr>
              <w:t>CCE</w:t>
            </w:r>
          </w:p>
        </w:tc>
        <w:tc>
          <w:tcPr>
            <w:tcW w:type="dxa" w:w="4309"/>
          </w:tcPr>
          <w:p>
            <w:pPr>
              <w:jc w:val="left"/>
            </w:pPr>
            <w:r/>
            <w:r>
              <w:rPr>
                <w:b w:val="0"/>
                <w:sz w:val="17"/>
              </w:rPr>
              <w:t>NIST CSF 2.0: GV.SC | ISO/IEC 27001:2022: Annex A 5.19–5.23 | ISO/IEC 27036 | AICPA TSC: CC9 | ISA 402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C16</w:t>
            </w:r>
          </w:p>
        </w:tc>
        <w:tc>
          <w:tcPr>
            <w:tcW w:type="dxa" w:w="2211"/>
          </w:tcPr>
          <w:p>
            <w:pPr>
              <w:jc w:val="left"/>
            </w:pPr>
            <w:r/>
            <w:r>
              <w:rPr>
                <w:b w:val="0"/>
                <w:sz w:val="17"/>
              </w:rPr>
              <w:t>Continuous monitoring and logging</w:t>
            </w:r>
          </w:p>
        </w:tc>
        <w:tc>
          <w:tcPr>
            <w:tcW w:type="dxa" w:w="1361"/>
          </w:tcPr>
          <w:p>
            <w:pPr>
              <w:jc w:val="left"/>
            </w:pPr>
            <w:r/>
            <w:r>
              <w:rPr>
                <w:b w:val="0"/>
                <w:sz w:val="17"/>
              </w:rPr>
              <w:t>Shared</w:t>
            </w:r>
          </w:p>
        </w:tc>
        <w:tc>
          <w:tcPr>
            <w:tcW w:type="dxa" w:w="964"/>
          </w:tcPr>
          <w:p>
            <w:pPr>
              <w:jc w:val="left"/>
            </w:pPr>
            <w:r/>
            <w:r>
              <w:rPr>
                <w:b w:val="0"/>
                <w:sz w:val="17"/>
              </w:rPr>
              <w:t>MOL</w:t>
            </w:r>
          </w:p>
        </w:tc>
        <w:tc>
          <w:tcPr>
            <w:tcW w:type="dxa" w:w="4309"/>
          </w:tcPr>
          <w:p>
            <w:pPr>
              <w:jc w:val="left"/>
            </w:pPr>
            <w:r/>
            <w:r>
              <w:rPr>
                <w:b w:val="0"/>
                <w:sz w:val="17"/>
              </w:rPr>
              <w:t>NIST CSF 2.0: DE.CM, DE.AE | ISO/IEC 27001:2022: cl. 9.1; Annex A 8.16 | AICPA TSC: CC4, CC7 | ISA 500</w:t>
            </w:r>
          </w:p>
        </w:tc>
        <w:tc>
          <w:tcPr>
            <w:tcW w:type="dxa" w:w="3969"/>
          </w:tcPr>
          <w:p>
            <w:pPr>
              <w:jc w:val="left"/>
            </w:pPr>
            <w:r/>
            <w:r>
              <w:rPr>
                <w:b w:val="0"/>
                <w:sz w:val="17"/>
              </w:rPr>
              <w:t>Armenia et al. (2021) [static versus dynamic view of posture]</w:t>
            </w:r>
          </w:p>
        </w:tc>
        <w:tc>
          <w:tcPr>
            <w:tcW w:type="dxa" w:w="907"/>
          </w:tcPr>
          <w:p>
            <w:pPr>
              <w:jc w:val="left"/>
            </w:pPr>
            <w:r/>
            <w:r>
              <w:rPr>
                <w:b w:val="0"/>
                <w:sz w:val="17"/>
              </w:rPr>
              <w:t>S+R</w:t>
            </w:r>
          </w:p>
        </w:tc>
      </w:tr>
      <w:tr>
        <w:tc>
          <w:tcPr>
            <w:tcW w:type="dxa" w:w="680"/>
          </w:tcPr>
          <w:p>
            <w:pPr>
              <w:jc w:val="left"/>
            </w:pPr>
            <w:r/>
            <w:r>
              <w:rPr>
                <w:b w:val="0"/>
                <w:sz w:val="17"/>
              </w:rPr>
              <w:t>C17</w:t>
            </w:r>
          </w:p>
        </w:tc>
        <w:tc>
          <w:tcPr>
            <w:tcW w:type="dxa" w:w="2211"/>
          </w:tcPr>
          <w:p>
            <w:pPr>
              <w:jc w:val="left"/>
            </w:pPr>
            <w:r/>
            <w:r>
              <w:rPr>
                <w:b w:val="0"/>
                <w:sz w:val="17"/>
              </w:rPr>
              <w:t>Incident management and response</w:t>
            </w:r>
          </w:p>
        </w:tc>
        <w:tc>
          <w:tcPr>
            <w:tcW w:type="dxa" w:w="1361"/>
          </w:tcPr>
          <w:p>
            <w:pPr>
              <w:jc w:val="left"/>
            </w:pPr>
            <w:r/>
            <w:r>
              <w:rPr>
                <w:b w:val="0"/>
                <w:sz w:val="17"/>
              </w:rPr>
              <w:t>Organization</w:t>
            </w:r>
          </w:p>
        </w:tc>
        <w:tc>
          <w:tcPr>
            <w:tcW w:type="dxa" w:w="964"/>
          </w:tcPr>
          <w:p>
            <w:pPr>
              <w:jc w:val="left"/>
            </w:pPr>
            <w:r/>
            <w:r>
              <w:rPr>
                <w:b w:val="0"/>
                <w:sz w:val="17"/>
              </w:rPr>
              <w:t>MOL</w:t>
            </w:r>
          </w:p>
        </w:tc>
        <w:tc>
          <w:tcPr>
            <w:tcW w:type="dxa" w:w="4309"/>
          </w:tcPr>
          <w:p>
            <w:pPr>
              <w:jc w:val="left"/>
            </w:pPr>
            <w:r/>
            <w:r>
              <w:rPr>
                <w:b w:val="0"/>
                <w:sz w:val="17"/>
              </w:rPr>
              <w:t>NIST CSF 2.0: RS.MA, RS.AN, RS.CO, RS.MI; SP 800-61 Rev. 3 | ISO/IEC 27001:2022: Annex A 5.24 | AICPA TSC: CC7</w:t>
            </w:r>
          </w:p>
        </w:tc>
        <w:tc>
          <w:tcPr>
            <w:tcW w:type="dxa" w:w="3969"/>
          </w:tcPr>
          <w:p>
            <w:pPr>
              <w:jc w:val="left"/>
            </w:pPr>
            <w:r/>
            <w:r>
              <w:rPr>
                <w:b w:val="0"/>
                <w:sz w:val="17"/>
              </w:rPr>
              <w:t>Higgs et al. (2016) [ability to detect and respond to breaches]</w:t>
            </w:r>
          </w:p>
        </w:tc>
        <w:tc>
          <w:tcPr>
            <w:tcW w:type="dxa" w:w="907"/>
          </w:tcPr>
          <w:p>
            <w:pPr>
              <w:jc w:val="left"/>
            </w:pPr>
            <w:r/>
            <w:r>
              <w:rPr>
                <w:b w:val="0"/>
                <w:sz w:val="17"/>
              </w:rPr>
              <w:t>S+R</w:t>
            </w:r>
          </w:p>
        </w:tc>
      </w:tr>
      <w:tr>
        <w:tc>
          <w:tcPr>
            <w:tcW w:type="dxa" w:w="680"/>
          </w:tcPr>
          <w:p>
            <w:pPr>
              <w:jc w:val="left"/>
            </w:pPr>
            <w:r/>
            <w:r>
              <w:rPr>
                <w:b w:val="0"/>
                <w:sz w:val="17"/>
              </w:rPr>
              <w:t>C18</w:t>
            </w:r>
          </w:p>
        </w:tc>
        <w:tc>
          <w:tcPr>
            <w:tcW w:type="dxa" w:w="2211"/>
          </w:tcPr>
          <w:p>
            <w:pPr>
              <w:jc w:val="left"/>
            </w:pPr>
            <w:r/>
            <w:r>
              <w:rPr>
                <w:b w:val="0"/>
                <w:sz w:val="17"/>
              </w:rPr>
              <w:t>Business continuity and disaster recovery</w:t>
            </w:r>
          </w:p>
        </w:tc>
        <w:tc>
          <w:tcPr>
            <w:tcW w:type="dxa" w:w="1361"/>
          </w:tcPr>
          <w:p>
            <w:pPr>
              <w:jc w:val="left"/>
            </w:pPr>
            <w:r/>
            <w:r>
              <w:rPr>
                <w:b w:val="0"/>
                <w:sz w:val="17"/>
              </w:rPr>
              <w:t>Shared</w:t>
            </w:r>
          </w:p>
        </w:tc>
        <w:tc>
          <w:tcPr>
            <w:tcW w:type="dxa" w:w="964"/>
          </w:tcPr>
          <w:p>
            <w:pPr>
              <w:jc w:val="left"/>
            </w:pPr>
            <w:r/>
            <w:r>
              <w:rPr>
                <w:b w:val="0"/>
                <w:sz w:val="17"/>
              </w:rPr>
              <w:t>MOL</w:t>
            </w:r>
          </w:p>
        </w:tc>
        <w:tc>
          <w:tcPr>
            <w:tcW w:type="dxa" w:w="4309"/>
          </w:tcPr>
          <w:p>
            <w:pPr>
              <w:jc w:val="left"/>
            </w:pPr>
            <w:r/>
            <w:r>
              <w:rPr>
                <w:b w:val="0"/>
                <w:sz w:val="17"/>
              </w:rPr>
              <w:t>NIST CSF 2.0: RC.RP, RC.CO | ISO/IEC 27001:2022: Annex A 5.29, 5.30 | ISO/IEC 27031; ISO 22301 | AICPA TSC: CC9, A1 | ISA 570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C19</w:t>
            </w:r>
          </w:p>
        </w:tc>
        <w:tc>
          <w:tcPr>
            <w:tcW w:type="dxa" w:w="2211"/>
          </w:tcPr>
          <w:p>
            <w:pPr>
              <w:jc w:val="left"/>
            </w:pPr>
            <w:r/>
            <w:r>
              <w:rPr>
                <w:b w:val="0"/>
                <w:sz w:val="17"/>
              </w:rPr>
              <w:t>Legal and regulatory compliance and privacy</w:t>
            </w:r>
          </w:p>
        </w:tc>
        <w:tc>
          <w:tcPr>
            <w:tcW w:type="dxa" w:w="1361"/>
          </w:tcPr>
          <w:p>
            <w:pPr>
              <w:jc w:val="left"/>
            </w:pPr>
            <w:r/>
            <w:r>
              <w:rPr>
                <w:b w:val="0"/>
                <w:sz w:val="17"/>
              </w:rPr>
              <w:t>Shared</w:t>
            </w:r>
          </w:p>
        </w:tc>
        <w:tc>
          <w:tcPr>
            <w:tcW w:type="dxa" w:w="964"/>
          </w:tcPr>
          <w:p>
            <w:pPr>
              <w:jc w:val="left"/>
            </w:pPr>
            <w:r/>
            <w:r>
              <w:rPr>
                <w:b w:val="0"/>
                <w:sz w:val="17"/>
              </w:rPr>
              <w:t>Context</w:t>
            </w:r>
          </w:p>
        </w:tc>
        <w:tc>
          <w:tcPr>
            <w:tcW w:type="dxa" w:w="4309"/>
          </w:tcPr>
          <w:p>
            <w:pPr>
              <w:jc w:val="left"/>
            </w:pPr>
            <w:r/>
            <w:r>
              <w:rPr>
                <w:b w:val="0"/>
                <w:sz w:val="17"/>
              </w:rPr>
              <w:t>NIST CSF 2.0: GV.OC | ISO/IEC 27001:2022: Annex A legal and privacy controls | ISO/IEC 29134 | AICPA TSC: privacy series | ISA 250</w:t>
            </w:r>
          </w:p>
        </w:tc>
        <w:tc>
          <w:tcPr>
            <w:tcW w:type="dxa" w:w="3969"/>
          </w:tcPr>
          <w:p>
            <w:pPr>
              <w:jc w:val="left"/>
            </w:pPr>
            <w:r/>
            <w:r>
              <w:rPr>
                <w:b w:val="0"/>
                <w:sz w:val="17"/>
              </w:rPr>
              <w:t>Vuko et al. (2024) [institutional drivers of cybersecurity audit effectiveness]</w:t>
            </w:r>
          </w:p>
        </w:tc>
        <w:tc>
          <w:tcPr>
            <w:tcW w:type="dxa" w:w="907"/>
          </w:tcPr>
          <w:p>
            <w:pPr>
              <w:jc w:val="left"/>
            </w:pPr>
            <w:r/>
            <w:r>
              <w:rPr>
                <w:b w:val="0"/>
                <w:sz w:val="17"/>
              </w:rPr>
              <w:t>S+R</w:t>
            </w:r>
          </w:p>
        </w:tc>
      </w:tr>
      <w:tr>
        <w:tc>
          <w:tcPr>
            <w:tcW w:type="dxa" w:w="680"/>
          </w:tcPr>
          <w:p>
            <w:pPr>
              <w:jc w:val="left"/>
            </w:pPr>
            <w:r/>
            <w:r>
              <w:rPr>
                <w:b w:val="0"/>
                <w:sz w:val="17"/>
              </w:rPr>
              <w:t>C20</w:t>
            </w:r>
          </w:p>
        </w:tc>
        <w:tc>
          <w:tcPr>
            <w:tcW w:type="dxa" w:w="2211"/>
          </w:tcPr>
          <w:p>
            <w:pPr>
              <w:jc w:val="left"/>
            </w:pPr>
            <w:r/>
            <w:r>
              <w:rPr>
                <w:b w:val="0"/>
                <w:sz w:val="17"/>
              </w:rPr>
              <w:t>Continual improvement and effectiveness evaluation</w:t>
            </w:r>
          </w:p>
        </w:tc>
        <w:tc>
          <w:tcPr>
            <w:tcW w:type="dxa" w:w="1361"/>
          </w:tcPr>
          <w:p>
            <w:pPr>
              <w:jc w:val="left"/>
            </w:pPr>
            <w:r/>
            <w:r>
              <w:rPr>
                <w:b w:val="0"/>
                <w:sz w:val="17"/>
              </w:rPr>
              <w:t>Organization</w:t>
            </w:r>
          </w:p>
        </w:tc>
        <w:tc>
          <w:tcPr>
            <w:tcW w:type="dxa" w:w="964"/>
          </w:tcPr>
          <w:p>
            <w:pPr>
              <w:jc w:val="left"/>
            </w:pPr>
            <w:r/>
            <w:r>
              <w:rPr>
                <w:b w:val="0"/>
                <w:sz w:val="17"/>
              </w:rPr>
              <w:t>MOL</w:t>
            </w:r>
          </w:p>
        </w:tc>
        <w:tc>
          <w:tcPr>
            <w:tcW w:type="dxa" w:w="4309"/>
          </w:tcPr>
          <w:p>
            <w:pPr>
              <w:jc w:val="left"/>
            </w:pPr>
            <w:r/>
            <w:r>
              <w:rPr>
                <w:b w:val="0"/>
                <w:sz w:val="17"/>
              </w:rPr>
              <w:t>NIST CSF 2.0: ID.IM | ISO/IEC 27001:2022: cl. 9.2, 9.3, 10 | ISO 31000:2018 | AICPA TSC: CC4 | IIA GIAS 2024</w:t>
            </w:r>
          </w:p>
        </w:tc>
        <w:tc>
          <w:tcPr>
            <w:tcW w:type="dxa" w:w="3969"/>
          </w:tcPr>
          <w:p>
            <w:pPr>
              <w:jc w:val="left"/>
            </w:pPr>
            <w:r/>
            <w:r>
              <w:rPr>
                <w:b w:val="0"/>
                <w:sz w:val="17"/>
              </w:rPr>
              <w:t>Slapničar et al. (2022) [effectiveness index and maturity]; Armenia et al. (2021) [continuous re-evaluation]</w:t>
            </w:r>
          </w:p>
        </w:tc>
        <w:tc>
          <w:tcPr>
            <w:tcW w:type="dxa" w:w="907"/>
          </w:tcPr>
          <w:p>
            <w:pPr>
              <w:jc w:val="left"/>
            </w:pPr>
            <w:r/>
            <w:r>
              <w:rPr>
                <w:b w:val="0"/>
                <w:sz w:val="17"/>
              </w:rPr>
              <w:t>S+R</w:t>
            </w:r>
          </w:p>
        </w:tc>
      </w:tr>
      <w:tr>
        <w:tc>
          <w:tcPr>
            <w:tcW w:type="dxa" w:w="680"/>
          </w:tcPr>
          <w:p>
            <w:pPr>
              <w:jc w:val="left"/>
            </w:pPr>
            <w:r/>
            <w:r>
              <w:rPr>
                <w:b w:val="0"/>
                <w:sz w:val="17"/>
              </w:rPr>
              <w:t>C21</w:t>
            </w:r>
          </w:p>
        </w:tc>
        <w:tc>
          <w:tcPr>
            <w:tcW w:type="dxa" w:w="2211"/>
          </w:tcPr>
          <w:p>
            <w:pPr>
              <w:jc w:val="left"/>
            </w:pPr>
            <w:r/>
            <w:r>
              <w:rPr>
                <w:b w:val="0"/>
                <w:sz w:val="17"/>
              </w:rPr>
              <w:t>Documentation and risk reporting</w:t>
            </w:r>
          </w:p>
        </w:tc>
        <w:tc>
          <w:tcPr>
            <w:tcW w:type="dxa" w:w="1361"/>
          </w:tcPr>
          <w:p>
            <w:pPr>
              <w:jc w:val="left"/>
            </w:pPr>
            <w:r/>
            <w:r>
              <w:rPr>
                <w:b w:val="0"/>
                <w:sz w:val="17"/>
              </w:rPr>
              <w:t>Shared</w:t>
            </w:r>
          </w:p>
        </w:tc>
        <w:tc>
          <w:tcPr>
            <w:tcW w:type="dxa" w:w="964"/>
          </w:tcPr>
          <w:p>
            <w:pPr>
              <w:jc w:val="left"/>
            </w:pPr>
            <w:r/>
            <w:r>
              <w:rPr>
                <w:b w:val="0"/>
                <w:sz w:val="17"/>
              </w:rPr>
              <w:t>PEF</w:t>
            </w:r>
          </w:p>
        </w:tc>
        <w:tc>
          <w:tcPr>
            <w:tcW w:type="dxa" w:w="4309"/>
          </w:tcPr>
          <w:p>
            <w:pPr>
              <w:jc w:val="left"/>
            </w:pPr>
            <w:r/>
            <w:r>
              <w:rPr>
                <w:b w:val="0"/>
                <w:sz w:val="17"/>
              </w:rPr>
              <w:t>NIST CSF 2.0: GV.OV | ISO/IEC 27001:2022: cl. 7.5, 9.3 | AICPA TSC: CC2; DC section 100 | ISA 260, 265</w:t>
            </w:r>
          </w:p>
        </w:tc>
        <w:tc>
          <w:tcPr>
            <w:tcW w:type="dxa" w:w="3969"/>
          </w:tcPr>
          <w:p>
            <w:pPr>
              <w:jc w:val="left"/>
            </w:pPr>
            <w:r/>
            <w:r>
              <w:rPr>
                <w:b w:val="0"/>
                <w:sz w:val="17"/>
              </w:rPr>
              <w:t>Slapničar et al. (2022) [reporting to the board]; Sari et al. (2023) [cyber risk management disclosure]</w:t>
            </w:r>
          </w:p>
        </w:tc>
        <w:tc>
          <w:tcPr>
            <w:tcW w:type="dxa" w:w="907"/>
          </w:tcPr>
          <w:p>
            <w:pPr>
              <w:jc w:val="left"/>
            </w:pPr>
            <w:r/>
            <w:r>
              <w:rPr>
                <w:b w:val="0"/>
                <w:sz w:val="17"/>
              </w:rPr>
              <w:t>S+R</w:t>
            </w:r>
          </w:p>
        </w:tc>
      </w:tr>
      <w:tr>
        <w:tc>
          <w:tcPr>
            <w:tcW w:type="dxa" w:w="680"/>
          </w:tcPr>
          <w:p>
            <w:pPr>
              <w:jc w:val="left"/>
            </w:pPr>
            <w:r/>
            <w:r>
              <w:rPr>
                <w:b w:val="0"/>
                <w:sz w:val="17"/>
              </w:rPr>
              <w:t>A01</w:t>
            </w:r>
          </w:p>
        </w:tc>
        <w:tc>
          <w:tcPr>
            <w:tcW w:type="dxa" w:w="2211"/>
          </w:tcPr>
          <w:p>
            <w:pPr>
              <w:jc w:val="left"/>
            </w:pPr>
            <w:r/>
            <w:r>
              <w:rPr>
                <w:b w:val="0"/>
                <w:sz w:val="17"/>
              </w:rPr>
              <w:t>Understanding the entity, its IT environment and information system</w:t>
            </w:r>
          </w:p>
        </w:tc>
        <w:tc>
          <w:tcPr>
            <w:tcW w:type="dxa" w:w="1361"/>
          </w:tcPr>
          <w:p>
            <w:pPr>
              <w:jc w:val="left"/>
            </w:pPr>
            <w:r/>
            <w:r>
              <w:rPr>
                <w:b w:val="0"/>
                <w:sz w:val="17"/>
              </w:rPr>
              <w:t>Auditor</w:t>
            </w:r>
          </w:p>
        </w:tc>
        <w:tc>
          <w:tcPr>
            <w:tcW w:type="dxa" w:w="964"/>
          </w:tcPr>
          <w:p>
            <w:pPr>
              <w:jc w:val="left"/>
            </w:pPr>
            <w:r/>
            <w:r>
              <w:rPr>
                <w:b w:val="0"/>
                <w:sz w:val="17"/>
              </w:rPr>
              <w:t>TVI</w:t>
            </w:r>
          </w:p>
        </w:tc>
        <w:tc>
          <w:tcPr>
            <w:tcW w:type="dxa" w:w="4309"/>
          </w:tcPr>
          <w:p>
            <w:pPr>
              <w:jc w:val="left"/>
            </w:pPr>
            <w:r/>
            <w:r>
              <w:rPr>
                <w:b w:val="0"/>
                <w:sz w:val="17"/>
              </w:rPr>
              <w:t>ISA 315 (Revised 2019); AU-C 315; PCAOB AS 2110</w:t>
            </w:r>
          </w:p>
        </w:tc>
        <w:tc>
          <w:tcPr>
            <w:tcW w:type="dxa" w:w="3969"/>
          </w:tcPr>
          <w:p>
            <w:pPr>
              <w:jc w:val="left"/>
            </w:pPr>
            <w:r/>
            <w:r>
              <w:rPr>
                <w:b w:val="0"/>
                <w:sz w:val="17"/>
              </w:rPr>
              <w:t>Hermanson et al. (2000) [IT activities of internal auditors]; Bedard et al. (2005) [information systems risk in audit planning]</w:t>
            </w:r>
          </w:p>
        </w:tc>
        <w:tc>
          <w:tcPr>
            <w:tcW w:type="dxa" w:w="907"/>
          </w:tcPr>
          <w:p>
            <w:pPr>
              <w:jc w:val="left"/>
            </w:pPr>
            <w:r/>
            <w:r>
              <w:rPr>
                <w:b w:val="0"/>
                <w:sz w:val="17"/>
              </w:rPr>
              <w:t>S+R</w:t>
            </w:r>
          </w:p>
        </w:tc>
      </w:tr>
      <w:tr>
        <w:tc>
          <w:tcPr>
            <w:tcW w:type="dxa" w:w="680"/>
          </w:tcPr>
          <w:p>
            <w:pPr>
              <w:jc w:val="left"/>
            </w:pPr>
            <w:r/>
            <w:r>
              <w:rPr>
                <w:b w:val="0"/>
                <w:sz w:val="17"/>
              </w:rPr>
              <w:t>A02</w:t>
            </w:r>
          </w:p>
        </w:tc>
        <w:tc>
          <w:tcPr>
            <w:tcW w:type="dxa" w:w="2211"/>
          </w:tcPr>
          <w:p>
            <w:pPr>
              <w:jc w:val="left"/>
            </w:pPr>
            <w:r/>
            <w:r>
              <w:rPr>
                <w:b w:val="0"/>
                <w:sz w:val="17"/>
              </w:rPr>
              <w:t>Assessing the effect of cyber risk on the risks of material misstatement</w:t>
            </w:r>
          </w:p>
        </w:tc>
        <w:tc>
          <w:tcPr>
            <w:tcW w:type="dxa" w:w="1361"/>
          </w:tcPr>
          <w:p>
            <w:pPr>
              <w:jc w:val="left"/>
            </w:pPr>
            <w:r/>
            <w:r>
              <w:rPr>
                <w:b w:val="0"/>
                <w:sz w:val="17"/>
              </w:rPr>
              <w:t>Auditor</w:t>
            </w:r>
          </w:p>
        </w:tc>
        <w:tc>
          <w:tcPr>
            <w:tcW w:type="dxa" w:w="964"/>
          </w:tcPr>
          <w:p>
            <w:pPr>
              <w:jc w:val="left"/>
            </w:pPr>
            <w:r/>
            <w:r>
              <w:rPr>
                <w:b w:val="0"/>
                <w:sz w:val="17"/>
              </w:rPr>
              <w:t>RRJ</w:t>
            </w:r>
          </w:p>
        </w:tc>
        <w:tc>
          <w:tcPr>
            <w:tcW w:type="dxa" w:w="4309"/>
          </w:tcPr>
          <w:p>
            <w:pPr>
              <w:jc w:val="left"/>
            </w:pPr>
            <w:r/>
            <w:r>
              <w:rPr>
                <w:b w:val="0"/>
                <w:sz w:val="17"/>
              </w:rPr>
              <w:t>ISA 315 (Revised 2019); ISA 240; ISA 450</w:t>
            </w:r>
          </w:p>
        </w:tc>
        <w:tc>
          <w:tcPr>
            <w:tcW w:type="dxa" w:w="3969"/>
          </w:tcPr>
          <w:p>
            <w:pPr>
              <w:jc w:val="left"/>
            </w:pPr>
            <w:r/>
            <w:r>
              <w:rPr>
                <w:b w:val="0"/>
                <w:sz w:val="17"/>
              </w:rPr>
              <w:t>Bedard et al. (2005) [IS risk and audit planning]; Li et al. (2020) [auditors' response to cyber incidents through fees]</w:t>
            </w:r>
          </w:p>
        </w:tc>
        <w:tc>
          <w:tcPr>
            <w:tcW w:type="dxa" w:w="907"/>
          </w:tcPr>
          <w:p>
            <w:pPr>
              <w:jc w:val="left"/>
            </w:pPr>
            <w:r/>
            <w:r>
              <w:rPr>
                <w:b w:val="0"/>
                <w:sz w:val="17"/>
              </w:rPr>
              <w:t>S+R</w:t>
            </w:r>
          </w:p>
        </w:tc>
      </w:tr>
      <w:tr>
        <w:tc>
          <w:tcPr>
            <w:tcW w:type="dxa" w:w="680"/>
          </w:tcPr>
          <w:p>
            <w:pPr>
              <w:jc w:val="left"/>
            </w:pPr>
            <w:r/>
            <w:r>
              <w:rPr>
                <w:b w:val="0"/>
                <w:sz w:val="17"/>
              </w:rPr>
              <w:t>A03</w:t>
            </w:r>
          </w:p>
        </w:tc>
        <w:tc>
          <w:tcPr>
            <w:tcW w:type="dxa" w:w="2211"/>
          </w:tcPr>
          <w:p>
            <w:pPr>
              <w:jc w:val="left"/>
            </w:pPr>
            <w:r/>
            <w:r>
              <w:rPr>
                <w:b w:val="0"/>
                <w:sz w:val="17"/>
              </w:rPr>
              <w:t>Evaluating the design and effectiveness of IT general controls</w:t>
            </w:r>
          </w:p>
        </w:tc>
        <w:tc>
          <w:tcPr>
            <w:tcW w:type="dxa" w:w="1361"/>
          </w:tcPr>
          <w:p>
            <w:pPr>
              <w:jc w:val="left"/>
            </w:pPr>
            <w:r/>
            <w:r>
              <w:rPr>
                <w:b w:val="0"/>
                <w:sz w:val="17"/>
              </w:rPr>
              <w:t>Auditor</w:t>
            </w:r>
          </w:p>
        </w:tc>
        <w:tc>
          <w:tcPr>
            <w:tcW w:type="dxa" w:w="964"/>
          </w:tcPr>
          <w:p>
            <w:pPr>
              <w:jc w:val="left"/>
            </w:pPr>
            <w:r/>
            <w:r>
              <w:rPr>
                <w:b w:val="0"/>
                <w:sz w:val="17"/>
              </w:rPr>
              <w:t>CCE</w:t>
            </w:r>
          </w:p>
        </w:tc>
        <w:tc>
          <w:tcPr>
            <w:tcW w:type="dxa" w:w="4309"/>
          </w:tcPr>
          <w:p>
            <w:pPr>
              <w:jc w:val="left"/>
            </w:pPr>
            <w:r/>
            <w:r>
              <w:rPr>
                <w:b w:val="0"/>
                <w:sz w:val="17"/>
              </w:rPr>
              <w:t>ISA 315; ISA 330; PCAOB AS 2201 (ITGC)</w:t>
            </w:r>
          </w:p>
        </w:tc>
        <w:tc>
          <w:tcPr>
            <w:tcW w:type="dxa" w:w="3969"/>
          </w:tcPr>
          <w:p>
            <w:pPr>
              <w:jc w:val="left"/>
            </w:pPr>
            <w:r/>
            <w:r>
              <w:rPr>
                <w:b w:val="0"/>
                <w:sz w:val="17"/>
              </w:rPr>
              <w:t>Hermanson et al. (2000) [application processing and data integrity]; Slapničar et al. (2022) [performing stage]</w:t>
            </w:r>
          </w:p>
        </w:tc>
        <w:tc>
          <w:tcPr>
            <w:tcW w:type="dxa" w:w="907"/>
          </w:tcPr>
          <w:p>
            <w:pPr>
              <w:jc w:val="left"/>
            </w:pPr>
            <w:r/>
            <w:r>
              <w:rPr>
                <w:b w:val="0"/>
                <w:sz w:val="17"/>
              </w:rPr>
              <w:t>S+R</w:t>
            </w:r>
          </w:p>
        </w:tc>
      </w:tr>
      <w:tr>
        <w:tc>
          <w:tcPr>
            <w:tcW w:type="dxa" w:w="680"/>
          </w:tcPr>
          <w:p>
            <w:pPr>
              <w:jc w:val="left"/>
            </w:pPr>
            <w:r/>
            <w:r>
              <w:rPr>
                <w:b w:val="0"/>
                <w:sz w:val="17"/>
              </w:rPr>
              <w:t>A04</w:t>
            </w:r>
          </w:p>
        </w:tc>
        <w:tc>
          <w:tcPr>
            <w:tcW w:type="dxa" w:w="2211"/>
          </w:tcPr>
          <w:p>
            <w:pPr>
              <w:jc w:val="left"/>
            </w:pPr>
            <w:r/>
            <w:r>
              <w:rPr>
                <w:b w:val="0"/>
                <w:sz w:val="17"/>
              </w:rPr>
              <w:t>Sufficiency and reliability of electronic audit evidence</w:t>
            </w:r>
          </w:p>
        </w:tc>
        <w:tc>
          <w:tcPr>
            <w:tcW w:type="dxa" w:w="1361"/>
          </w:tcPr>
          <w:p>
            <w:pPr>
              <w:jc w:val="left"/>
            </w:pPr>
            <w:r/>
            <w:r>
              <w:rPr>
                <w:b w:val="0"/>
                <w:sz w:val="17"/>
              </w:rPr>
              <w:t>Auditor</w:t>
            </w:r>
          </w:p>
        </w:tc>
        <w:tc>
          <w:tcPr>
            <w:tcW w:type="dxa" w:w="964"/>
          </w:tcPr>
          <w:p>
            <w:pPr>
              <w:jc w:val="left"/>
            </w:pPr>
            <w:r/>
            <w:r>
              <w:rPr>
                <w:b w:val="0"/>
                <w:sz w:val="17"/>
              </w:rPr>
              <w:t>CCE</w:t>
            </w:r>
          </w:p>
        </w:tc>
        <w:tc>
          <w:tcPr>
            <w:tcW w:type="dxa" w:w="4309"/>
          </w:tcPr>
          <w:p>
            <w:pPr>
              <w:jc w:val="left"/>
            </w:pPr>
            <w:r/>
            <w:r>
              <w:rPr>
                <w:b w:val="0"/>
                <w:sz w:val="17"/>
              </w:rPr>
              <w:t>ISA 500; ISA 230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A05</w:t>
            </w:r>
          </w:p>
        </w:tc>
        <w:tc>
          <w:tcPr>
            <w:tcW w:type="dxa" w:w="2211"/>
          </w:tcPr>
          <w:p>
            <w:pPr>
              <w:jc w:val="left"/>
            </w:pPr>
            <w:r/>
            <w:r>
              <w:rPr>
                <w:b w:val="0"/>
                <w:sz w:val="17"/>
              </w:rPr>
              <w:t>Reliance on service organization reports</w:t>
            </w:r>
          </w:p>
        </w:tc>
        <w:tc>
          <w:tcPr>
            <w:tcW w:type="dxa" w:w="1361"/>
          </w:tcPr>
          <w:p>
            <w:pPr>
              <w:jc w:val="left"/>
            </w:pPr>
            <w:r/>
            <w:r>
              <w:rPr>
                <w:b w:val="0"/>
                <w:sz w:val="17"/>
              </w:rPr>
              <w:t>Auditor</w:t>
            </w:r>
          </w:p>
        </w:tc>
        <w:tc>
          <w:tcPr>
            <w:tcW w:type="dxa" w:w="964"/>
          </w:tcPr>
          <w:p>
            <w:pPr>
              <w:jc w:val="left"/>
            </w:pPr>
            <w:r/>
            <w:r>
              <w:rPr>
                <w:b w:val="0"/>
                <w:sz w:val="17"/>
              </w:rPr>
              <w:t>COL</w:t>
            </w:r>
          </w:p>
        </w:tc>
        <w:tc>
          <w:tcPr>
            <w:tcW w:type="dxa" w:w="4309"/>
          </w:tcPr>
          <w:p>
            <w:pPr>
              <w:jc w:val="left"/>
            </w:pPr>
            <w:r/>
            <w:r>
              <w:rPr>
                <w:b w:val="0"/>
                <w:sz w:val="17"/>
              </w:rPr>
              <w:t>ISA 402; AICPA SOC 2 and SOC for Cybersecurity reports</w:t>
            </w:r>
          </w:p>
        </w:tc>
        <w:tc>
          <w:tcPr>
            <w:tcW w:type="dxa" w:w="3969"/>
          </w:tcPr>
          <w:p>
            <w:pPr>
              <w:jc w:val="left"/>
            </w:pPr>
            <w:r/>
            <w:r>
              <w:rPr>
                <w:b w:val="0"/>
                <w:sz w:val="17"/>
              </w:rPr>
              <w:t>Kahyaoğlu &amp; Çalıyurt (2018) [AICPA framework within assurance process]</w:t>
            </w:r>
          </w:p>
        </w:tc>
        <w:tc>
          <w:tcPr>
            <w:tcW w:type="dxa" w:w="907"/>
          </w:tcPr>
          <w:p>
            <w:pPr>
              <w:jc w:val="left"/>
            </w:pPr>
            <w:r/>
            <w:r>
              <w:rPr>
                <w:b w:val="0"/>
                <w:sz w:val="17"/>
              </w:rPr>
              <w:t>S+R</w:t>
            </w:r>
          </w:p>
        </w:tc>
      </w:tr>
      <w:tr>
        <w:tc>
          <w:tcPr>
            <w:tcW w:type="dxa" w:w="680"/>
          </w:tcPr>
          <w:p>
            <w:pPr>
              <w:jc w:val="left"/>
            </w:pPr>
            <w:r/>
            <w:r>
              <w:rPr>
                <w:b w:val="0"/>
                <w:sz w:val="17"/>
              </w:rPr>
              <w:t>A06</w:t>
            </w:r>
          </w:p>
        </w:tc>
        <w:tc>
          <w:tcPr>
            <w:tcW w:type="dxa" w:w="2211"/>
          </w:tcPr>
          <w:p>
            <w:pPr>
              <w:jc w:val="left"/>
            </w:pPr>
            <w:r/>
            <w:r>
              <w:rPr>
                <w:b w:val="0"/>
                <w:sz w:val="17"/>
              </w:rPr>
              <w:t>Auditor's technical competence and use of experts</w:t>
            </w:r>
          </w:p>
        </w:tc>
        <w:tc>
          <w:tcPr>
            <w:tcW w:type="dxa" w:w="1361"/>
          </w:tcPr>
          <w:p>
            <w:pPr>
              <w:jc w:val="left"/>
            </w:pPr>
            <w:r/>
            <w:r>
              <w:rPr>
                <w:b w:val="0"/>
                <w:sz w:val="17"/>
              </w:rPr>
              <w:t>Auditor</w:t>
            </w:r>
          </w:p>
        </w:tc>
        <w:tc>
          <w:tcPr>
            <w:tcW w:type="dxa" w:w="964"/>
          </w:tcPr>
          <w:p>
            <w:pPr>
              <w:jc w:val="left"/>
            </w:pPr>
            <w:r/>
            <w:r>
              <w:rPr>
                <w:b w:val="0"/>
                <w:sz w:val="17"/>
              </w:rPr>
              <w:t>COL</w:t>
            </w:r>
          </w:p>
        </w:tc>
        <w:tc>
          <w:tcPr>
            <w:tcW w:type="dxa" w:w="4309"/>
          </w:tcPr>
          <w:p>
            <w:pPr>
              <w:jc w:val="left"/>
            </w:pPr>
            <w:r/>
            <w:r>
              <w:rPr>
                <w:b w:val="0"/>
                <w:sz w:val="17"/>
              </w:rPr>
              <w:t>ISA 620; ISA 220; ISQM 1; IIA GIAS 2024</w:t>
            </w:r>
          </w:p>
        </w:tc>
        <w:tc>
          <w:tcPr>
            <w:tcW w:type="dxa" w:w="3969"/>
          </w:tcPr>
          <w:p>
            <w:pPr>
              <w:jc w:val="left"/>
            </w:pPr>
            <w:r/>
            <w:r>
              <w:rPr>
                <w:b w:val="0"/>
                <w:sz w:val="17"/>
              </w:rPr>
              <w:t>Islam et al. (2018) [characteristics of the internal audit function]; Steinbart et al. (2018) [internal audit–information security relationship]; Hermanson et al. (2000) [specialists and frequency of IT evaluations]</w:t>
            </w:r>
          </w:p>
        </w:tc>
        <w:tc>
          <w:tcPr>
            <w:tcW w:type="dxa" w:w="907"/>
          </w:tcPr>
          <w:p>
            <w:pPr>
              <w:jc w:val="left"/>
            </w:pPr>
            <w:r/>
            <w:r>
              <w:rPr>
                <w:b w:val="0"/>
                <w:sz w:val="17"/>
              </w:rPr>
              <w:t>S+R</w:t>
            </w:r>
          </w:p>
        </w:tc>
      </w:tr>
      <w:tr>
        <w:tc>
          <w:tcPr>
            <w:tcW w:type="dxa" w:w="680"/>
          </w:tcPr>
          <w:p>
            <w:pPr>
              <w:jc w:val="left"/>
            </w:pPr>
            <w:r/>
            <w:r>
              <w:rPr>
                <w:b w:val="0"/>
                <w:sz w:val="17"/>
              </w:rPr>
              <w:t>A07</w:t>
            </w:r>
          </w:p>
        </w:tc>
        <w:tc>
          <w:tcPr>
            <w:tcW w:type="dxa" w:w="2211"/>
          </w:tcPr>
          <w:p>
            <w:pPr>
              <w:jc w:val="left"/>
            </w:pPr>
            <w:r/>
            <w:r>
              <w:rPr>
                <w:b w:val="0"/>
                <w:sz w:val="17"/>
              </w:rPr>
              <w:t>Effect of cyber incidents on the financial statements and disclosure</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450; ISA 560; ISA 570; ISA 250</w:t>
            </w:r>
          </w:p>
        </w:tc>
        <w:tc>
          <w:tcPr>
            <w:tcW w:type="dxa" w:w="3969"/>
          </w:tcPr>
          <w:p>
            <w:pPr>
              <w:jc w:val="left"/>
            </w:pPr>
            <w:r/>
            <w:r>
              <w:rPr>
                <w:b w:val="0"/>
                <w:sz w:val="17"/>
              </w:rPr>
              <w:t>Li et al. (2020) [audit fee response to cyber incidents]; Sari et al. (2023) [disclosure of cyber risk management]</w:t>
            </w:r>
          </w:p>
        </w:tc>
        <w:tc>
          <w:tcPr>
            <w:tcW w:type="dxa" w:w="907"/>
          </w:tcPr>
          <w:p>
            <w:pPr>
              <w:jc w:val="left"/>
            </w:pPr>
            <w:r/>
            <w:r>
              <w:rPr>
                <w:b w:val="0"/>
                <w:sz w:val="17"/>
              </w:rPr>
              <w:t>S+R</w:t>
            </w:r>
          </w:p>
        </w:tc>
      </w:tr>
      <w:tr>
        <w:tc>
          <w:tcPr>
            <w:tcW w:type="dxa" w:w="680"/>
          </w:tcPr>
          <w:p>
            <w:pPr>
              <w:jc w:val="left"/>
            </w:pPr>
            <w:r/>
            <w:r>
              <w:rPr>
                <w:b w:val="0"/>
                <w:sz w:val="17"/>
              </w:rPr>
              <w:t>A08</w:t>
            </w:r>
          </w:p>
        </w:tc>
        <w:tc>
          <w:tcPr>
            <w:tcW w:type="dxa" w:w="2211"/>
          </w:tcPr>
          <w:p>
            <w:pPr>
              <w:jc w:val="left"/>
            </w:pPr>
            <w:r/>
            <w:r>
              <w:rPr>
                <w:b w:val="0"/>
                <w:sz w:val="17"/>
              </w:rPr>
              <w:t>Communication with those charged with governance and reporting of control deficiencies</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260; ISA 265; IIA GIAS 2024</w:t>
            </w:r>
          </w:p>
        </w:tc>
        <w:tc>
          <w:tcPr>
            <w:tcW w:type="dxa" w:w="3969"/>
          </w:tcPr>
          <w:p>
            <w:pPr>
              <w:jc w:val="left"/>
            </w:pPr>
            <w:r/>
            <w:r>
              <w:rPr>
                <w:b w:val="0"/>
                <w:sz w:val="17"/>
              </w:rPr>
              <w:t>Slapničar et al. (2022) [reporting to the board]; Islam et al. (2018) [audit committee]</w:t>
            </w:r>
          </w:p>
        </w:tc>
        <w:tc>
          <w:tcPr>
            <w:tcW w:type="dxa" w:w="907"/>
          </w:tcPr>
          <w:p>
            <w:pPr>
              <w:jc w:val="left"/>
            </w:pPr>
            <w:r/>
            <w:r>
              <w:rPr>
                <w:b w:val="0"/>
                <w:sz w:val="17"/>
              </w:rPr>
              <w:t>S+R</w:t>
            </w:r>
          </w:p>
        </w:tc>
      </w:tr>
      <w:tr>
        <w:tc>
          <w:tcPr>
            <w:tcW w:type="dxa" w:w="680"/>
          </w:tcPr>
          <w:p>
            <w:pPr>
              <w:jc w:val="left"/>
            </w:pPr>
            <w:r/>
            <w:r>
              <w:rPr>
                <w:b w:val="0"/>
                <w:sz w:val="17"/>
              </w:rPr>
              <w:t>A09</w:t>
            </w:r>
          </w:p>
        </w:tc>
        <w:tc>
          <w:tcPr>
            <w:tcW w:type="dxa" w:w="2211"/>
          </w:tcPr>
          <w:p>
            <w:pPr>
              <w:jc w:val="left"/>
            </w:pPr>
            <w:r/>
            <w:r>
              <w:rPr>
                <w:b w:val="0"/>
                <w:sz w:val="17"/>
              </w:rPr>
              <w:t>Professional judgment and skepticism in cyber risk</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200</w:t>
            </w:r>
          </w:p>
        </w:tc>
        <w:tc>
          <w:tcPr>
            <w:tcW w:type="dxa" w:w="3969"/>
          </w:tcPr>
          <w:p>
            <w:pPr>
              <w:jc w:val="left"/>
            </w:pPr>
            <w:r/>
            <w:r>
              <w:rPr>
                <w:b w:val="0"/>
                <w:sz w:val="17"/>
              </w:rPr>
              <w:t>—</w:t>
            </w:r>
          </w:p>
        </w:tc>
        <w:tc>
          <w:tcPr>
            <w:tcW w:type="dxa" w:w="907"/>
          </w:tcPr>
          <w:p>
            <w:pPr>
              <w:jc w:val="left"/>
            </w:pPr>
            <w:r/>
            <w:r>
              <w:rPr>
                <w:b w:val="0"/>
                <w:sz w:val="17"/>
              </w:rPr>
              <w:t>S</w:t>
            </w:r>
          </w:p>
        </w:tc>
      </w:tr>
    </w:tbl>
    <w:p/>
    <w:p>
      <w:r>
        <w:br w:type="page"/>
      </w:r>
    </w:p>
    <w:p>
      <w:pPr>
        <w:spacing w:after="140" w:line="288" w:lineRule="auto"/>
        <w:jc w:val="left"/>
      </w:pPr>
      <w:r>
        <w:rPr>
          <w:b/>
          <w:i w:val="0"/>
          <w:color w:val="1F3864"/>
          <w:sz w:val="26"/>
        </w:rPr>
        <w:t>References</w:t>
      </w:r>
    </w:p>
    <w:p>
      <w:pPr>
        <w:spacing w:after="60" w:line="264" w:lineRule="auto"/>
        <w:ind w:left="567" w:hanging="567"/>
        <w:jc w:val="left"/>
      </w:pPr>
      <w:r>
        <w:rPr>
          <w:b w:val="0"/>
          <w:i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i w:val="0"/>
          <w:sz w:val="20"/>
        </w:rPr>
        <w:t>Barney, J. (1991). Firm resources and sustained competitive advantage. Journal of Management, 17(1), 99–120.</w:t>
      </w:r>
    </w:p>
    <w:p>
      <w:pPr>
        <w:spacing w:after="60" w:line="264" w:lineRule="auto"/>
        <w:ind w:left="567" w:hanging="567"/>
        <w:jc w:val="left"/>
      </w:pPr>
      <w:r>
        <w:rPr>
          <w:b w:val="0"/>
          <w:i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i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line="264" w:lineRule="auto"/>
        <w:ind w:left="567" w:hanging="567"/>
        <w:jc w:val="left"/>
      </w:pPr>
      <w:r>
        <w:rPr>
          <w:b w:val="0"/>
          <w:i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i w:val="0"/>
          <w:sz w:val="20"/>
        </w:rPr>
        <w:t>Donaldson, L. (2001). The contingency theory of organizations. Sage.</w:t>
      </w:r>
    </w:p>
    <w:p>
      <w:pPr>
        <w:spacing w:after="60" w:line="264" w:lineRule="auto"/>
        <w:ind w:left="567" w:hanging="567"/>
        <w:jc w:val="left"/>
      </w:pPr>
      <w:r>
        <w:rPr>
          <w:b w:val="0"/>
          <w:i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i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i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i w:val="0"/>
          <w:sz w:val="20"/>
        </w:rPr>
        <w:t>Higgs, J. L., Pinsker, R. E., Smith, T. J., &amp; Young, G. R. (2016). The relationship between board-level technology committees and reported security breaches. Journal of Information Systems, 30(3), 79–98. https://doi.org/10.2308/isys-51402</w:t>
      </w:r>
    </w:p>
    <w:p>
      <w:pPr>
        <w:spacing w:after="60" w:line="264" w:lineRule="auto"/>
        <w:ind w:left="567" w:hanging="567"/>
        <w:jc w:val="left"/>
      </w:pPr>
      <w:r>
        <w:rPr>
          <w:b w:val="0"/>
          <w:i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i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i w:val="0"/>
          <w:sz w:val="20"/>
        </w:rPr>
        <w:t>Kahyaoğlu, S. B., &amp; Çalıyurt, K. (2018). Cyber security assurance process from the internal audit perspective. Managerial Auditing Journal, 33(4), 360–376. https://doi.org/10.1108/MAJ-02-2018-1804</w:t>
      </w:r>
    </w:p>
    <w:p>
      <w:pPr>
        <w:spacing w:after="60" w:line="264" w:lineRule="auto"/>
        <w:ind w:left="567" w:hanging="567"/>
        <w:jc w:val="left"/>
      </w:pPr>
      <w:r>
        <w:rPr>
          <w:b w:val="0"/>
          <w:i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i w:val="0"/>
          <w:sz w:val="20"/>
        </w:rPr>
        <w:t>Sari, Y. P., Suhardjanto, D., Probohudono, A. N., &amp; Honggowati, S. (2023). Cyber risk management disclosure of state-owned enterprises. Jurnal Dinamika Akuntansi, 15(2), 180–190. https://doi.org/10.15294/jda.v15i2.44817</w:t>
      </w:r>
    </w:p>
    <w:p>
      <w:pPr>
        <w:spacing w:after="60" w:line="264" w:lineRule="auto"/>
        <w:ind w:left="567" w:hanging="567"/>
        <w:jc w:val="left"/>
      </w:pPr>
      <w:r>
        <w:rPr>
          <w:b w:val="0"/>
          <w:i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i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i w:val="0"/>
          <w:sz w:val="20"/>
        </w:rPr>
        <w:t>Teece, D. J., Pisano, G., &amp; Shuen, A. (1997). Dynamic capabilities and strategic management. Strategic Management Journal, 18(7), 509–533.</w:t>
      </w:r>
    </w:p>
    <w:p>
      <w:pPr>
        <w:spacing w:after="60" w:line="264" w:lineRule="auto"/>
        <w:ind w:left="567" w:hanging="567"/>
        <w:jc w:val="left"/>
      </w:pPr>
      <w:r>
        <w:rPr>
          <w:b w:val="0"/>
          <w:i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i w:val="0"/>
          <w:sz w:val="20"/>
        </w:rPr>
        <w:t>Wang, J., Neil, M., &amp; Fenton, N. (2020). A Bayesian network approach for cybersecurity risk assessment implementing and extending the FAIR model. Computers &amp; Security, 89, 101659. https://doi.org/10.1016/j.cose.2019.101659</w:t>
      </w:r>
    </w:p>
    <w:p>
      <w:pPr>
        <w:spacing w:after="60" w:line="264" w:lineRule="auto"/>
        <w:ind w:left="567" w:hanging="567"/>
        <w:jc w:val="left"/>
      </w:pPr>
      <w:r>
        <w:rPr>
          <w:b w:val="0"/>
          <w:i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p>
      <w:pPr>
        <w:spacing w:after="60" w:line="288" w:lineRule="auto"/>
        <w:jc w:val="left"/>
      </w:pPr>
      <w:r>
        <w:rPr>
          <w:b/>
          <w:i w:val="0"/>
          <w:sz w:val="22"/>
        </w:rPr>
        <w:t>Standards and guidelines cited</w:t>
      </w:r>
    </w:p>
    <w:p>
      <w:pPr>
        <w:spacing w:after="60" w:line="264" w:lineRule="auto"/>
        <w:ind w:left="567" w:hanging="567"/>
        <w:jc w:val="left"/>
      </w:pPr>
      <w:r>
        <w:rPr>
          <w:b w:val="0"/>
          <w:i w:val="0"/>
          <w:sz w:val="20"/>
        </w:rPr>
        <w:t>AICPA. (2017). Description criteria for management's description of an entity's cybersecurity risk management program (DC section 100); 2017 Trust Services Criteria (with revised points of focus, 2022).</w:t>
      </w:r>
    </w:p>
    <w:p>
      <w:pPr>
        <w:spacing w:after="60" w:line="264" w:lineRule="auto"/>
        <w:ind w:left="567" w:hanging="567"/>
        <w:jc w:val="left"/>
      </w:pPr>
      <w:r>
        <w:rPr>
          <w:b w:val="0"/>
          <w:i w:val="0"/>
          <w:sz w:val="20"/>
        </w:rPr>
        <w:t>IAASB. (2019). International Standard on Auditing 315 (Revised 2019); and ISA 200, 220, 230, 240, 250, 260, 265, 330, 402, 450, 500, 560, 570, 620; ISQM 1.</w:t>
      </w:r>
    </w:p>
    <w:p>
      <w:pPr>
        <w:spacing w:after="60" w:line="264" w:lineRule="auto"/>
        <w:ind w:left="567" w:hanging="567"/>
        <w:jc w:val="left"/>
      </w:pPr>
      <w:r>
        <w:rPr>
          <w:b w:val="0"/>
          <w:i w:val="0"/>
          <w:sz w:val="20"/>
        </w:rPr>
        <w:t>IIA. (2024). Global Internal Audit Standards. IIA. (2025). Cybersecurity topical requirement.</w:t>
      </w:r>
    </w:p>
    <w:p>
      <w:pPr>
        <w:spacing w:after="60" w:line="264" w:lineRule="auto"/>
        <w:ind w:left="567" w:hanging="567"/>
        <w:jc w:val="left"/>
      </w:pPr>
      <w:r>
        <w:rPr>
          <w:b w:val="0"/>
          <w:i w:val="0"/>
          <w:sz w:val="20"/>
        </w:rPr>
        <w:t>ISO. (2018). ISO 31000:2018 Risk management — Guidelines. ISO/IEC. (2022). ISO/IEC 27001:2022; ISO/IEC 27005:2022; ISO/IEC 27002:2022. Also ISO/IEC 27031, 27033, 27036, 29134; ISO 22301; IEC/ISO 31010.</w:t>
      </w:r>
    </w:p>
    <w:p>
      <w:pPr>
        <w:spacing w:after="60" w:line="264" w:lineRule="auto"/>
        <w:ind w:left="567" w:hanging="567"/>
        <w:jc w:val="left"/>
      </w:pPr>
      <w:r>
        <w:rPr>
          <w:b w:val="0"/>
          <w:i w:val="0"/>
          <w:sz w:val="20"/>
        </w:rPr>
        <w:t>NIST. (2024). The NIST Cybersecurity Framework (CSF) 2.0 (CSWP 29). NIST SP 800-30 Rev. 1; NIST SP 800-61 Rev. 3.</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